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0C1B1F5C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6913FF">
        <w:rPr>
          <w:b/>
        </w:rPr>
        <w:t xml:space="preserve"> 03-08-000-1759</w:t>
      </w:r>
    </w:p>
    <w:p w14:paraId="7326A53C" w14:textId="6A19F3F0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6913FF">
        <w:rPr>
          <w:b/>
        </w:rPr>
        <w:t xml:space="preserve"> Cihan Aydın</w:t>
      </w:r>
    </w:p>
    <w:p w14:paraId="11EE01B4" w14:textId="77777777" w:rsidR="000A1C5C" w:rsidRDefault="000A1C5C" w:rsidP="000A392B">
      <w:pPr>
        <w:jc w:val="both"/>
      </w:pPr>
    </w:p>
    <w:p w14:paraId="702565EA" w14:textId="3A3EF325" w:rsidR="00B00A90" w:rsidRDefault="0035047C" w:rsidP="000A392B">
      <w:pPr>
        <w:jc w:val="both"/>
      </w:pPr>
      <w:r>
        <w:t>Bayan T.T. 3</w:t>
      </w:r>
      <w:r w:rsidR="00E86F6A">
        <w:t>1</w:t>
      </w:r>
      <w:r>
        <w:t xml:space="preserve">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918"/>
        <w:gridCol w:w="1896"/>
        <w:gridCol w:w="1873"/>
        <w:gridCol w:w="1873"/>
      </w:tblGrid>
      <w:tr w:rsidR="00C76C9B" w:rsidRPr="00F2664D" w14:paraId="3DFD3A10" w14:textId="77777777" w:rsidTr="003F7715">
        <w:tc>
          <w:tcPr>
            <w:tcW w:w="1707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979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99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756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21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76C9B" w:rsidRPr="00F2664D" w14:paraId="3C3D7C9A" w14:textId="77777777" w:rsidTr="003F7715">
        <w:trPr>
          <w:trHeight w:val="491"/>
        </w:trPr>
        <w:tc>
          <w:tcPr>
            <w:tcW w:w="1707" w:type="dxa"/>
          </w:tcPr>
          <w:p w14:paraId="36A949B6" w14:textId="4A84379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093DD9">
              <w:rPr>
                <w:rFonts w:cstheme="minorHAnsi"/>
              </w:rPr>
              <w:t>Hipotirodizm – Güncel Problem</w:t>
            </w:r>
          </w:p>
        </w:tc>
        <w:tc>
          <w:tcPr>
            <w:tcW w:w="1979" w:type="dxa"/>
          </w:tcPr>
          <w:p w14:paraId="3D9E02C9" w14:textId="77777777" w:rsidR="00F611B4" w:rsidRDefault="00093DD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TSH değerini kabul edilebilir değerlere getirmek.</w:t>
            </w:r>
          </w:p>
          <w:p w14:paraId="177D930D" w14:textId="57713951" w:rsidR="001740CE" w:rsidRPr="00F2664D" w:rsidRDefault="001740CE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LT4 aşırı komplikasyonlarını önlemek.</w:t>
            </w:r>
          </w:p>
        </w:tc>
        <w:tc>
          <w:tcPr>
            <w:tcW w:w="1899" w:type="dxa"/>
          </w:tcPr>
          <w:p w14:paraId="477F1B96" w14:textId="0BAC20C4" w:rsidR="00F611B4" w:rsidRPr="00F2664D" w:rsidRDefault="00093DD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Normal TSH değeri 0,5-2,5 </w:t>
            </w:r>
            <w:r w:rsidRPr="00093DD9">
              <w:rPr>
                <w:rFonts w:cstheme="minorHAnsi"/>
              </w:rPr>
              <w:t>mIU/L</w:t>
            </w:r>
            <w:r>
              <w:rPr>
                <w:rFonts w:cstheme="minorHAnsi"/>
              </w:rPr>
              <w:t xml:space="preserve"> olmalıdır. Değerin yüksek olması hipotiroidizme işaret eder.</w:t>
            </w:r>
          </w:p>
        </w:tc>
        <w:tc>
          <w:tcPr>
            <w:tcW w:w="1756" w:type="dxa"/>
          </w:tcPr>
          <w:p w14:paraId="31EF9550" w14:textId="7508E534" w:rsidR="00F611B4" w:rsidRDefault="00093DD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Hipotirodizm için levotroksin içeren Euthyrox verilmiş.</w:t>
            </w:r>
          </w:p>
          <w:p w14:paraId="7252165E" w14:textId="404D14BD" w:rsidR="00093DD9" w:rsidRPr="00F2664D" w:rsidRDefault="00ED5A74" w:rsidP="00C76C9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Kullandığı ilaç markasına devam etmesi gerektiği söylenmelidir</w:t>
            </w:r>
            <w:r w:rsidR="00C76C9B">
              <w:rPr>
                <w:rFonts w:cstheme="minorHAnsi"/>
              </w:rPr>
              <w:t xml:space="preserve"> (eşdeğer ilaç kullanımında biyoyararlanım değişebileceği için)</w:t>
            </w:r>
            <w:r>
              <w:rPr>
                <w:rFonts w:cstheme="minorHAnsi"/>
              </w:rPr>
              <w:t>. İlacı aç karnına kullanması gerektiği belirtilmelidir.</w:t>
            </w:r>
          </w:p>
        </w:tc>
        <w:tc>
          <w:tcPr>
            <w:tcW w:w="1721" w:type="dxa"/>
          </w:tcPr>
          <w:p w14:paraId="69BF726A" w14:textId="4962F975" w:rsidR="00F611B4" w:rsidRDefault="00ED5A74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</w:t>
            </w:r>
            <w:r w:rsidR="001740CE">
              <w:rPr>
                <w:rFonts w:cstheme="minorHAnsi"/>
              </w:rPr>
              <w:t>iroid değerleri 4-6 haftada bir kontrol edilmelidir. Stabil değerlere gelirse de 6-12 ay arası kontrol yeterlidir.</w:t>
            </w:r>
          </w:p>
          <w:p w14:paraId="5230FBEC" w14:textId="6CF3301F" w:rsidR="001740CE" w:rsidRPr="00F2664D" w:rsidRDefault="001740CE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gebe kalması durumunda TSH düzeyleri ayda bir kez kontrol edilmeli, doz sonuçlara göre değerlendirilip </w:t>
            </w:r>
            <w:r w:rsidR="00ED5A74">
              <w:rPr>
                <w:rFonts w:cstheme="minorHAnsi"/>
              </w:rPr>
              <w:t>ayarlanmalıdır.</w:t>
            </w:r>
          </w:p>
        </w:tc>
      </w:tr>
      <w:tr w:rsidR="00C76C9B" w:rsidRPr="00F2664D" w14:paraId="3CCFA250" w14:textId="77777777" w:rsidTr="003F7715">
        <w:trPr>
          <w:trHeight w:val="557"/>
        </w:trPr>
        <w:tc>
          <w:tcPr>
            <w:tcW w:w="1707" w:type="dxa"/>
          </w:tcPr>
          <w:p w14:paraId="1DE2010E" w14:textId="3FAADA3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C76C9B">
              <w:rPr>
                <w:rFonts w:cstheme="minorHAnsi"/>
              </w:rPr>
              <w:t>İlaç etkileşimi – Potansiyel problem</w:t>
            </w:r>
          </w:p>
        </w:tc>
        <w:tc>
          <w:tcPr>
            <w:tcW w:w="1979" w:type="dxa"/>
          </w:tcPr>
          <w:p w14:paraId="024F3927" w14:textId="4614F097" w:rsidR="00F611B4" w:rsidRPr="00F2664D" w:rsidRDefault="00C76C9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Olası ilaç etkileşiminin önüne geçmek isteriz.</w:t>
            </w:r>
          </w:p>
        </w:tc>
        <w:tc>
          <w:tcPr>
            <w:tcW w:w="1899" w:type="dxa"/>
          </w:tcPr>
          <w:p w14:paraId="34503016" w14:textId="22D6B7FD" w:rsidR="00F611B4" w:rsidRPr="00F2664D" w:rsidRDefault="00C76C9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Euthyrox kullanıldıktan 4 saat sonra etkileşime neden olduğu için demir veya kalsiyum karbonat içeren besin veya ilaçlar kullanılmamalıdır.</w:t>
            </w:r>
          </w:p>
        </w:tc>
        <w:tc>
          <w:tcPr>
            <w:tcW w:w="1756" w:type="dxa"/>
          </w:tcPr>
          <w:p w14:paraId="03518833" w14:textId="1CB183EB" w:rsidR="00F611B4" w:rsidRPr="00F2664D" w:rsidRDefault="00C76C9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ilaç alım saatlerini düzenlemek gerekir. Tiroid ilacı aç karnına alınması gerek</w:t>
            </w:r>
            <w:r w:rsidR="005F4AFC">
              <w:rPr>
                <w:rFonts w:cstheme="minorHAnsi"/>
              </w:rPr>
              <w:t xml:space="preserve">tiği, demir ve kalsiyum haplarını en az 4 saat sonra kullanması gerektiği </w:t>
            </w:r>
            <w:r w:rsidR="004B7CD7">
              <w:rPr>
                <w:rFonts w:cstheme="minorHAnsi"/>
              </w:rPr>
              <w:t>belirtilmelidir</w:t>
            </w:r>
            <w:r w:rsidR="005F4AFC">
              <w:rPr>
                <w:rFonts w:cstheme="minorHAnsi"/>
              </w:rPr>
              <w:t>.</w:t>
            </w:r>
          </w:p>
        </w:tc>
        <w:tc>
          <w:tcPr>
            <w:tcW w:w="1721" w:type="dxa"/>
          </w:tcPr>
          <w:p w14:paraId="69E2CC97" w14:textId="522C1C9F" w:rsidR="00F611B4" w:rsidRPr="00F2664D" w:rsidRDefault="003F771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ilaç alma zamanları belirlenip takip edilebilir.</w:t>
            </w:r>
          </w:p>
        </w:tc>
      </w:tr>
      <w:tr w:rsidR="003F7715" w:rsidRPr="00F2664D" w14:paraId="4138D3B8" w14:textId="77777777" w:rsidTr="003F7715">
        <w:trPr>
          <w:trHeight w:val="565"/>
        </w:trPr>
        <w:tc>
          <w:tcPr>
            <w:tcW w:w="1707" w:type="dxa"/>
          </w:tcPr>
          <w:p w14:paraId="04929F4C" w14:textId="624BFE25" w:rsidR="003F7715" w:rsidRPr="00F2664D" w:rsidRDefault="003F7715" w:rsidP="003F771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>
              <w:rPr>
                <w:rFonts w:cstheme="minorHAnsi"/>
              </w:rPr>
              <w:t>Gereksiz ilaç kullanımı – Potansiyel problem</w:t>
            </w:r>
          </w:p>
        </w:tc>
        <w:tc>
          <w:tcPr>
            <w:tcW w:w="1979" w:type="dxa"/>
          </w:tcPr>
          <w:p w14:paraId="07F5DDFC" w14:textId="62666B98" w:rsidR="003F7715" w:rsidRPr="00F2664D" w:rsidRDefault="003F7715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eksikliği için kullanılan ilacın gerekliliğin devam edip etmediğini, kan demir değerlerini bilmediğimiz için kesin bir şekilde söyleyemeyiz.</w:t>
            </w:r>
          </w:p>
        </w:tc>
        <w:tc>
          <w:tcPr>
            <w:tcW w:w="1899" w:type="dxa"/>
          </w:tcPr>
          <w:p w14:paraId="7E51C8F0" w14:textId="7785659A" w:rsidR="003F7715" w:rsidRPr="00F2664D" w:rsidRDefault="003F7715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Ergenliğe çağındaki kadınlarda demir eksikliği görülebilmektedir. Ancak yetişkinlikte bu durum değişebilmektedir.</w:t>
            </w:r>
          </w:p>
        </w:tc>
        <w:tc>
          <w:tcPr>
            <w:tcW w:w="1756" w:type="dxa"/>
          </w:tcPr>
          <w:p w14:paraId="22968877" w14:textId="6A5A698F" w:rsidR="003F7715" w:rsidRPr="00F2664D" w:rsidRDefault="003F7715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Kan demir değeri ölçtürülmesi tavsiye edilip değerlere göre doktorun bilgisi dahilinde demir ilacının gerekli olmayabileceği söylenmelidir.</w:t>
            </w:r>
          </w:p>
        </w:tc>
        <w:tc>
          <w:tcPr>
            <w:tcW w:w="1721" w:type="dxa"/>
          </w:tcPr>
          <w:p w14:paraId="03FDF8A7" w14:textId="433F3A5F" w:rsidR="003F7715" w:rsidRPr="00F2664D" w:rsidRDefault="003F7715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ilaçlarının yan etkilerinden biri de konstipasyon</w:t>
            </w:r>
            <w:r w:rsidR="00CC138F">
              <w:rPr>
                <w:rFonts w:cstheme="minorHAnsi"/>
              </w:rPr>
              <w:t>dur</w:t>
            </w:r>
            <w:r>
              <w:rPr>
                <w:rFonts w:cstheme="minorHAnsi"/>
              </w:rPr>
              <w:t xml:space="preserve"> (kabızlık)</w:t>
            </w:r>
            <w:r w:rsidR="00CC138F">
              <w:rPr>
                <w:rFonts w:cstheme="minorHAnsi"/>
              </w:rPr>
              <w:t xml:space="preserve">. Demir ilacı kesilmesi durumunda konstipasyonun da geçmemesi durumunda hekime </w:t>
            </w:r>
            <w:r w:rsidR="00CC138F">
              <w:rPr>
                <w:rFonts w:cstheme="minorHAnsi"/>
              </w:rPr>
              <w:lastRenderedPageBreak/>
              <w:t>yönlendirilmelidir.</w:t>
            </w:r>
          </w:p>
        </w:tc>
      </w:tr>
      <w:tr w:rsidR="003F7715" w:rsidRPr="00F2664D" w14:paraId="770A6119" w14:textId="77777777" w:rsidTr="003F7715">
        <w:trPr>
          <w:trHeight w:val="403"/>
        </w:trPr>
        <w:tc>
          <w:tcPr>
            <w:tcW w:w="1707" w:type="dxa"/>
          </w:tcPr>
          <w:p w14:paraId="3C1F0466" w14:textId="6073146F" w:rsidR="003F7715" w:rsidRPr="00F2664D" w:rsidRDefault="003F7715" w:rsidP="003F771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CC138F">
              <w:rPr>
                <w:rFonts w:cstheme="minorHAnsi"/>
              </w:rPr>
              <w:t xml:space="preserve"> Kabızlık (konstipasyon) – Güncel Problem</w:t>
            </w:r>
          </w:p>
        </w:tc>
        <w:tc>
          <w:tcPr>
            <w:tcW w:w="1979" w:type="dxa"/>
          </w:tcPr>
          <w:p w14:paraId="0CF88CA2" w14:textId="4CA0930D" w:rsidR="003F7715" w:rsidRPr="00F2664D" w:rsidRDefault="00CC138F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Konstipasyonun giderilmesi</w:t>
            </w:r>
          </w:p>
        </w:tc>
        <w:tc>
          <w:tcPr>
            <w:tcW w:w="1899" w:type="dxa"/>
          </w:tcPr>
          <w:p w14:paraId="3637D295" w14:textId="0FA2E052" w:rsidR="003F7715" w:rsidRPr="00F2664D" w:rsidRDefault="00A009A7" w:rsidP="00CC138F">
            <w:pPr>
              <w:rPr>
                <w:rFonts w:cstheme="minorHAnsi"/>
              </w:rPr>
            </w:pPr>
            <w:r>
              <w:rPr>
                <w:rFonts w:cstheme="minorHAnsi"/>
              </w:rPr>
              <w:t>Oreferon dışında hipotroidizm de konstipasyona sebep olmuş olabilir.</w:t>
            </w:r>
          </w:p>
        </w:tc>
        <w:tc>
          <w:tcPr>
            <w:tcW w:w="1756" w:type="dxa"/>
          </w:tcPr>
          <w:p w14:paraId="5B9D0EFA" w14:textId="77777777" w:rsidR="003F7715" w:rsidRDefault="00A009A7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değerleri normal değerlere düştüğünde veya oreferon kullanımı kesildiğinde hala konstipasyon devam ederse hekime yönlendirilmelidir.</w:t>
            </w:r>
          </w:p>
          <w:p w14:paraId="16966CA8" w14:textId="32FF2A51" w:rsidR="00A009A7" w:rsidRPr="00F2664D" w:rsidRDefault="00A009A7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Dulcosoftu konstipasyon için kullanıyor.</w:t>
            </w:r>
          </w:p>
        </w:tc>
        <w:tc>
          <w:tcPr>
            <w:tcW w:w="1721" w:type="dxa"/>
          </w:tcPr>
          <w:p w14:paraId="02325C0C" w14:textId="77777777" w:rsidR="003F7715" w:rsidRDefault="00A009A7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değerleri ile birlikte konstipasyon takibi de yapılmalıdır.</w:t>
            </w:r>
          </w:p>
          <w:p w14:paraId="23D32A4C" w14:textId="0767532D" w:rsidR="00A009A7" w:rsidRPr="00F2664D" w:rsidRDefault="00A009A7" w:rsidP="003F77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Oreferon kullanımı kesilirse konstipasyonun da kesilip kesilmediği takip edilmelidir.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6481" w14:textId="77777777" w:rsidR="00D14B3D" w:rsidRDefault="00D14B3D" w:rsidP="00261364">
      <w:pPr>
        <w:spacing w:after="0" w:line="240" w:lineRule="auto"/>
      </w:pPr>
      <w:r>
        <w:separator/>
      </w:r>
    </w:p>
  </w:endnote>
  <w:endnote w:type="continuationSeparator" w:id="0">
    <w:p w14:paraId="2EB4669E" w14:textId="77777777" w:rsidR="00D14B3D" w:rsidRDefault="00D14B3D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C94B1" w14:textId="77777777" w:rsidR="00D14B3D" w:rsidRDefault="00D14B3D" w:rsidP="00261364">
      <w:pPr>
        <w:spacing w:after="0" w:line="240" w:lineRule="auto"/>
      </w:pPr>
      <w:r>
        <w:separator/>
      </w:r>
    </w:p>
  </w:footnote>
  <w:footnote w:type="continuationSeparator" w:id="0">
    <w:p w14:paraId="5AF766AF" w14:textId="77777777" w:rsidR="00D14B3D" w:rsidRDefault="00D14B3D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93DD9"/>
    <w:rsid w:val="000A1C5C"/>
    <w:rsid w:val="000A392B"/>
    <w:rsid w:val="001740CE"/>
    <w:rsid w:val="00261364"/>
    <w:rsid w:val="002924F8"/>
    <w:rsid w:val="0035047C"/>
    <w:rsid w:val="003F2C46"/>
    <w:rsid w:val="003F7715"/>
    <w:rsid w:val="0040701C"/>
    <w:rsid w:val="004B7CD7"/>
    <w:rsid w:val="004C19F0"/>
    <w:rsid w:val="004F38B0"/>
    <w:rsid w:val="005B0E63"/>
    <w:rsid w:val="005F4AFC"/>
    <w:rsid w:val="006913FF"/>
    <w:rsid w:val="006C0CB1"/>
    <w:rsid w:val="006C549C"/>
    <w:rsid w:val="0073331D"/>
    <w:rsid w:val="007D550B"/>
    <w:rsid w:val="007D6054"/>
    <w:rsid w:val="00825777"/>
    <w:rsid w:val="009113D1"/>
    <w:rsid w:val="00946A71"/>
    <w:rsid w:val="00A009A7"/>
    <w:rsid w:val="00A27E02"/>
    <w:rsid w:val="00A978CE"/>
    <w:rsid w:val="00B00A90"/>
    <w:rsid w:val="00C76C9B"/>
    <w:rsid w:val="00CC138F"/>
    <w:rsid w:val="00D06DFE"/>
    <w:rsid w:val="00D14B3D"/>
    <w:rsid w:val="00D37DC0"/>
    <w:rsid w:val="00DD43C0"/>
    <w:rsid w:val="00E72B2A"/>
    <w:rsid w:val="00E7632E"/>
    <w:rsid w:val="00E86F6A"/>
    <w:rsid w:val="00ED5A74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Cihan AYDIN</cp:lastModifiedBy>
  <cp:revision>8</cp:revision>
  <dcterms:created xsi:type="dcterms:W3CDTF">2021-03-22T17:33:00Z</dcterms:created>
  <dcterms:modified xsi:type="dcterms:W3CDTF">2021-03-23T18:09:00Z</dcterms:modified>
</cp:coreProperties>
</file>