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6139A86E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714399">
        <w:rPr>
          <w:b/>
        </w:rPr>
        <w:t xml:space="preserve"> 03180000135</w:t>
      </w:r>
    </w:p>
    <w:p w14:paraId="7326A53C" w14:textId="3ADD3706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714399">
        <w:rPr>
          <w:b/>
        </w:rPr>
        <w:t xml:space="preserve"> Ferhat YILMAZ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1756"/>
        <w:gridCol w:w="1746"/>
        <w:gridCol w:w="1973"/>
        <w:gridCol w:w="1973"/>
      </w:tblGrid>
      <w:tr w:rsidR="00CE75AE" w:rsidRPr="00F2664D" w14:paraId="3DFD3A10" w14:textId="77777777" w:rsidTr="00CE75AE">
        <w:tc>
          <w:tcPr>
            <w:tcW w:w="1707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784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44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754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97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CE75AE" w:rsidRPr="00F2664D" w14:paraId="3C3D7C9A" w14:textId="77777777" w:rsidTr="00CE75AE">
        <w:trPr>
          <w:trHeight w:val="491"/>
        </w:trPr>
        <w:tc>
          <w:tcPr>
            <w:tcW w:w="1707" w:type="dxa"/>
          </w:tcPr>
          <w:p w14:paraId="36A949B6" w14:textId="31C8C65C" w:rsidR="00CE75AE" w:rsidRPr="00F2664D" w:rsidRDefault="00CE75AE" w:rsidP="00CE75AE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>
              <w:rPr>
                <w:rFonts w:cstheme="minorHAnsi"/>
              </w:rPr>
              <w:t xml:space="preserve"> Tiroit değerlerini normalize etmek</w:t>
            </w:r>
          </w:p>
        </w:tc>
        <w:tc>
          <w:tcPr>
            <w:tcW w:w="1784" w:type="dxa"/>
          </w:tcPr>
          <w:p w14:paraId="177D930D" w14:textId="17EAE43B" w:rsidR="00CE75AE" w:rsidRPr="00F2664D" w:rsidRDefault="00CE75AE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ideal dozda tedaviye başlaması ve devam etmesi</w:t>
            </w:r>
          </w:p>
        </w:tc>
        <w:tc>
          <w:tcPr>
            <w:tcW w:w="1844" w:type="dxa"/>
          </w:tcPr>
          <w:p w14:paraId="477F1B96" w14:textId="68FA91D8" w:rsidR="00CE75AE" w:rsidRPr="00F2664D" w:rsidRDefault="00CE75AE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değerleri infertilite problemi de olduğu için özellikle 2,5mIU/L değerinin altına gelmesini sağlamak gerekmektedir. Tiroit değerleri 0,5-2,5 mIU/L değerleri arasında olmalıdır. Levotroksini yüksek dozda kullanmasına bağlı semptomların görülmesini engellemek gerekmektedir. Hastanın ideal dozda tedavisine devam etmesi sağlanmalıdır. </w:t>
            </w:r>
          </w:p>
        </w:tc>
        <w:tc>
          <w:tcPr>
            <w:tcW w:w="1754" w:type="dxa"/>
          </w:tcPr>
          <w:p w14:paraId="7252165E" w14:textId="23703C3C" w:rsidR="00CE75AE" w:rsidRPr="00F2664D" w:rsidRDefault="0015244A" w:rsidP="009E4115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Olası yan etkiler hakkında hasta bilgilendirilmelidir. </w:t>
            </w:r>
            <w:r w:rsidR="009E4115">
              <w:rPr>
                <w:rFonts w:cstheme="minorHAnsi"/>
              </w:rPr>
              <w:t xml:space="preserve">Hastanın ilacı nasıl alması gerektiği konusunda bilgi verilmelidir. İlaç alım zamanının her zaman aynı olmasına dikkat etmesi gerektiği belirtilmelidir. </w:t>
            </w:r>
            <w:r w:rsidR="00CE75AE">
              <w:rPr>
                <w:rFonts w:cstheme="minorHAnsi"/>
              </w:rPr>
              <w:t>Hastanın ilacı aç karnına alması gerektiği bilgilendirilmelidir. Mümkün olduğunca aynı marka ilacı kullanmaya devam etmesi gerektiği bilgilendirilmelidir.</w:t>
            </w:r>
            <w:r w:rsidR="009E4115">
              <w:rPr>
                <w:rFonts w:cstheme="minorHAnsi"/>
              </w:rPr>
              <w:t xml:space="preserve"> </w:t>
            </w:r>
          </w:p>
        </w:tc>
        <w:tc>
          <w:tcPr>
            <w:tcW w:w="1973" w:type="dxa"/>
          </w:tcPr>
          <w:p w14:paraId="5230FBEC" w14:textId="65977C7F" w:rsidR="00CE75AE" w:rsidRPr="00F2664D" w:rsidRDefault="00CE75AE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4-8 hafta arasında TSH izlemi yapılmalıdır. Gebelik meydana geldiğinde ayda bir kere olmak üzere TSH düzeyleri izlenmelidir. Hasta bu konuda bilgilendirilmelidir. Hastanın semptomlarının geçip geçmediği takip edilerek gerekli değerlendirmeler yapılmalıdır.</w:t>
            </w:r>
          </w:p>
        </w:tc>
      </w:tr>
      <w:tr w:rsidR="00CE75AE" w:rsidRPr="00F2664D" w14:paraId="3CCFA250" w14:textId="77777777" w:rsidTr="00CE75AE">
        <w:trPr>
          <w:trHeight w:val="557"/>
        </w:trPr>
        <w:tc>
          <w:tcPr>
            <w:tcW w:w="1707" w:type="dxa"/>
          </w:tcPr>
          <w:p w14:paraId="1DE2010E" w14:textId="15AEF96B" w:rsidR="00CE75AE" w:rsidRPr="00F2664D" w:rsidRDefault="00CE75AE" w:rsidP="00CE75AE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>
              <w:rPr>
                <w:rFonts w:cstheme="minorHAnsi"/>
              </w:rPr>
              <w:t xml:space="preserve"> Cilt kuruluğu şikayetinin giderilmesi</w:t>
            </w:r>
          </w:p>
        </w:tc>
        <w:tc>
          <w:tcPr>
            <w:tcW w:w="1784" w:type="dxa"/>
          </w:tcPr>
          <w:p w14:paraId="024F3927" w14:textId="5E55BC59" w:rsidR="00CE75AE" w:rsidRPr="00F2664D" w:rsidRDefault="00CE75AE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cilt kuruluğu vardır. Hastaya zarar vermeyecek şekilde bir preparat önerilmelidir.</w:t>
            </w:r>
          </w:p>
        </w:tc>
        <w:tc>
          <w:tcPr>
            <w:tcW w:w="1844" w:type="dxa"/>
          </w:tcPr>
          <w:p w14:paraId="34503016" w14:textId="79162A4A" w:rsidR="00CE75AE" w:rsidRPr="00F2664D" w:rsidRDefault="00CE75AE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tiroid fonksiyonları normalize olana kadar alerjen olmayan, hastanın cildine zarar vermeyecek şekilde bir krem önerilebilir. </w:t>
            </w:r>
          </w:p>
        </w:tc>
        <w:tc>
          <w:tcPr>
            <w:tcW w:w="1754" w:type="dxa"/>
          </w:tcPr>
          <w:p w14:paraId="03518833" w14:textId="2E0A36BA" w:rsidR="00CE75AE" w:rsidRPr="00F2664D" w:rsidRDefault="00CE75AE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cilt kuruluğuna neden olabilecek sabun ve kozmetik ürünlerden kaçınmasını sağlayarak, egzersiz ve beslenme önerileri verilmelidir.</w:t>
            </w:r>
          </w:p>
        </w:tc>
        <w:tc>
          <w:tcPr>
            <w:tcW w:w="1973" w:type="dxa"/>
          </w:tcPr>
          <w:p w14:paraId="69E2CC97" w14:textId="160B1DEA" w:rsidR="00CE75AE" w:rsidRPr="00F2664D" w:rsidRDefault="00CE75AE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kullandığı kremin ne derece etken olduğu ve hastada alerjen herhangi bir reaksiyon oluşturup oluşturmadığı takip edilir.</w:t>
            </w:r>
          </w:p>
        </w:tc>
      </w:tr>
      <w:tr w:rsidR="00CE75AE" w:rsidRPr="00F2664D" w14:paraId="4138D3B8" w14:textId="77777777" w:rsidTr="00CE75AE">
        <w:trPr>
          <w:trHeight w:val="565"/>
        </w:trPr>
        <w:tc>
          <w:tcPr>
            <w:tcW w:w="1707" w:type="dxa"/>
          </w:tcPr>
          <w:p w14:paraId="04929F4C" w14:textId="29E13A7C" w:rsidR="00CE75AE" w:rsidRPr="00F2664D" w:rsidRDefault="00CE75AE" w:rsidP="00CE75AE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3.</w:t>
            </w:r>
            <w:r>
              <w:rPr>
                <w:rFonts w:cstheme="minorHAnsi"/>
              </w:rPr>
              <w:t xml:space="preserve"> </w:t>
            </w:r>
            <w:r w:rsidR="007121EC">
              <w:rPr>
                <w:rFonts w:cstheme="minorHAnsi"/>
              </w:rPr>
              <w:t>İlaç etkileşmelerini önlemek</w:t>
            </w:r>
          </w:p>
        </w:tc>
        <w:tc>
          <w:tcPr>
            <w:tcW w:w="1784" w:type="dxa"/>
          </w:tcPr>
          <w:p w14:paraId="07F5DDFC" w14:textId="7301F774" w:rsidR="00CE75AE" w:rsidRPr="00F2664D" w:rsidRDefault="007121EC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tedavisindeki levotiroksin ile demir preparatı etkileşmelerinin önüne geçilmesi</w:t>
            </w:r>
          </w:p>
        </w:tc>
        <w:tc>
          <w:tcPr>
            <w:tcW w:w="1844" w:type="dxa"/>
          </w:tcPr>
          <w:p w14:paraId="7E51C8F0" w14:textId="6D7DDE22" w:rsidR="00CE75AE" w:rsidRPr="00F2664D" w:rsidRDefault="007121EC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oroferon kullanımının gerekliliği sorgulanarak, kullanmaya devam etmesi gerektiği taktirde levotiroksin ile alım saatleri arasında 4 saatlik bir ara olması gerekmektedir.</w:t>
            </w:r>
          </w:p>
        </w:tc>
        <w:tc>
          <w:tcPr>
            <w:tcW w:w="1754" w:type="dxa"/>
          </w:tcPr>
          <w:p w14:paraId="22968877" w14:textId="2573E4D1" w:rsidR="00CE75AE" w:rsidRPr="00F2664D" w:rsidRDefault="007121EC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Hastaya gerekli bilgilendirmeler yapılarak herhangi bir etkileşim olmaması için eğer oroferon almaya devam etmesi gerekiyorsa solgar preparatı ile olası etkileşimleri olabileceği için yine zaman ayarlaması yapılması gerekmektedir.</w:t>
            </w:r>
          </w:p>
        </w:tc>
        <w:tc>
          <w:tcPr>
            <w:tcW w:w="1973" w:type="dxa"/>
          </w:tcPr>
          <w:p w14:paraId="03FDF8A7" w14:textId="4093211A" w:rsidR="00CE75AE" w:rsidRPr="00F2664D" w:rsidRDefault="007121EC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değerleri takip edilerek ilaç alım zamanları izlenir. Herhangi bir etkileşim olup olmadığı takip edilir.</w:t>
            </w:r>
          </w:p>
        </w:tc>
      </w:tr>
      <w:tr w:rsidR="00CE75AE" w:rsidRPr="00F2664D" w14:paraId="770A6119" w14:textId="77777777" w:rsidTr="00CE75AE">
        <w:trPr>
          <w:trHeight w:val="403"/>
        </w:trPr>
        <w:tc>
          <w:tcPr>
            <w:tcW w:w="1707" w:type="dxa"/>
          </w:tcPr>
          <w:p w14:paraId="3C1F0466" w14:textId="511D0A5A" w:rsidR="00CE75AE" w:rsidRPr="00F2664D" w:rsidRDefault="00CE75AE" w:rsidP="00CE75AE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8F5C19">
              <w:rPr>
                <w:rFonts w:cstheme="minorHAnsi"/>
              </w:rPr>
              <w:t xml:space="preserve"> </w:t>
            </w:r>
            <w:r w:rsidR="007121EC">
              <w:rPr>
                <w:rFonts w:cstheme="minorHAnsi"/>
              </w:rPr>
              <w:t>Konstipasyon</w:t>
            </w:r>
          </w:p>
        </w:tc>
        <w:tc>
          <w:tcPr>
            <w:tcW w:w="1784" w:type="dxa"/>
          </w:tcPr>
          <w:p w14:paraId="0CF88CA2" w14:textId="5F192B07" w:rsidR="00CE75AE" w:rsidRPr="00F2664D" w:rsidRDefault="008F5C19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konstipasyon şikayetinin nedenini arayarak tedavi edilmesi</w:t>
            </w:r>
          </w:p>
        </w:tc>
        <w:tc>
          <w:tcPr>
            <w:tcW w:w="1844" w:type="dxa"/>
          </w:tcPr>
          <w:p w14:paraId="3637D295" w14:textId="51835A41" w:rsidR="00CE75AE" w:rsidRPr="00F2664D" w:rsidRDefault="008F5C19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uzun süredir demir preparatı kullandığı için konstipasyon nedeni olarak demir preparatını düşünmek çok mantıklı olmayacaktır. Bunun yerine hastanın hipotiroidinin konstipasyona neden olduğu düşünülebilir. </w:t>
            </w:r>
          </w:p>
        </w:tc>
        <w:tc>
          <w:tcPr>
            <w:tcW w:w="1754" w:type="dxa"/>
          </w:tcPr>
          <w:p w14:paraId="16966CA8" w14:textId="7A525520" w:rsidR="00CE75AE" w:rsidRPr="00F2664D" w:rsidRDefault="008F5C19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hipotiroid tedavisi sonucunda konstipasyonu devam ediyorsa yeniden uzman hekime yönlendirilmelidir. </w:t>
            </w:r>
          </w:p>
        </w:tc>
        <w:tc>
          <w:tcPr>
            <w:tcW w:w="1973" w:type="dxa"/>
          </w:tcPr>
          <w:p w14:paraId="23D32A4C" w14:textId="7AE99E0B" w:rsidR="00CE75AE" w:rsidRPr="00F2664D" w:rsidRDefault="008F5C19" w:rsidP="00CE75AE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 şikayeti devam ediyor mu takip edilerek, yönlendirilen tedavi yöntemlerinin başarısız olması durumunda demir preparatının kesilmesi tavsiye edilebilir.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B15F3" w14:textId="77777777" w:rsidR="00CE5362" w:rsidRDefault="00CE5362" w:rsidP="00261364">
      <w:pPr>
        <w:spacing w:after="0" w:line="240" w:lineRule="auto"/>
      </w:pPr>
      <w:r>
        <w:separator/>
      </w:r>
    </w:p>
  </w:endnote>
  <w:endnote w:type="continuationSeparator" w:id="0">
    <w:p w14:paraId="6F3EB655" w14:textId="77777777" w:rsidR="00CE5362" w:rsidRDefault="00CE5362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67164" w14:textId="77777777" w:rsidR="00CE5362" w:rsidRDefault="00CE5362" w:rsidP="00261364">
      <w:pPr>
        <w:spacing w:after="0" w:line="240" w:lineRule="auto"/>
      </w:pPr>
      <w:r>
        <w:separator/>
      </w:r>
    </w:p>
  </w:footnote>
  <w:footnote w:type="continuationSeparator" w:id="0">
    <w:p w14:paraId="313F8021" w14:textId="77777777" w:rsidR="00CE5362" w:rsidRDefault="00CE5362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15244A"/>
    <w:rsid w:val="00261364"/>
    <w:rsid w:val="0035047C"/>
    <w:rsid w:val="003F2C46"/>
    <w:rsid w:val="0040701C"/>
    <w:rsid w:val="004C19F0"/>
    <w:rsid w:val="004F38B0"/>
    <w:rsid w:val="006C0CB1"/>
    <w:rsid w:val="007121EC"/>
    <w:rsid w:val="00714399"/>
    <w:rsid w:val="0073331D"/>
    <w:rsid w:val="007D550B"/>
    <w:rsid w:val="007D6054"/>
    <w:rsid w:val="00825777"/>
    <w:rsid w:val="008F5C19"/>
    <w:rsid w:val="009113D1"/>
    <w:rsid w:val="00946A71"/>
    <w:rsid w:val="009B203B"/>
    <w:rsid w:val="009E4115"/>
    <w:rsid w:val="00A27E02"/>
    <w:rsid w:val="00A978CE"/>
    <w:rsid w:val="00B00A90"/>
    <w:rsid w:val="00CE5362"/>
    <w:rsid w:val="00CE75AE"/>
    <w:rsid w:val="00D06DFE"/>
    <w:rsid w:val="00D37DC0"/>
    <w:rsid w:val="00DD43C0"/>
    <w:rsid w:val="00E72B2A"/>
    <w:rsid w:val="00E7632E"/>
    <w:rsid w:val="00EA5050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Ferhat Yılmaz</cp:lastModifiedBy>
  <cp:revision>7</cp:revision>
  <dcterms:created xsi:type="dcterms:W3CDTF">2021-03-18T16:21:00Z</dcterms:created>
  <dcterms:modified xsi:type="dcterms:W3CDTF">2021-03-23T15:45:00Z</dcterms:modified>
</cp:coreProperties>
</file>