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5C" w:rsidRPr="00946A71" w:rsidRDefault="000A1C5C" w:rsidP="000A392B">
      <w:pPr>
        <w:jc w:val="both"/>
        <w:rPr>
          <w:b/>
        </w:rPr>
      </w:pPr>
      <w:r w:rsidRPr="00946A71">
        <w:rPr>
          <w:b/>
        </w:rPr>
        <w:t>ÖĞRENCİ NO:</w:t>
      </w:r>
      <w:r w:rsidR="006913FF">
        <w:rPr>
          <w:b/>
        </w:rPr>
        <w:t xml:space="preserve"> 03</w:t>
      </w:r>
      <w:r w:rsidR="0017203E">
        <w:rPr>
          <w:b/>
        </w:rPr>
        <w:t>-14-04</w:t>
      </w:r>
    </w:p>
    <w:p w:rsidR="000A1C5C" w:rsidRPr="00946A71" w:rsidRDefault="000A1C5C" w:rsidP="000A392B">
      <w:pPr>
        <w:jc w:val="both"/>
        <w:rPr>
          <w:b/>
        </w:rPr>
      </w:pPr>
      <w:r w:rsidRPr="00946A71">
        <w:rPr>
          <w:b/>
        </w:rPr>
        <w:t>ADINIZ SOYADINIZ:</w:t>
      </w:r>
      <w:r w:rsidR="0017203E">
        <w:rPr>
          <w:b/>
        </w:rPr>
        <w:t xml:space="preserve"> Yüce ERÇETİN</w:t>
      </w:r>
    </w:p>
    <w:p w:rsidR="000A1C5C" w:rsidRDefault="000A1C5C" w:rsidP="000A392B">
      <w:pPr>
        <w:jc w:val="both"/>
      </w:pPr>
    </w:p>
    <w:p w:rsidR="00B00A90" w:rsidRDefault="0035047C" w:rsidP="000A392B">
      <w:pPr>
        <w:jc w:val="both"/>
      </w:pPr>
      <w:r>
        <w:t>Bayan T.T. 3</w:t>
      </w:r>
      <w:r w:rsidR="00E86F6A">
        <w:t>1</w:t>
      </w:r>
      <w:r>
        <w:t xml:space="preserve">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rsidR="0035047C" w:rsidRDefault="0035047C"/>
    <w:p w:rsidR="0035047C" w:rsidRDefault="0035047C">
      <w:r>
        <w:t>Hasta Adı Soyadı: T.T.</w:t>
      </w:r>
    </w:p>
    <w:p w:rsidR="009113D1" w:rsidRDefault="009113D1">
      <w:r>
        <w:t>Cinsiyet: Kadın</w:t>
      </w:r>
    </w:p>
    <w:p w:rsidR="0035047C" w:rsidRDefault="0035047C">
      <w:r>
        <w:t>Doğum Tarihi: 01.02.1988</w:t>
      </w:r>
    </w:p>
    <w:p w:rsidR="009113D1" w:rsidRDefault="009113D1"/>
    <w:p w:rsidR="0035047C" w:rsidRPr="00D06DFE" w:rsidRDefault="0035047C">
      <w:pPr>
        <w:rPr>
          <w:b/>
          <w:bCs/>
        </w:rPr>
      </w:pPr>
      <w:r w:rsidRPr="00D06DFE">
        <w:rPr>
          <w:b/>
          <w:bCs/>
        </w:rPr>
        <w:t>Vital Değerleri</w:t>
      </w:r>
    </w:p>
    <w:p w:rsidR="0035047C" w:rsidRDefault="0035047C">
      <w:r>
        <w:t>Kan basıncı 110 / 70 mmHg</w:t>
      </w:r>
    </w:p>
    <w:p w:rsidR="0035047C" w:rsidRDefault="0035047C">
      <w:r>
        <w:t>Nabız: 68</w:t>
      </w:r>
    </w:p>
    <w:p w:rsidR="0035047C" w:rsidRDefault="0035047C">
      <w:r>
        <w:t>Vücut Sıcaklığı: 36.8</w:t>
      </w:r>
    </w:p>
    <w:p w:rsidR="0035047C" w:rsidRDefault="0035047C">
      <w:r>
        <w:t>Boy: 168 cm</w:t>
      </w:r>
    </w:p>
    <w:p w:rsidR="0035047C" w:rsidRDefault="0035047C">
      <w:r>
        <w:t>Kilo: 61 kg</w:t>
      </w:r>
    </w:p>
    <w:p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5"/>
        <w:gridCol w:w="2692"/>
        <w:gridCol w:w="2075"/>
        <w:gridCol w:w="2266"/>
      </w:tblGrid>
      <w:tr w:rsidR="0035047C" w:rsidTr="00946A71">
        <w:tc>
          <w:tcPr>
            <w:tcW w:w="2265" w:type="dxa"/>
          </w:tcPr>
          <w:p w:rsidR="0035047C" w:rsidRDefault="0035047C">
            <w:r>
              <w:t>Na138 mEq/L</w:t>
            </w:r>
          </w:p>
        </w:tc>
        <w:tc>
          <w:tcPr>
            <w:tcW w:w="2692" w:type="dxa"/>
          </w:tcPr>
          <w:p w:rsidR="0035047C" w:rsidRDefault="0035047C">
            <w:r>
              <w:t>Ca9.6 mg/dL</w:t>
            </w:r>
          </w:p>
        </w:tc>
        <w:tc>
          <w:tcPr>
            <w:tcW w:w="2075" w:type="dxa"/>
          </w:tcPr>
          <w:p w:rsidR="0035047C" w:rsidRDefault="0035047C">
            <w:r>
              <w:t>Albumin</w:t>
            </w:r>
            <w:r w:rsidR="006C0CB1">
              <w:t xml:space="preserve"> 4 g/dL</w:t>
            </w:r>
          </w:p>
        </w:tc>
        <w:tc>
          <w:tcPr>
            <w:tcW w:w="2266" w:type="dxa"/>
          </w:tcPr>
          <w:p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Pr="006C0CB1">
              <w:rPr>
                <w:b/>
                <w:bCs/>
              </w:rPr>
              <w:t>+</w:t>
            </w:r>
          </w:p>
        </w:tc>
      </w:tr>
      <w:tr w:rsidR="0035047C" w:rsidTr="00946A71">
        <w:tc>
          <w:tcPr>
            <w:tcW w:w="2265" w:type="dxa"/>
          </w:tcPr>
          <w:p w:rsidR="0035047C" w:rsidRDefault="0035047C" w:rsidP="0035047C">
            <w:r>
              <w:t>K</w:t>
            </w:r>
            <w:r w:rsidR="006C0CB1">
              <w:t xml:space="preserve">         4</w:t>
            </w:r>
            <w:r>
              <w:t>.2 mEq/L</w:t>
            </w:r>
          </w:p>
        </w:tc>
        <w:tc>
          <w:tcPr>
            <w:tcW w:w="2692" w:type="dxa"/>
          </w:tcPr>
          <w:p w:rsidR="0035047C" w:rsidRDefault="0035047C">
            <w:r>
              <w:t>Mg2.0 mEq/dL</w:t>
            </w:r>
          </w:p>
        </w:tc>
        <w:tc>
          <w:tcPr>
            <w:tcW w:w="2075" w:type="dxa"/>
          </w:tcPr>
          <w:p w:rsidR="0035047C" w:rsidRDefault="006C0CB1">
            <w:r>
              <w:t>WBC 6.8x10</w:t>
            </w:r>
            <w:r w:rsidRPr="006C0CB1">
              <w:rPr>
                <w:vertAlign w:val="superscript"/>
              </w:rPr>
              <w:t>3</w:t>
            </w:r>
            <w:r>
              <w:t>/mm</w:t>
            </w:r>
            <w:r w:rsidRPr="006C0CB1">
              <w:rPr>
                <w:vertAlign w:val="superscript"/>
              </w:rPr>
              <w:t>3</w:t>
            </w:r>
          </w:p>
        </w:tc>
        <w:tc>
          <w:tcPr>
            <w:tcW w:w="2266" w:type="dxa"/>
          </w:tcPr>
          <w:p w:rsidR="0035047C" w:rsidRPr="006C0CB1" w:rsidRDefault="006C0CB1">
            <w:pPr>
              <w:rPr>
                <w:b/>
                <w:bCs/>
              </w:rPr>
            </w:pPr>
            <w:r w:rsidRPr="006C0CB1">
              <w:rPr>
                <w:b/>
                <w:bCs/>
              </w:rPr>
              <w:t>TSH    9.8 mIU/L</w:t>
            </w:r>
            <w:r>
              <w:rPr>
                <w:rFonts w:cstheme="minorHAnsi"/>
                <w:b/>
                <w:bCs/>
              </w:rPr>
              <w:t>↑</w:t>
            </w:r>
          </w:p>
        </w:tc>
      </w:tr>
      <w:tr w:rsidR="0035047C" w:rsidTr="00946A71">
        <w:tc>
          <w:tcPr>
            <w:tcW w:w="2265" w:type="dxa"/>
          </w:tcPr>
          <w:p w:rsidR="0035047C" w:rsidRDefault="0035047C" w:rsidP="0035047C">
            <w:r>
              <w:t>Cl98 mEq/L</w:t>
            </w:r>
          </w:p>
        </w:tc>
        <w:tc>
          <w:tcPr>
            <w:tcW w:w="2692" w:type="dxa"/>
          </w:tcPr>
          <w:p w:rsidR="0035047C" w:rsidRDefault="0035047C">
            <w:r>
              <w:t>AST22 U/L</w:t>
            </w:r>
          </w:p>
        </w:tc>
        <w:tc>
          <w:tcPr>
            <w:tcW w:w="2075" w:type="dxa"/>
          </w:tcPr>
          <w:p w:rsidR="0035047C" w:rsidRDefault="006C0CB1">
            <w:r>
              <w:t>Hgb    13.1 g/dL</w:t>
            </w:r>
          </w:p>
        </w:tc>
        <w:tc>
          <w:tcPr>
            <w:tcW w:w="2266" w:type="dxa"/>
          </w:tcPr>
          <w:p w:rsidR="0035047C" w:rsidRPr="006C0CB1" w:rsidRDefault="006C0CB1">
            <w:r>
              <w:t>sT</w:t>
            </w:r>
            <w:r w:rsidRPr="006C0CB1">
              <w:rPr>
                <w:vertAlign w:val="subscript"/>
              </w:rPr>
              <w:t>4</w:t>
            </w:r>
            <w:r>
              <w:t>0.72 ng/mL</w:t>
            </w:r>
          </w:p>
        </w:tc>
      </w:tr>
      <w:tr w:rsidR="0035047C" w:rsidTr="00946A71">
        <w:tc>
          <w:tcPr>
            <w:tcW w:w="2265" w:type="dxa"/>
          </w:tcPr>
          <w:p w:rsidR="0035047C" w:rsidRDefault="0035047C" w:rsidP="0035047C">
            <w:r>
              <w:t>BUN8 mg/dL</w:t>
            </w:r>
          </w:p>
        </w:tc>
        <w:tc>
          <w:tcPr>
            <w:tcW w:w="2692" w:type="dxa"/>
          </w:tcPr>
          <w:p w:rsidR="0035047C" w:rsidRDefault="0035047C">
            <w:r>
              <w:t>ALT19 U/L</w:t>
            </w:r>
          </w:p>
        </w:tc>
        <w:tc>
          <w:tcPr>
            <w:tcW w:w="2075" w:type="dxa"/>
          </w:tcPr>
          <w:p w:rsidR="0035047C" w:rsidRDefault="006C0CB1">
            <w:r>
              <w:t>Hct     39.2%</w:t>
            </w:r>
          </w:p>
        </w:tc>
        <w:tc>
          <w:tcPr>
            <w:tcW w:w="2266" w:type="dxa"/>
          </w:tcPr>
          <w:p w:rsidR="0035047C" w:rsidRDefault="0035047C"/>
        </w:tc>
      </w:tr>
      <w:tr w:rsidR="0035047C" w:rsidTr="00946A71">
        <w:tc>
          <w:tcPr>
            <w:tcW w:w="2265" w:type="dxa"/>
          </w:tcPr>
          <w:p w:rsidR="0035047C" w:rsidRDefault="0035047C" w:rsidP="0035047C">
            <w:r>
              <w:t>A.K.Ş.92 mg/dL</w:t>
            </w:r>
          </w:p>
        </w:tc>
        <w:tc>
          <w:tcPr>
            <w:tcW w:w="2692" w:type="dxa"/>
          </w:tcPr>
          <w:p w:rsidR="0035047C" w:rsidRDefault="0035047C">
            <w:r>
              <w:t>Alkalen fos.54 U/L</w:t>
            </w:r>
          </w:p>
        </w:tc>
        <w:tc>
          <w:tcPr>
            <w:tcW w:w="2075" w:type="dxa"/>
          </w:tcPr>
          <w:p w:rsidR="0035047C" w:rsidRDefault="006C0CB1">
            <w:r>
              <w:t>MCV 89 mm</w:t>
            </w:r>
            <w:r w:rsidRPr="006C0CB1">
              <w:rPr>
                <w:vertAlign w:val="superscript"/>
              </w:rPr>
              <w:t>3</w:t>
            </w:r>
          </w:p>
        </w:tc>
        <w:tc>
          <w:tcPr>
            <w:tcW w:w="2266" w:type="dxa"/>
          </w:tcPr>
          <w:p w:rsidR="0035047C" w:rsidRPr="00D06DFE" w:rsidRDefault="006C0CB1">
            <w:pPr>
              <w:rPr>
                <w:b/>
                <w:bCs/>
              </w:rPr>
            </w:pPr>
            <w:r w:rsidRPr="00D06DFE">
              <w:rPr>
                <w:b/>
                <w:bCs/>
              </w:rPr>
              <w:t>Total Kolesterol 212 mg/dL</w:t>
            </w:r>
            <w:r w:rsidR="00D06DFE" w:rsidRPr="00D06DFE">
              <w:rPr>
                <w:rFonts w:cstheme="minorHAnsi"/>
                <w:b/>
                <w:bCs/>
              </w:rPr>
              <w:t>↑</w:t>
            </w:r>
          </w:p>
        </w:tc>
      </w:tr>
      <w:tr w:rsidR="0035047C" w:rsidTr="00946A71">
        <w:tc>
          <w:tcPr>
            <w:tcW w:w="2265" w:type="dxa"/>
          </w:tcPr>
          <w:p w:rsidR="0035047C" w:rsidRDefault="0035047C" w:rsidP="0035047C"/>
        </w:tc>
        <w:tc>
          <w:tcPr>
            <w:tcW w:w="2692" w:type="dxa"/>
          </w:tcPr>
          <w:p w:rsidR="0035047C" w:rsidRDefault="0035047C">
            <w:r>
              <w:t>T. Bilirubin0.4 mg/dL</w:t>
            </w:r>
          </w:p>
        </w:tc>
        <w:tc>
          <w:tcPr>
            <w:tcW w:w="2075" w:type="dxa"/>
          </w:tcPr>
          <w:p w:rsidR="0035047C" w:rsidRDefault="0035047C"/>
        </w:tc>
        <w:tc>
          <w:tcPr>
            <w:tcW w:w="2266" w:type="dxa"/>
          </w:tcPr>
          <w:p w:rsidR="0035047C" w:rsidRPr="00D06DFE" w:rsidRDefault="006C0CB1">
            <w:pPr>
              <w:rPr>
                <w:b/>
                <w:bCs/>
              </w:rPr>
            </w:pPr>
            <w:r w:rsidRPr="00D06DFE">
              <w:rPr>
                <w:b/>
                <w:bCs/>
              </w:rPr>
              <w:t>LDL    142 g/dL</w:t>
            </w:r>
            <w:r w:rsidR="00D06DFE" w:rsidRPr="00D06DFE">
              <w:rPr>
                <w:rFonts w:cstheme="minorHAnsi"/>
                <w:b/>
                <w:bCs/>
              </w:rPr>
              <w:t>↑</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HDL    4</w:t>
            </w:r>
            <w:r w:rsidR="00946A71">
              <w:t>6</w:t>
            </w:r>
            <w:r>
              <w:t xml:space="preserve">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TG      125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tc>
      </w:tr>
    </w:tbl>
    <w:p w:rsidR="0035047C" w:rsidRDefault="0035047C"/>
    <w:p w:rsidR="009113D1" w:rsidRPr="00946A71" w:rsidRDefault="00A27E02" w:rsidP="009113D1">
      <w:pPr>
        <w:rPr>
          <w:b/>
        </w:rPr>
      </w:pPr>
      <w:r w:rsidRPr="00946A71">
        <w:rPr>
          <w:b/>
        </w:rPr>
        <w:t xml:space="preserve">Güncel </w:t>
      </w:r>
      <w:r w:rsidR="009113D1" w:rsidRPr="00946A71">
        <w:rPr>
          <w:b/>
        </w:rPr>
        <w:t>Reçetesi:</w:t>
      </w:r>
    </w:p>
    <w:p w:rsidR="0035047C" w:rsidRDefault="00A27E02">
      <w:r>
        <w:t>Euth</w:t>
      </w:r>
      <w:r w:rsidR="003F2C46">
        <w:t>y</w:t>
      </w:r>
      <w:r>
        <w:t>rox Tablet 50 mcg P: 1x1</w:t>
      </w:r>
    </w:p>
    <w:p w:rsidR="00A27E02" w:rsidRDefault="00A27E02">
      <w:r>
        <w:t xml:space="preserve">Tamol Tablet P.R.N. </w:t>
      </w:r>
    </w:p>
    <w:p w:rsidR="0040701C" w:rsidRDefault="0040701C">
      <w:r>
        <w:t>Oroferon Depo Kaplı Tablet 1x1</w:t>
      </w:r>
    </w:p>
    <w:p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5"/>
        <w:gridCol w:w="7507"/>
      </w:tblGrid>
      <w:tr w:rsidR="000A392B" w:rsidTr="00946A71">
        <w:tc>
          <w:tcPr>
            <w:tcW w:w="1555" w:type="dxa"/>
          </w:tcPr>
          <w:p w:rsidR="000A392B" w:rsidRPr="00946A71" w:rsidRDefault="000A392B">
            <w:pPr>
              <w:rPr>
                <w:b/>
                <w:bCs/>
                <w:i/>
                <w:iCs/>
              </w:rPr>
            </w:pPr>
            <w:r w:rsidRPr="00946A71">
              <w:rPr>
                <w:b/>
                <w:bCs/>
                <w:i/>
                <w:iCs/>
              </w:rPr>
              <w:lastRenderedPageBreak/>
              <w:t>Eczacı</w:t>
            </w:r>
          </w:p>
        </w:tc>
        <w:tc>
          <w:tcPr>
            <w:tcW w:w="7507" w:type="dxa"/>
          </w:tcPr>
          <w:p w:rsidR="000A392B" w:rsidRDefault="000A392B">
            <w:r>
              <w:t>Merhaba size nasıl yardımcı olabilirim?</w:t>
            </w:r>
          </w:p>
        </w:tc>
      </w:tr>
      <w:tr w:rsidR="000A392B" w:rsidTr="00946A71">
        <w:tc>
          <w:tcPr>
            <w:tcW w:w="1555" w:type="dxa"/>
          </w:tcPr>
          <w:p w:rsidR="000A392B" w:rsidRPr="00946A71" w:rsidRDefault="004F38B0">
            <w:pPr>
              <w:rPr>
                <w:b/>
                <w:bCs/>
                <w:i/>
                <w:iCs/>
              </w:rPr>
            </w:pPr>
            <w:r w:rsidRPr="00946A71">
              <w:rPr>
                <w:b/>
                <w:bCs/>
                <w:i/>
                <w:iCs/>
              </w:rPr>
              <w:t>Hasta</w:t>
            </w:r>
          </w:p>
        </w:tc>
        <w:tc>
          <w:tcPr>
            <w:tcW w:w="7507" w:type="dxa"/>
          </w:tcPr>
          <w:p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rsidTr="00946A71">
        <w:tc>
          <w:tcPr>
            <w:tcW w:w="1555" w:type="dxa"/>
          </w:tcPr>
          <w:p w:rsidR="000A392B" w:rsidRPr="00946A71" w:rsidRDefault="000A392B">
            <w:pPr>
              <w:rPr>
                <w:b/>
                <w:bCs/>
                <w:i/>
                <w:iCs/>
              </w:rPr>
            </w:pPr>
            <w:r w:rsidRPr="00946A71">
              <w:rPr>
                <w:b/>
                <w:bCs/>
                <w:i/>
                <w:iCs/>
              </w:rPr>
              <w:t>Eczacı</w:t>
            </w:r>
          </w:p>
        </w:tc>
        <w:tc>
          <w:tcPr>
            <w:tcW w:w="7507" w:type="dxa"/>
          </w:tcPr>
          <w:p w:rsidR="004F38B0" w:rsidRDefault="000A392B" w:rsidP="004C19F0">
            <w:r>
              <w:t>Merhaba</w:t>
            </w:r>
            <w:r w:rsidR="003F2C46">
              <w:t>, evet hatırlıyorum. İ</w:t>
            </w:r>
            <w:r w:rsidR="004F38B0">
              <w:t xml:space="preserve">nfertilite ile ilgili hekiminiz herhangi bir teşhis </w:t>
            </w:r>
            <w:r w:rsidR="003F2C46">
              <w:t xml:space="preserve">koydu </w:t>
            </w:r>
            <w:r w:rsidR="004F38B0">
              <w:t xml:space="preserve">mu? </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4F38B0" w:rsidRDefault="004F38B0" w:rsidP="003F2C46">
            <w:r>
              <w:t>Hayır, endometriyozis var mı diye muayene etti herhangi bir sorun bulunmadı. Hormon değerlerimde normaldi. Her ikimizi CYB hastalıklar yönünde</w:t>
            </w:r>
            <w:r w:rsidR="003F2C46">
              <w:t>n</w:t>
            </w:r>
            <w:r>
              <w:t xml:space="preserve"> de incelediler, sonuçlarımız negatif geldi. Bunun üzerine eşimi ürolojiye yönlendirdi. Spermiyogram sonuçları normal geldi. </w:t>
            </w:r>
          </w:p>
        </w:tc>
      </w:tr>
      <w:tr w:rsidR="004F38B0" w:rsidTr="00946A71">
        <w:tc>
          <w:tcPr>
            <w:tcW w:w="1555" w:type="dxa"/>
          </w:tcPr>
          <w:p w:rsidR="004F38B0" w:rsidRPr="00946A71" w:rsidRDefault="004F38B0">
            <w:pPr>
              <w:rPr>
                <w:b/>
                <w:bCs/>
                <w:i/>
                <w:iCs/>
              </w:rPr>
            </w:pPr>
            <w:r w:rsidRPr="00946A71">
              <w:rPr>
                <w:b/>
                <w:bCs/>
                <w:i/>
                <w:iCs/>
              </w:rPr>
              <w:t>Eczacı</w:t>
            </w:r>
          </w:p>
        </w:tc>
        <w:tc>
          <w:tcPr>
            <w:tcW w:w="7507" w:type="dxa"/>
          </w:tcPr>
          <w:p w:rsidR="004F38B0" w:rsidRDefault="004F38B0">
            <w:r>
              <w:t xml:space="preserve">Kayıtlarıma </w:t>
            </w:r>
            <w:r w:rsidR="003F2C46">
              <w:t xml:space="preserve">göre </w:t>
            </w:r>
            <w:r>
              <w:t>ayrıca yorgunluk şikayetleriniz olduğundan bahsetmiştiniz. Hekiminize bu şikayetlerinizi ilettiniz mi?</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FC473A" w:rsidRDefault="004F38B0">
            <w:r>
              <w:t>Hayır gerek görmedim. Çocuk sahibi olmayı planlıyoruz ve iş yoğunluğum çok fazla</w:t>
            </w:r>
            <w:r w:rsidR="003F2C46">
              <w:t>,</w:t>
            </w:r>
            <w:r>
              <w:t xml:space="preserve"> yorgunluğumun buna bağlı olduğunu düşünüyorum.</w:t>
            </w:r>
          </w:p>
        </w:tc>
      </w:tr>
      <w:tr w:rsidR="004F38B0" w:rsidTr="00946A71">
        <w:tc>
          <w:tcPr>
            <w:tcW w:w="1555" w:type="dxa"/>
          </w:tcPr>
          <w:p w:rsidR="004F38B0" w:rsidRPr="00946A71" w:rsidRDefault="00FC473A">
            <w:pPr>
              <w:rPr>
                <w:b/>
                <w:bCs/>
                <w:i/>
                <w:iCs/>
              </w:rPr>
            </w:pPr>
            <w:r w:rsidRPr="00946A71">
              <w:rPr>
                <w:b/>
                <w:bCs/>
                <w:i/>
                <w:iCs/>
              </w:rPr>
              <w:t>Eczacı</w:t>
            </w:r>
          </w:p>
        </w:tc>
        <w:tc>
          <w:tcPr>
            <w:tcW w:w="7507" w:type="dxa"/>
          </w:tcPr>
          <w:p w:rsidR="004F38B0" w:rsidRDefault="00FC473A">
            <w:r>
              <w:t>Bahsetmek istediğiniz başka bir şikayetiniz var mı?</w:t>
            </w:r>
          </w:p>
        </w:tc>
      </w:tr>
      <w:tr w:rsidR="00FC473A" w:rsidTr="00946A71">
        <w:tc>
          <w:tcPr>
            <w:tcW w:w="1555" w:type="dxa"/>
          </w:tcPr>
          <w:p w:rsidR="00FC473A" w:rsidRPr="00946A71" w:rsidRDefault="00FC473A">
            <w:pPr>
              <w:rPr>
                <w:b/>
                <w:bCs/>
                <w:i/>
                <w:iCs/>
              </w:rPr>
            </w:pPr>
            <w:r w:rsidRPr="00946A71">
              <w:rPr>
                <w:b/>
                <w:bCs/>
                <w:i/>
                <w:iCs/>
              </w:rPr>
              <w:t>Hasta</w:t>
            </w:r>
          </w:p>
        </w:tc>
        <w:tc>
          <w:tcPr>
            <w:tcW w:w="7507" w:type="dxa"/>
          </w:tcPr>
          <w:p w:rsidR="00FC473A" w:rsidRDefault="00FC473A">
            <w:r>
              <w:t>Sadece son 3-4 aydır işte konsantre olmakta güçlük çekiyorum. Bu sanırım uyumakta güçlük çekmemden ve geç yatmamdan kaynaklanıyor.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Ailenizde önemli bir rahatsızlığı olan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Annemde tip-2 diyabet ve hipertansiyon var.  Benden 4 yaş büyük ablamda da Haşimato hastalığı var</w:t>
            </w:r>
            <w:r w:rsidR="003F2C46">
              <w:t>,</w:t>
            </w:r>
            <w:r>
              <w:t xml:space="preserve"> 5 yıldır ilaç kullanıyor.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Alkol </w:t>
            </w:r>
            <w:r w:rsidR="003F2C46">
              <w:t xml:space="preserve">veya </w:t>
            </w:r>
            <w:r>
              <w:t>sigara kullanıyor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Sigara kullanmıyorum. Alkol nadiren kullanıyordum ama çocuk sahibi olmak istediğimizden son iki senedir hiç kullanmadım.</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ilaçları ne için kullandığınızı biliyor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Evet, doktor Euth</w:t>
            </w:r>
            <w:r w:rsidR="003F2C46">
              <w:t>y</w:t>
            </w:r>
            <w:r>
              <w:t>rox’u tiroid için yazdı. Haftada 1-2 kere başım ağrıdığında Tamol kullanıyorum onu da yazmasını rica etmiştim. Bir demir hapım var</w:t>
            </w:r>
            <w:r w:rsidR="003F2C46">
              <w:t>,</w:t>
            </w:r>
            <w:r>
              <w:t xml:space="preserve"> o da evde kalmamıştı yazdırdım. </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Demir hapınızı ne kadar süredir kullanıyorsunuz?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Lise çağlarımda demir değerlerim düşüktü o zaman yazmışlardı kullanmaya devam ediyorum. Yalnız son bir senedir çok kabızlık yapıyor bende.</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bu ilaçlarınız haricinde başka kullandığınız reçeteli/reçetesiz ilaçlar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3F2C46">
            <w:r>
              <w:t>Evet aslında var. Çocuk sahibi olmaya hazırlanmak için kalsiyum takviyesi de olsun diye Solgar’ın Calcium Magnesium Plus Boron Tablet</w:t>
            </w:r>
            <w:r w:rsidR="003F2C46">
              <w:t>’</w:t>
            </w:r>
            <w:r>
              <w:t>ini kullanmaya başladım. Az önce dediğim gibi kabızlık şikayetim için youtube reklamlarında Dulcosoft Oral solüsyon görmüştüm. Onu kullanmaya başladım. Ayrıca cilt kuruluğum çok arttı, bunun içinde bana bir krem önerebilir misiniz?</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Cildinizde kuruluk haricinde kızarıklık veya kaşıntı var mı? </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Hayır, yok.</w:t>
            </w:r>
          </w:p>
        </w:tc>
      </w:tr>
      <w:tr w:rsidR="004C19F0" w:rsidTr="00946A71">
        <w:tc>
          <w:tcPr>
            <w:tcW w:w="1555" w:type="dxa"/>
          </w:tcPr>
          <w:p w:rsidR="004C19F0" w:rsidRPr="00946A71" w:rsidRDefault="00946A71" w:rsidP="00FC473A">
            <w:pPr>
              <w:rPr>
                <w:b/>
                <w:bCs/>
                <w:i/>
                <w:iCs/>
              </w:rPr>
            </w:pPr>
            <w:r>
              <w:rPr>
                <w:b/>
                <w:bCs/>
                <w:i/>
                <w:iCs/>
              </w:rPr>
              <w:t>Eczacı</w:t>
            </w:r>
          </w:p>
        </w:tc>
        <w:tc>
          <w:tcPr>
            <w:tcW w:w="7507" w:type="dxa"/>
          </w:tcPr>
          <w:p w:rsidR="004C19F0" w:rsidRDefault="00946A71" w:rsidP="00FC473A">
            <w:r>
              <w:t>Reçetenizi hazırlamadan önce sizi kısa bir süre bekletebilir miyim?</w:t>
            </w:r>
          </w:p>
        </w:tc>
      </w:tr>
      <w:tr w:rsidR="00946A71" w:rsidTr="00946A71">
        <w:tc>
          <w:tcPr>
            <w:tcW w:w="1555" w:type="dxa"/>
          </w:tcPr>
          <w:p w:rsidR="00946A71" w:rsidRDefault="00946A71" w:rsidP="00FC473A">
            <w:pPr>
              <w:rPr>
                <w:b/>
                <w:bCs/>
                <w:i/>
                <w:iCs/>
              </w:rPr>
            </w:pPr>
            <w:r>
              <w:rPr>
                <w:b/>
                <w:bCs/>
                <w:i/>
                <w:iCs/>
              </w:rPr>
              <w:t>Hasta</w:t>
            </w:r>
          </w:p>
        </w:tc>
        <w:tc>
          <w:tcPr>
            <w:tcW w:w="7507" w:type="dxa"/>
          </w:tcPr>
          <w:p w:rsidR="00946A71" w:rsidRDefault="00946A71" w:rsidP="00FC473A">
            <w:r>
              <w:t>Tabi bekliyorum.</w:t>
            </w:r>
          </w:p>
        </w:tc>
      </w:tr>
    </w:tbl>
    <w:p w:rsidR="000A392B" w:rsidRDefault="000A392B"/>
    <w:p w:rsidR="000A1C5C" w:rsidRDefault="000A1C5C"/>
    <w:p w:rsidR="000A1C5C" w:rsidRDefault="000A1C5C">
      <w:pPr>
        <w:rPr>
          <w:b/>
          <w:bCs/>
        </w:rPr>
      </w:pPr>
      <w:r>
        <w:rPr>
          <w:b/>
          <w:bCs/>
        </w:rPr>
        <w:br w:type="page"/>
      </w:r>
    </w:p>
    <w:p w:rsidR="000A1C5C" w:rsidRPr="000A1C5C" w:rsidRDefault="000A1C5C">
      <w:pPr>
        <w:rPr>
          <w:b/>
          <w:bCs/>
        </w:rPr>
      </w:pPr>
      <w:r w:rsidRPr="000A1C5C">
        <w:rPr>
          <w:b/>
          <w:bCs/>
        </w:rPr>
        <w:lastRenderedPageBreak/>
        <w:t>BAKIM PLANINIZI YAZINIZ:</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6"/>
        <w:gridCol w:w="1928"/>
        <w:gridCol w:w="1956"/>
        <w:gridCol w:w="1933"/>
        <w:gridCol w:w="2264"/>
      </w:tblGrid>
      <w:tr w:rsidR="00C76C9B" w:rsidRPr="00F2664D" w:rsidTr="00FF10AB">
        <w:tc>
          <w:tcPr>
            <w:tcW w:w="1666" w:type="dxa"/>
          </w:tcPr>
          <w:p w:rsidR="00F611B4" w:rsidRPr="00F2664D" w:rsidRDefault="00D37DC0" w:rsidP="00BE6035">
            <w:pPr>
              <w:spacing w:after="0"/>
              <w:jc w:val="center"/>
              <w:rPr>
                <w:rFonts w:cstheme="minorHAnsi"/>
                <w:b/>
              </w:rPr>
            </w:pPr>
            <w:r>
              <w:rPr>
                <w:rFonts w:cstheme="minorHAnsi"/>
                <w:b/>
              </w:rPr>
              <w:t>TANIM</w:t>
            </w:r>
          </w:p>
        </w:tc>
        <w:tc>
          <w:tcPr>
            <w:tcW w:w="1928" w:type="dxa"/>
          </w:tcPr>
          <w:p w:rsidR="00F611B4" w:rsidRPr="00F2664D" w:rsidRDefault="003F2C46" w:rsidP="00BE6035">
            <w:pPr>
              <w:spacing w:after="0"/>
              <w:jc w:val="center"/>
              <w:rPr>
                <w:rFonts w:cstheme="minorHAnsi"/>
                <w:b/>
              </w:rPr>
            </w:pPr>
            <w:r>
              <w:rPr>
                <w:rFonts w:cstheme="minorHAnsi"/>
                <w:b/>
              </w:rPr>
              <w:t>Tedavi hedefi</w:t>
            </w:r>
          </w:p>
        </w:tc>
        <w:tc>
          <w:tcPr>
            <w:tcW w:w="1956" w:type="dxa"/>
          </w:tcPr>
          <w:p w:rsidR="00F611B4" w:rsidRPr="00F2664D" w:rsidRDefault="00F611B4" w:rsidP="00BE6035">
            <w:pPr>
              <w:spacing w:after="0"/>
              <w:jc w:val="center"/>
              <w:rPr>
                <w:rFonts w:cstheme="minorHAnsi"/>
                <w:b/>
              </w:rPr>
            </w:pPr>
            <w:r w:rsidRPr="00F2664D">
              <w:rPr>
                <w:rFonts w:cstheme="minorHAnsi"/>
                <w:b/>
              </w:rPr>
              <w:t>Detaylı</w:t>
            </w:r>
          </w:p>
          <w:p w:rsidR="00F611B4" w:rsidRPr="00F2664D" w:rsidRDefault="00F611B4" w:rsidP="00BE6035">
            <w:pPr>
              <w:spacing w:after="0"/>
              <w:jc w:val="center"/>
              <w:rPr>
                <w:rFonts w:cstheme="minorHAnsi"/>
                <w:b/>
              </w:rPr>
            </w:pPr>
            <w:r w:rsidRPr="00F2664D">
              <w:rPr>
                <w:rFonts w:cstheme="minorHAnsi"/>
                <w:b/>
              </w:rPr>
              <w:t>değerlendirme</w:t>
            </w:r>
          </w:p>
        </w:tc>
        <w:tc>
          <w:tcPr>
            <w:tcW w:w="1933" w:type="dxa"/>
          </w:tcPr>
          <w:p w:rsidR="00F611B4" w:rsidRPr="00F2664D" w:rsidRDefault="00F611B4" w:rsidP="00BE6035">
            <w:pPr>
              <w:spacing w:after="0"/>
              <w:jc w:val="center"/>
              <w:rPr>
                <w:rFonts w:cstheme="minorHAnsi"/>
                <w:b/>
              </w:rPr>
            </w:pPr>
            <w:r w:rsidRPr="00F2664D">
              <w:rPr>
                <w:rFonts w:cstheme="minorHAnsi"/>
                <w:b/>
              </w:rPr>
              <w:t>Girişim</w:t>
            </w:r>
          </w:p>
        </w:tc>
        <w:tc>
          <w:tcPr>
            <w:tcW w:w="2264" w:type="dxa"/>
          </w:tcPr>
          <w:p w:rsidR="00F611B4" w:rsidRPr="00F2664D" w:rsidRDefault="00F611B4" w:rsidP="003F2C46">
            <w:pPr>
              <w:spacing w:after="0"/>
              <w:jc w:val="center"/>
              <w:rPr>
                <w:rFonts w:cstheme="minorHAnsi"/>
                <w:b/>
              </w:rPr>
            </w:pPr>
            <w:r w:rsidRPr="00F2664D">
              <w:rPr>
                <w:rFonts w:cstheme="minorHAnsi"/>
                <w:b/>
              </w:rPr>
              <w:t>Takip ve İzlem</w:t>
            </w:r>
          </w:p>
        </w:tc>
      </w:tr>
      <w:tr w:rsidR="00C76C9B" w:rsidRPr="00F2664D" w:rsidTr="00FF10AB">
        <w:trPr>
          <w:trHeight w:val="491"/>
        </w:trPr>
        <w:tc>
          <w:tcPr>
            <w:tcW w:w="1666" w:type="dxa"/>
          </w:tcPr>
          <w:p w:rsidR="00F611B4" w:rsidRPr="00F2664D" w:rsidRDefault="00F611B4" w:rsidP="0017203E">
            <w:pPr>
              <w:rPr>
                <w:rFonts w:cstheme="minorHAnsi"/>
              </w:rPr>
            </w:pPr>
            <w:r w:rsidRPr="00F2664D">
              <w:rPr>
                <w:rFonts w:cstheme="minorHAnsi"/>
              </w:rPr>
              <w:t>1.</w:t>
            </w:r>
            <w:r w:rsidR="00093DD9">
              <w:rPr>
                <w:rFonts w:cstheme="minorHAnsi"/>
              </w:rPr>
              <w:t>Hipotiro</w:t>
            </w:r>
            <w:r w:rsidR="0017203E">
              <w:rPr>
                <w:rFonts w:cstheme="minorHAnsi"/>
              </w:rPr>
              <w:t>i</w:t>
            </w:r>
            <w:r w:rsidR="00093DD9">
              <w:rPr>
                <w:rFonts w:cstheme="minorHAnsi"/>
              </w:rPr>
              <w:t>diz</w:t>
            </w:r>
            <w:r w:rsidR="0017203E">
              <w:rPr>
                <w:rFonts w:cstheme="minorHAnsi"/>
              </w:rPr>
              <w:t>m-</w:t>
            </w:r>
            <w:r w:rsidR="00093DD9">
              <w:rPr>
                <w:rFonts w:cstheme="minorHAnsi"/>
              </w:rPr>
              <w:t xml:space="preserve"> Güncel Problem</w:t>
            </w:r>
          </w:p>
        </w:tc>
        <w:tc>
          <w:tcPr>
            <w:tcW w:w="1928" w:type="dxa"/>
          </w:tcPr>
          <w:p w:rsidR="00F611B4" w:rsidRDefault="0017203E" w:rsidP="0017203E">
            <w:pPr>
              <w:rPr>
                <w:rFonts w:cstheme="minorHAnsi"/>
              </w:rPr>
            </w:pPr>
            <w:r>
              <w:rPr>
                <w:rFonts w:cstheme="minorHAnsi"/>
              </w:rPr>
              <w:t xml:space="preserve"> *  </w:t>
            </w:r>
            <w:r w:rsidR="00093DD9">
              <w:rPr>
                <w:rFonts w:cstheme="minorHAnsi"/>
              </w:rPr>
              <w:t xml:space="preserve">Hastanın TSH değerini kabul edilebilir değerlere </w:t>
            </w:r>
            <w:r>
              <w:rPr>
                <w:rFonts w:cstheme="minorHAnsi"/>
              </w:rPr>
              <w:t>indimek</w:t>
            </w:r>
          </w:p>
          <w:p w:rsidR="001740CE" w:rsidRPr="0017203E" w:rsidRDefault="001740CE" w:rsidP="0017203E">
            <w:pPr>
              <w:pStyle w:val="ListeParagraf"/>
              <w:numPr>
                <w:ilvl w:val="0"/>
                <w:numId w:val="1"/>
              </w:numPr>
              <w:rPr>
                <w:rFonts w:cstheme="minorHAnsi"/>
              </w:rPr>
            </w:pPr>
            <w:r w:rsidRPr="0017203E">
              <w:rPr>
                <w:rFonts w:cstheme="minorHAnsi"/>
              </w:rPr>
              <w:t>LT4 aşırı komplikasyonların önlemek.</w:t>
            </w:r>
          </w:p>
        </w:tc>
        <w:tc>
          <w:tcPr>
            <w:tcW w:w="1956" w:type="dxa"/>
          </w:tcPr>
          <w:p w:rsidR="00F611B4" w:rsidRPr="00F2664D" w:rsidRDefault="00093DD9" w:rsidP="00946A71">
            <w:pPr>
              <w:ind w:left="82"/>
              <w:rPr>
                <w:rFonts w:cstheme="minorHAnsi"/>
              </w:rPr>
            </w:pPr>
            <w:r>
              <w:rPr>
                <w:rFonts w:cstheme="minorHAnsi"/>
              </w:rPr>
              <w:t xml:space="preserve">Normal TSH değeri 0,5-2,5 </w:t>
            </w:r>
            <w:r w:rsidRPr="00093DD9">
              <w:rPr>
                <w:rFonts w:cstheme="minorHAnsi"/>
              </w:rPr>
              <w:t>mI</w:t>
            </w:r>
            <w:r w:rsidR="0017203E">
              <w:rPr>
                <w:rFonts w:cstheme="minorHAnsi"/>
              </w:rPr>
              <w:t xml:space="preserve"> </w:t>
            </w:r>
            <w:r w:rsidRPr="00093DD9">
              <w:rPr>
                <w:rFonts w:cstheme="minorHAnsi"/>
              </w:rPr>
              <w:t>U/L</w:t>
            </w:r>
            <w:r>
              <w:rPr>
                <w:rFonts w:cstheme="minorHAnsi"/>
              </w:rPr>
              <w:t xml:space="preserve"> olmalıdır. Değerin yüksek olması hipotiroidizme işaret eder.</w:t>
            </w:r>
          </w:p>
        </w:tc>
        <w:tc>
          <w:tcPr>
            <w:tcW w:w="1933" w:type="dxa"/>
          </w:tcPr>
          <w:p w:rsidR="00F611B4" w:rsidRPr="0017203E" w:rsidRDefault="00093DD9" w:rsidP="0017203E">
            <w:pPr>
              <w:pStyle w:val="ListeParagraf"/>
              <w:numPr>
                <w:ilvl w:val="0"/>
                <w:numId w:val="1"/>
              </w:numPr>
              <w:rPr>
                <w:rFonts w:cstheme="minorHAnsi"/>
              </w:rPr>
            </w:pPr>
            <w:r w:rsidRPr="0017203E">
              <w:rPr>
                <w:rFonts w:cstheme="minorHAnsi"/>
              </w:rPr>
              <w:t xml:space="preserve">Hipotirodizm için levotroksin içeren Euthyrox </w:t>
            </w:r>
            <w:r w:rsidR="0017203E" w:rsidRPr="0017203E">
              <w:rPr>
                <w:rFonts w:cstheme="minorHAnsi"/>
              </w:rPr>
              <w:t xml:space="preserve">ilacı </w:t>
            </w:r>
            <w:r w:rsidRPr="0017203E">
              <w:rPr>
                <w:rFonts w:cstheme="minorHAnsi"/>
              </w:rPr>
              <w:t>verilmiş.</w:t>
            </w:r>
          </w:p>
          <w:p w:rsidR="00093DD9" w:rsidRPr="00F2664D" w:rsidRDefault="00ED5A74" w:rsidP="00C76C9B">
            <w:pPr>
              <w:ind w:left="82"/>
              <w:rPr>
                <w:rFonts w:cstheme="minorHAnsi"/>
              </w:rPr>
            </w:pPr>
            <w:r>
              <w:rPr>
                <w:rFonts w:cstheme="minorHAnsi"/>
              </w:rPr>
              <w:t>Kullandığı ilaç markasına devam etmesi gerektiği söylenmelidir</w:t>
            </w:r>
            <w:r w:rsidR="00C76C9B">
              <w:rPr>
                <w:rFonts w:cstheme="minorHAnsi"/>
              </w:rPr>
              <w:t xml:space="preserve"> (eşdeğer ilaç kullanımında biyoyararlanım değişebileceği için)</w:t>
            </w:r>
            <w:r>
              <w:rPr>
                <w:rFonts w:cstheme="minorHAnsi"/>
              </w:rPr>
              <w:t>. İlacı aç karnına kullanması gerektiği belirtilmelidir.</w:t>
            </w:r>
          </w:p>
        </w:tc>
        <w:tc>
          <w:tcPr>
            <w:tcW w:w="2264" w:type="dxa"/>
          </w:tcPr>
          <w:p w:rsidR="00F611B4" w:rsidRPr="0017203E" w:rsidRDefault="00ED5A74" w:rsidP="0017203E">
            <w:pPr>
              <w:pStyle w:val="ListeParagraf"/>
              <w:numPr>
                <w:ilvl w:val="0"/>
                <w:numId w:val="1"/>
              </w:numPr>
              <w:rPr>
                <w:rFonts w:cstheme="minorHAnsi"/>
              </w:rPr>
            </w:pPr>
            <w:r w:rsidRPr="0017203E">
              <w:rPr>
                <w:rFonts w:cstheme="minorHAnsi"/>
              </w:rPr>
              <w:t>Hastanın t</w:t>
            </w:r>
            <w:r w:rsidR="001740CE" w:rsidRPr="0017203E">
              <w:rPr>
                <w:rFonts w:cstheme="minorHAnsi"/>
              </w:rPr>
              <w:t xml:space="preserve">iroid değerleri 4-6 haftada bir </w:t>
            </w:r>
            <w:r w:rsidR="0017203E" w:rsidRPr="0017203E">
              <w:rPr>
                <w:rFonts w:cstheme="minorHAnsi"/>
              </w:rPr>
              <w:t>k</w:t>
            </w:r>
            <w:r w:rsidR="001740CE" w:rsidRPr="0017203E">
              <w:rPr>
                <w:rFonts w:cstheme="minorHAnsi"/>
              </w:rPr>
              <w:t>ontrol edil</w:t>
            </w:r>
            <w:r w:rsidR="0017203E" w:rsidRPr="0017203E">
              <w:rPr>
                <w:rFonts w:cstheme="minorHAnsi"/>
              </w:rPr>
              <w:t>melidir. Olması gereken</w:t>
            </w:r>
            <w:r w:rsidR="001740CE" w:rsidRPr="0017203E">
              <w:rPr>
                <w:rFonts w:cstheme="minorHAnsi"/>
              </w:rPr>
              <w:t xml:space="preserve"> değerlere </w:t>
            </w:r>
            <w:r w:rsidR="0017203E" w:rsidRPr="0017203E">
              <w:rPr>
                <w:rFonts w:cstheme="minorHAnsi"/>
              </w:rPr>
              <w:t xml:space="preserve">geldiğinde </w:t>
            </w:r>
            <w:r w:rsidR="001740CE" w:rsidRPr="0017203E">
              <w:rPr>
                <w:rFonts w:cstheme="minorHAnsi"/>
              </w:rPr>
              <w:t xml:space="preserve">6-12 ay arası </w:t>
            </w:r>
            <w:r w:rsidR="0017203E" w:rsidRPr="0017203E">
              <w:rPr>
                <w:rFonts w:cstheme="minorHAnsi"/>
              </w:rPr>
              <w:t xml:space="preserve">hekim </w:t>
            </w:r>
            <w:r w:rsidR="001740CE" w:rsidRPr="0017203E">
              <w:rPr>
                <w:rFonts w:cstheme="minorHAnsi"/>
              </w:rPr>
              <w:t>kontrol</w:t>
            </w:r>
            <w:r w:rsidR="0017203E" w:rsidRPr="0017203E">
              <w:rPr>
                <w:rFonts w:cstheme="minorHAnsi"/>
              </w:rPr>
              <w:t>ü</w:t>
            </w:r>
            <w:r w:rsidR="001740CE" w:rsidRPr="0017203E">
              <w:rPr>
                <w:rFonts w:cstheme="minorHAnsi"/>
              </w:rPr>
              <w:t xml:space="preserve"> yeterlidir.</w:t>
            </w:r>
          </w:p>
          <w:p w:rsidR="001740CE" w:rsidRPr="00F2664D" w:rsidRDefault="001740CE" w:rsidP="0017203E">
            <w:pPr>
              <w:ind w:left="82"/>
              <w:rPr>
                <w:rFonts w:cstheme="minorHAnsi"/>
              </w:rPr>
            </w:pPr>
            <w:r>
              <w:rPr>
                <w:rFonts w:cstheme="minorHAnsi"/>
              </w:rPr>
              <w:t xml:space="preserve">Hastanın gebe kalması durumunda TSH düzeyleri </w:t>
            </w:r>
            <w:r w:rsidR="0017203E">
              <w:rPr>
                <w:rFonts w:cstheme="minorHAnsi"/>
              </w:rPr>
              <w:t xml:space="preserve">30 günde bir kez kontrol edilmeli, doz; </w:t>
            </w:r>
            <w:r>
              <w:rPr>
                <w:rFonts w:cstheme="minorHAnsi"/>
              </w:rPr>
              <w:t xml:space="preserve">sonuçlara göre değerlendirilip </w:t>
            </w:r>
            <w:r w:rsidR="00ED5A74">
              <w:rPr>
                <w:rFonts w:cstheme="minorHAnsi"/>
              </w:rPr>
              <w:t>ayarlanmalıdır.</w:t>
            </w:r>
          </w:p>
        </w:tc>
      </w:tr>
      <w:tr w:rsidR="00C76C9B" w:rsidRPr="00F2664D" w:rsidTr="00FF10AB">
        <w:trPr>
          <w:trHeight w:val="557"/>
        </w:trPr>
        <w:tc>
          <w:tcPr>
            <w:tcW w:w="1666" w:type="dxa"/>
          </w:tcPr>
          <w:p w:rsidR="00F611B4" w:rsidRPr="00F2664D" w:rsidRDefault="00F611B4" w:rsidP="00BE6035">
            <w:pPr>
              <w:rPr>
                <w:rFonts w:cstheme="minorHAnsi"/>
              </w:rPr>
            </w:pPr>
            <w:r w:rsidRPr="00F2664D">
              <w:rPr>
                <w:rFonts w:cstheme="minorHAnsi"/>
              </w:rPr>
              <w:t>2.</w:t>
            </w:r>
            <w:r w:rsidR="00C76C9B">
              <w:rPr>
                <w:rFonts w:cstheme="minorHAnsi"/>
              </w:rPr>
              <w:t>İlaç etkileşimi – Potansiyel problem</w:t>
            </w:r>
          </w:p>
        </w:tc>
        <w:tc>
          <w:tcPr>
            <w:tcW w:w="1928" w:type="dxa"/>
          </w:tcPr>
          <w:p w:rsidR="00F611B4" w:rsidRPr="00F2664D" w:rsidRDefault="0017203E" w:rsidP="00946A71">
            <w:pPr>
              <w:ind w:left="82"/>
              <w:rPr>
                <w:rFonts w:cstheme="minorHAnsi"/>
              </w:rPr>
            </w:pPr>
            <w:r>
              <w:rPr>
                <w:rFonts w:cstheme="minorHAnsi"/>
              </w:rPr>
              <w:t xml:space="preserve">* </w:t>
            </w:r>
            <w:r w:rsidR="00C76C9B">
              <w:rPr>
                <w:rFonts w:cstheme="minorHAnsi"/>
              </w:rPr>
              <w:t>Olası ilaç etkile</w:t>
            </w:r>
            <w:r>
              <w:rPr>
                <w:rFonts w:cstheme="minorHAnsi"/>
              </w:rPr>
              <w:t>şiminin önüne geçmek</w:t>
            </w:r>
          </w:p>
        </w:tc>
        <w:tc>
          <w:tcPr>
            <w:tcW w:w="1956" w:type="dxa"/>
          </w:tcPr>
          <w:p w:rsidR="00F611B4" w:rsidRPr="00F2664D" w:rsidRDefault="0017203E" w:rsidP="00FF10AB">
            <w:pPr>
              <w:ind w:left="82"/>
              <w:rPr>
                <w:rFonts w:cstheme="minorHAnsi"/>
              </w:rPr>
            </w:pPr>
            <w:r>
              <w:rPr>
                <w:rFonts w:cstheme="minorHAnsi"/>
              </w:rPr>
              <w:t xml:space="preserve">* </w:t>
            </w:r>
            <w:r w:rsidR="00C76C9B">
              <w:rPr>
                <w:rFonts w:cstheme="minorHAnsi"/>
              </w:rPr>
              <w:t>Euthyrox kullanıl</w:t>
            </w:r>
            <w:r w:rsidR="00FF10AB">
              <w:rPr>
                <w:rFonts w:cstheme="minorHAnsi"/>
              </w:rPr>
              <w:t xml:space="preserve">an </w:t>
            </w:r>
            <w:r w:rsidR="00C76C9B">
              <w:rPr>
                <w:rFonts w:cstheme="minorHAnsi"/>
              </w:rPr>
              <w:t>4 saat</w:t>
            </w:r>
            <w:r w:rsidR="00FF10AB">
              <w:rPr>
                <w:rFonts w:cstheme="minorHAnsi"/>
              </w:rPr>
              <w:t>lik süre</w:t>
            </w:r>
            <w:r w:rsidR="00C76C9B">
              <w:rPr>
                <w:rFonts w:cstheme="minorHAnsi"/>
              </w:rPr>
              <w:t xml:space="preserve"> </w:t>
            </w:r>
            <w:r w:rsidR="00FF10AB">
              <w:rPr>
                <w:rFonts w:cstheme="minorHAnsi"/>
              </w:rPr>
              <w:t xml:space="preserve">içinde </w:t>
            </w:r>
            <w:r w:rsidR="00C76C9B">
              <w:rPr>
                <w:rFonts w:cstheme="minorHAnsi"/>
              </w:rPr>
              <w:t>etkileşime neden olduğu için demir veya kalsiyum karbonat içeren besin veya ilaçlar kullanılmamalıdır.</w:t>
            </w:r>
          </w:p>
        </w:tc>
        <w:tc>
          <w:tcPr>
            <w:tcW w:w="1933" w:type="dxa"/>
          </w:tcPr>
          <w:p w:rsidR="00F611B4" w:rsidRPr="00F2664D" w:rsidRDefault="0017203E" w:rsidP="0017203E">
            <w:pPr>
              <w:ind w:left="82"/>
              <w:rPr>
                <w:rFonts w:cstheme="minorHAnsi"/>
              </w:rPr>
            </w:pPr>
            <w:r>
              <w:rPr>
                <w:rFonts w:cstheme="minorHAnsi"/>
              </w:rPr>
              <w:t xml:space="preserve">* </w:t>
            </w:r>
            <w:r w:rsidR="00C76C9B">
              <w:rPr>
                <w:rFonts w:cstheme="minorHAnsi"/>
              </w:rPr>
              <w:t>Hastanın ilaç alım saatlerini düzenlemek gerekir. Tiroid ilacı aç karnına alınması gerek</w:t>
            </w:r>
            <w:r w:rsidR="005F4AFC">
              <w:rPr>
                <w:rFonts w:cstheme="minorHAnsi"/>
              </w:rPr>
              <w:t xml:space="preserve">tiği, demir ve kalsiyum haplarını </w:t>
            </w:r>
            <w:r>
              <w:rPr>
                <w:rFonts w:cstheme="minorHAnsi"/>
              </w:rPr>
              <w:t>minimum</w:t>
            </w:r>
            <w:r w:rsidR="005F4AFC">
              <w:rPr>
                <w:rFonts w:cstheme="minorHAnsi"/>
              </w:rPr>
              <w:t xml:space="preserve"> 4 saat sonra kullanması gerektiği</w:t>
            </w:r>
            <w:r>
              <w:rPr>
                <w:rFonts w:cstheme="minorHAnsi"/>
              </w:rPr>
              <w:t xml:space="preserve"> hastaya iletilmelidir</w:t>
            </w:r>
            <w:r w:rsidR="005F4AFC">
              <w:rPr>
                <w:rFonts w:cstheme="minorHAnsi"/>
              </w:rPr>
              <w:t>.</w:t>
            </w:r>
          </w:p>
        </w:tc>
        <w:tc>
          <w:tcPr>
            <w:tcW w:w="2264" w:type="dxa"/>
          </w:tcPr>
          <w:p w:rsidR="00F611B4" w:rsidRPr="00F2664D" w:rsidRDefault="0017203E" w:rsidP="00946A71">
            <w:pPr>
              <w:ind w:left="82"/>
              <w:rPr>
                <w:rFonts w:cstheme="minorHAnsi"/>
              </w:rPr>
            </w:pPr>
            <w:r>
              <w:rPr>
                <w:rFonts w:cstheme="minorHAnsi"/>
              </w:rPr>
              <w:t>Hastanın ilaçları</w:t>
            </w:r>
            <w:r w:rsidR="003F7715">
              <w:rPr>
                <w:rFonts w:cstheme="minorHAnsi"/>
              </w:rPr>
              <w:t xml:space="preserve"> alma zamanları belirlenip takip edilebilir.</w:t>
            </w:r>
          </w:p>
        </w:tc>
      </w:tr>
      <w:tr w:rsidR="003F7715" w:rsidRPr="00F2664D" w:rsidTr="00FF10AB">
        <w:trPr>
          <w:trHeight w:val="565"/>
        </w:trPr>
        <w:tc>
          <w:tcPr>
            <w:tcW w:w="1666" w:type="dxa"/>
          </w:tcPr>
          <w:p w:rsidR="0017203E" w:rsidRDefault="0017203E" w:rsidP="003F7715">
            <w:pPr>
              <w:rPr>
                <w:rFonts w:cstheme="minorHAnsi"/>
              </w:rPr>
            </w:pPr>
          </w:p>
          <w:p w:rsidR="003F7715" w:rsidRPr="00F2664D" w:rsidRDefault="003F7715" w:rsidP="003F7715">
            <w:pPr>
              <w:rPr>
                <w:rFonts w:cstheme="minorHAnsi"/>
              </w:rPr>
            </w:pPr>
            <w:r w:rsidRPr="00F2664D">
              <w:rPr>
                <w:rFonts w:cstheme="minorHAnsi"/>
              </w:rPr>
              <w:t>3.</w:t>
            </w:r>
            <w:r>
              <w:rPr>
                <w:rFonts w:cstheme="minorHAnsi"/>
              </w:rPr>
              <w:t>Gereksiz ilaç kullanımı – Potansiyel problem</w:t>
            </w:r>
          </w:p>
        </w:tc>
        <w:tc>
          <w:tcPr>
            <w:tcW w:w="1928" w:type="dxa"/>
          </w:tcPr>
          <w:p w:rsidR="0017203E" w:rsidRDefault="0017203E" w:rsidP="0017203E">
            <w:pPr>
              <w:rPr>
                <w:rFonts w:cstheme="minorHAnsi"/>
              </w:rPr>
            </w:pPr>
          </w:p>
          <w:p w:rsidR="003F7715" w:rsidRPr="00F2664D" w:rsidRDefault="00FF10AB" w:rsidP="00FF10AB">
            <w:pPr>
              <w:rPr>
                <w:rFonts w:cstheme="minorHAnsi"/>
              </w:rPr>
            </w:pPr>
            <w:r>
              <w:rPr>
                <w:rFonts w:cstheme="minorHAnsi"/>
              </w:rPr>
              <w:t>Hastanın kan değerlerine bakıp demir eksikliği olup olmadığını saptamak, buna göre ilacın kullanılmasının devamlılığını sorgulamak.</w:t>
            </w:r>
          </w:p>
        </w:tc>
        <w:tc>
          <w:tcPr>
            <w:tcW w:w="1956" w:type="dxa"/>
          </w:tcPr>
          <w:p w:rsidR="0017203E" w:rsidRDefault="0017203E" w:rsidP="003F7715">
            <w:pPr>
              <w:ind w:left="82"/>
              <w:rPr>
                <w:rFonts w:cstheme="minorHAnsi"/>
              </w:rPr>
            </w:pPr>
          </w:p>
          <w:p w:rsidR="00FF10AB" w:rsidRDefault="00FF10AB" w:rsidP="00FF10AB">
            <w:pPr>
              <w:ind w:left="82"/>
              <w:rPr>
                <w:rFonts w:cstheme="minorHAnsi"/>
              </w:rPr>
            </w:pPr>
            <w:r>
              <w:rPr>
                <w:rFonts w:cstheme="minorHAnsi"/>
              </w:rPr>
              <w:t xml:space="preserve">Ergenlik </w:t>
            </w:r>
            <w:r w:rsidR="003F7715">
              <w:rPr>
                <w:rFonts w:cstheme="minorHAnsi"/>
              </w:rPr>
              <w:t>çağındaki kadınlarda demir eksikliği görülebilmektedir. Ancak yetişkinlikte bu durum değişebilmektedir.</w:t>
            </w:r>
            <w:r>
              <w:rPr>
                <w:rFonts w:cstheme="minorHAnsi"/>
              </w:rPr>
              <w:t xml:space="preserve"> Hastanın kan demir değerlerine </w:t>
            </w:r>
            <w:r>
              <w:rPr>
                <w:rFonts w:cstheme="minorHAnsi"/>
              </w:rPr>
              <w:lastRenderedPageBreak/>
              <w:t>uzun süredir bakılmamıştır. Ilaç gereksiz yere kullanılıyor olabilir. Bu durumun saptanması için hasta doktora yönlendirilmelidir. Demir ilaçlarının yan etkilerinden biri de konstipasyondur. Eğer hastada demir eksikliği yoksa, bu ilacın kullanımına son vermek, konstipasyonun geçmesi adına olumlu olabilir.</w:t>
            </w:r>
          </w:p>
          <w:p w:rsidR="003F7715" w:rsidRPr="00F2664D" w:rsidRDefault="003F7715" w:rsidP="003F7715">
            <w:pPr>
              <w:ind w:left="82"/>
              <w:rPr>
                <w:rFonts w:cstheme="minorHAnsi"/>
              </w:rPr>
            </w:pPr>
          </w:p>
        </w:tc>
        <w:tc>
          <w:tcPr>
            <w:tcW w:w="1933" w:type="dxa"/>
          </w:tcPr>
          <w:p w:rsidR="0017203E" w:rsidRDefault="0017203E" w:rsidP="003F7715">
            <w:pPr>
              <w:ind w:left="82"/>
              <w:rPr>
                <w:rFonts w:cstheme="minorHAnsi"/>
              </w:rPr>
            </w:pPr>
          </w:p>
          <w:p w:rsidR="003F7715" w:rsidRPr="00F2664D" w:rsidRDefault="003F7715" w:rsidP="0017203E">
            <w:pPr>
              <w:rPr>
                <w:rFonts w:cstheme="minorHAnsi"/>
              </w:rPr>
            </w:pPr>
            <w:r>
              <w:rPr>
                <w:rFonts w:cstheme="minorHAnsi"/>
              </w:rPr>
              <w:t xml:space="preserve">Kan demir değeri ölçtürülmesi tavsiye edilip değerlere göre doktorun bilgisi dahilinde demir ilacının gerekli olmayabileceği </w:t>
            </w:r>
            <w:r w:rsidR="0017203E">
              <w:rPr>
                <w:rFonts w:cstheme="minorHAnsi"/>
              </w:rPr>
              <w:t xml:space="preserve">hastaya </w:t>
            </w:r>
            <w:r w:rsidR="0017203E">
              <w:rPr>
                <w:rFonts w:cstheme="minorHAnsi"/>
              </w:rPr>
              <w:lastRenderedPageBreak/>
              <w:t>söylenmelidir.</w:t>
            </w:r>
          </w:p>
        </w:tc>
        <w:tc>
          <w:tcPr>
            <w:tcW w:w="2264" w:type="dxa"/>
          </w:tcPr>
          <w:p w:rsidR="003F7715" w:rsidRPr="00F2664D" w:rsidRDefault="0017203E" w:rsidP="0017203E">
            <w:pPr>
              <w:ind w:left="82"/>
              <w:rPr>
                <w:rFonts w:cstheme="minorHAnsi"/>
              </w:rPr>
            </w:pPr>
            <w:r w:rsidRPr="00FF10AB">
              <w:rPr>
                <w:rFonts w:cstheme="minorHAnsi"/>
              </w:rPr>
              <w:lastRenderedPageBreak/>
              <w:t>De</w:t>
            </w:r>
            <w:r>
              <w:rPr>
                <w:rFonts w:cstheme="minorHAnsi"/>
              </w:rPr>
              <w:t xml:space="preserve">mir ilacının kesilmesi </w:t>
            </w:r>
            <w:r w:rsidR="00CC138F">
              <w:rPr>
                <w:rFonts w:cstheme="minorHAnsi"/>
              </w:rPr>
              <w:t xml:space="preserve">konstipasyonun da geçmemesi durumunda </w:t>
            </w:r>
            <w:r>
              <w:rPr>
                <w:rFonts w:cstheme="minorHAnsi"/>
              </w:rPr>
              <w:t xml:space="preserve">doktora </w:t>
            </w:r>
            <w:r w:rsidR="00CC138F">
              <w:rPr>
                <w:rFonts w:cstheme="minorHAnsi"/>
              </w:rPr>
              <w:t>yönlendirilmelidir.</w:t>
            </w:r>
          </w:p>
        </w:tc>
      </w:tr>
      <w:tr w:rsidR="003F7715" w:rsidRPr="00F2664D" w:rsidTr="00FF10AB">
        <w:trPr>
          <w:trHeight w:val="403"/>
        </w:trPr>
        <w:tc>
          <w:tcPr>
            <w:tcW w:w="1666" w:type="dxa"/>
          </w:tcPr>
          <w:p w:rsidR="0017203E" w:rsidRDefault="0017203E" w:rsidP="003F7715">
            <w:pPr>
              <w:rPr>
                <w:rFonts w:cstheme="minorHAnsi"/>
              </w:rPr>
            </w:pPr>
          </w:p>
          <w:p w:rsidR="003F7715" w:rsidRPr="00F2664D" w:rsidRDefault="003F7715" w:rsidP="003F7715">
            <w:pPr>
              <w:rPr>
                <w:rFonts w:cstheme="minorHAnsi"/>
              </w:rPr>
            </w:pPr>
            <w:r w:rsidRPr="00F2664D">
              <w:rPr>
                <w:rFonts w:cstheme="minorHAnsi"/>
              </w:rPr>
              <w:t>4.</w:t>
            </w:r>
            <w:r w:rsidR="00CC138F">
              <w:rPr>
                <w:rFonts w:cstheme="minorHAnsi"/>
              </w:rPr>
              <w:t xml:space="preserve"> Kabızlık (konstipasyon) – Güncel Problem</w:t>
            </w:r>
          </w:p>
        </w:tc>
        <w:tc>
          <w:tcPr>
            <w:tcW w:w="1928" w:type="dxa"/>
          </w:tcPr>
          <w:p w:rsidR="0017203E" w:rsidRDefault="0017203E" w:rsidP="003F7715">
            <w:pPr>
              <w:ind w:left="82"/>
              <w:rPr>
                <w:rFonts w:cstheme="minorHAnsi"/>
              </w:rPr>
            </w:pPr>
          </w:p>
          <w:p w:rsidR="003F7715" w:rsidRPr="00F2664D" w:rsidRDefault="00CC138F" w:rsidP="003F7715">
            <w:pPr>
              <w:ind w:left="82"/>
              <w:rPr>
                <w:rFonts w:cstheme="minorHAnsi"/>
              </w:rPr>
            </w:pPr>
            <w:r>
              <w:rPr>
                <w:rFonts w:cstheme="minorHAnsi"/>
              </w:rPr>
              <w:t>Konstipasyonun giderilmesi</w:t>
            </w:r>
          </w:p>
        </w:tc>
        <w:tc>
          <w:tcPr>
            <w:tcW w:w="1956" w:type="dxa"/>
          </w:tcPr>
          <w:p w:rsidR="0017203E" w:rsidRDefault="0017203E" w:rsidP="00CC138F">
            <w:pPr>
              <w:rPr>
                <w:rFonts w:cstheme="minorHAnsi"/>
              </w:rPr>
            </w:pPr>
          </w:p>
          <w:p w:rsidR="003F7715" w:rsidRPr="00F2664D" w:rsidRDefault="00A009A7" w:rsidP="00CC138F">
            <w:pPr>
              <w:rPr>
                <w:rFonts w:cstheme="minorHAnsi"/>
              </w:rPr>
            </w:pPr>
            <w:r>
              <w:rPr>
                <w:rFonts w:cstheme="minorHAnsi"/>
              </w:rPr>
              <w:t>Oreferon dışında hipotroidizm de konstipasyona sebep olmuş olabilir.</w:t>
            </w:r>
            <w:r w:rsidR="00FF10AB">
              <w:rPr>
                <w:rFonts w:cstheme="minorHAnsi"/>
              </w:rPr>
              <w:t xml:space="preserve"> Hipotiroidzmin giderilmesi, konstipasyonun gideilmesinde rol oynayabilir. Hasta Dulcosoftu konstipasyon için kullanıyor. Tiroid sorunu ortadan kalktıktan sonra eğer konstipasyon sorunu çözülmüş ise hasta Dulcosoftu kullanmayı bırakabilir, sorunun devamında ilacın </w:t>
            </w:r>
            <w:r w:rsidR="00FF10AB">
              <w:rPr>
                <w:rFonts w:cstheme="minorHAnsi"/>
              </w:rPr>
              <w:lastRenderedPageBreak/>
              <w:t>kullanımı devam edebilir.</w:t>
            </w:r>
          </w:p>
        </w:tc>
        <w:tc>
          <w:tcPr>
            <w:tcW w:w="1933" w:type="dxa"/>
          </w:tcPr>
          <w:p w:rsidR="0017203E" w:rsidRDefault="0017203E" w:rsidP="0017203E">
            <w:pPr>
              <w:ind w:left="82"/>
              <w:rPr>
                <w:rFonts w:cstheme="minorHAnsi"/>
              </w:rPr>
            </w:pPr>
          </w:p>
          <w:p w:rsidR="00A009A7" w:rsidRPr="00F2664D" w:rsidRDefault="00FF10AB" w:rsidP="00FF10AB">
            <w:pPr>
              <w:ind w:left="82"/>
              <w:rPr>
                <w:rFonts w:cstheme="minorHAnsi"/>
              </w:rPr>
            </w:pPr>
            <w:r>
              <w:rPr>
                <w:rFonts w:cstheme="minorHAnsi"/>
              </w:rPr>
              <w:t>Tiroid değerlerinin normal değerlere düşmesi için tedavi doktor aracılığı ile uygulanılır.Hasta gerekli olduğunu durumda, Dulcosoftu kullanmaya devam edebilir.Oraferon kullanımının gerekliiğine karar verilip, ilacın kullanımı doktora danışılarak durdurulabilir.</w:t>
            </w:r>
          </w:p>
        </w:tc>
        <w:tc>
          <w:tcPr>
            <w:tcW w:w="2264" w:type="dxa"/>
          </w:tcPr>
          <w:p w:rsidR="0017203E" w:rsidRDefault="0017203E" w:rsidP="003F7715">
            <w:pPr>
              <w:ind w:left="82"/>
              <w:rPr>
                <w:rFonts w:cstheme="minorHAnsi"/>
              </w:rPr>
            </w:pPr>
          </w:p>
          <w:p w:rsidR="003F7715" w:rsidRDefault="00A009A7" w:rsidP="003F7715">
            <w:pPr>
              <w:ind w:left="82"/>
              <w:rPr>
                <w:rFonts w:cstheme="minorHAnsi"/>
              </w:rPr>
            </w:pPr>
            <w:r>
              <w:rPr>
                <w:rFonts w:cstheme="minorHAnsi"/>
              </w:rPr>
              <w:t>Tiroid değerleri ile birlikte konstipasyon takibi de yapılmalıdır.</w:t>
            </w:r>
          </w:p>
          <w:p w:rsidR="00A009A7" w:rsidRPr="00F2664D" w:rsidRDefault="00A009A7" w:rsidP="003F7715">
            <w:pPr>
              <w:ind w:left="82"/>
              <w:rPr>
                <w:rFonts w:cstheme="minorHAnsi"/>
              </w:rPr>
            </w:pPr>
            <w:r>
              <w:rPr>
                <w:rFonts w:cstheme="minorHAnsi"/>
              </w:rPr>
              <w:t>Oreferon kullanımı kesilirse konstipasyonun da kesilip kesilmediği takip edilmelidir.</w:t>
            </w:r>
            <w:r w:rsidR="00FF10AB">
              <w:rPr>
                <w:rFonts w:cstheme="minorHAnsi"/>
              </w:rPr>
              <w:t xml:space="preserve"> Eğer konstipasyonun sebebi kullanılan ilaçlar değil ise, altta yatan sorunlar için tekrardan hasta tekrardan doktora yönlendirilebilir.</w:t>
            </w:r>
          </w:p>
        </w:tc>
      </w:tr>
    </w:tbl>
    <w:p w:rsidR="000A1C5C" w:rsidRDefault="000A1C5C"/>
    <w:p w:rsidR="000A1C5C" w:rsidRDefault="000A1C5C"/>
    <w:sectPr w:rsidR="000A1C5C" w:rsidSect="0092613D">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409" w:rsidRDefault="006D5409" w:rsidP="00261364">
      <w:pPr>
        <w:spacing w:after="0" w:line="240" w:lineRule="auto"/>
      </w:pPr>
      <w:r>
        <w:separator/>
      </w:r>
    </w:p>
  </w:endnote>
  <w:endnote w:type="continuationSeparator" w:id="1">
    <w:p w:rsidR="006D5409" w:rsidRDefault="006D5409" w:rsidP="00261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409" w:rsidRDefault="006D5409" w:rsidP="00261364">
      <w:pPr>
        <w:spacing w:after="0" w:line="240" w:lineRule="auto"/>
      </w:pPr>
      <w:r>
        <w:separator/>
      </w:r>
    </w:p>
  </w:footnote>
  <w:footnote w:type="continuationSeparator" w:id="1">
    <w:p w:rsidR="006D5409" w:rsidRDefault="006D5409" w:rsidP="00261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364" w:rsidRDefault="00261364">
    <w:pPr>
      <w:pStyle w:val="stbilgi"/>
    </w:pPr>
    <w:r>
      <w:t>Klinik Eczacılık – II Dersi</w:t>
    </w:r>
  </w:p>
  <w:p w:rsidR="00261364" w:rsidRDefault="00261364">
    <w:pPr>
      <w:pStyle w:val="stbilgi"/>
    </w:pPr>
    <w:r>
      <w:t>Uygulama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32D86"/>
    <w:multiLevelType w:val="hybridMultilevel"/>
    <w:tmpl w:val="71565AE0"/>
    <w:lvl w:ilvl="0" w:tplc="CFE871CE">
      <w:start w:val="1"/>
      <w:numFmt w:val="bullet"/>
      <w:lvlText w:val=""/>
      <w:lvlJc w:val="left"/>
      <w:pPr>
        <w:ind w:left="442" w:hanging="360"/>
      </w:pPr>
      <w:rPr>
        <w:rFonts w:ascii="Symbol" w:eastAsiaTheme="minorHAnsi" w:hAnsi="Symbol" w:cstheme="minorHAnsi" w:hint="default"/>
      </w:rPr>
    </w:lvl>
    <w:lvl w:ilvl="1" w:tplc="041F0003" w:tentative="1">
      <w:start w:val="1"/>
      <w:numFmt w:val="bullet"/>
      <w:lvlText w:val="o"/>
      <w:lvlJc w:val="left"/>
      <w:pPr>
        <w:ind w:left="1162" w:hanging="360"/>
      </w:pPr>
      <w:rPr>
        <w:rFonts w:ascii="Courier New" w:hAnsi="Courier New" w:cs="Courier New" w:hint="default"/>
      </w:rPr>
    </w:lvl>
    <w:lvl w:ilvl="2" w:tplc="041F0005" w:tentative="1">
      <w:start w:val="1"/>
      <w:numFmt w:val="bullet"/>
      <w:lvlText w:val=""/>
      <w:lvlJc w:val="left"/>
      <w:pPr>
        <w:ind w:left="1882" w:hanging="360"/>
      </w:pPr>
      <w:rPr>
        <w:rFonts w:ascii="Wingdings" w:hAnsi="Wingdings" w:hint="default"/>
      </w:rPr>
    </w:lvl>
    <w:lvl w:ilvl="3" w:tplc="041F0001" w:tentative="1">
      <w:start w:val="1"/>
      <w:numFmt w:val="bullet"/>
      <w:lvlText w:val=""/>
      <w:lvlJc w:val="left"/>
      <w:pPr>
        <w:ind w:left="2602" w:hanging="360"/>
      </w:pPr>
      <w:rPr>
        <w:rFonts w:ascii="Symbol" w:hAnsi="Symbol" w:hint="default"/>
      </w:rPr>
    </w:lvl>
    <w:lvl w:ilvl="4" w:tplc="041F0003" w:tentative="1">
      <w:start w:val="1"/>
      <w:numFmt w:val="bullet"/>
      <w:lvlText w:val="o"/>
      <w:lvlJc w:val="left"/>
      <w:pPr>
        <w:ind w:left="3322" w:hanging="360"/>
      </w:pPr>
      <w:rPr>
        <w:rFonts w:ascii="Courier New" w:hAnsi="Courier New" w:cs="Courier New" w:hint="default"/>
      </w:rPr>
    </w:lvl>
    <w:lvl w:ilvl="5" w:tplc="041F0005" w:tentative="1">
      <w:start w:val="1"/>
      <w:numFmt w:val="bullet"/>
      <w:lvlText w:val=""/>
      <w:lvlJc w:val="left"/>
      <w:pPr>
        <w:ind w:left="4042" w:hanging="360"/>
      </w:pPr>
      <w:rPr>
        <w:rFonts w:ascii="Wingdings" w:hAnsi="Wingdings" w:hint="default"/>
      </w:rPr>
    </w:lvl>
    <w:lvl w:ilvl="6" w:tplc="041F0001" w:tentative="1">
      <w:start w:val="1"/>
      <w:numFmt w:val="bullet"/>
      <w:lvlText w:val=""/>
      <w:lvlJc w:val="left"/>
      <w:pPr>
        <w:ind w:left="4762" w:hanging="360"/>
      </w:pPr>
      <w:rPr>
        <w:rFonts w:ascii="Symbol" w:hAnsi="Symbol" w:hint="default"/>
      </w:rPr>
    </w:lvl>
    <w:lvl w:ilvl="7" w:tplc="041F0003" w:tentative="1">
      <w:start w:val="1"/>
      <w:numFmt w:val="bullet"/>
      <w:lvlText w:val="o"/>
      <w:lvlJc w:val="left"/>
      <w:pPr>
        <w:ind w:left="5482" w:hanging="360"/>
      </w:pPr>
      <w:rPr>
        <w:rFonts w:ascii="Courier New" w:hAnsi="Courier New" w:cs="Courier New" w:hint="default"/>
      </w:rPr>
    </w:lvl>
    <w:lvl w:ilvl="8" w:tplc="041F0005" w:tentative="1">
      <w:start w:val="1"/>
      <w:numFmt w:val="bullet"/>
      <w:lvlText w:val=""/>
      <w:lvlJc w:val="left"/>
      <w:pPr>
        <w:ind w:left="620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5047C"/>
    <w:rsid w:val="0000024D"/>
    <w:rsid w:val="00080773"/>
    <w:rsid w:val="00093DD9"/>
    <w:rsid w:val="000A1C5C"/>
    <w:rsid w:val="000A392B"/>
    <w:rsid w:val="000D4C2A"/>
    <w:rsid w:val="0017203E"/>
    <w:rsid w:val="001740CE"/>
    <w:rsid w:val="00261364"/>
    <w:rsid w:val="002924F8"/>
    <w:rsid w:val="0035047C"/>
    <w:rsid w:val="003F2C46"/>
    <w:rsid w:val="003F7715"/>
    <w:rsid w:val="0040701C"/>
    <w:rsid w:val="004B7CD7"/>
    <w:rsid w:val="004C19F0"/>
    <w:rsid w:val="004F38B0"/>
    <w:rsid w:val="005B0E63"/>
    <w:rsid w:val="005F4AFC"/>
    <w:rsid w:val="006913FF"/>
    <w:rsid w:val="006C0CB1"/>
    <w:rsid w:val="006C549C"/>
    <w:rsid w:val="006D5409"/>
    <w:rsid w:val="0073331D"/>
    <w:rsid w:val="007D550B"/>
    <w:rsid w:val="007D6054"/>
    <w:rsid w:val="00825777"/>
    <w:rsid w:val="009113D1"/>
    <w:rsid w:val="0092613D"/>
    <w:rsid w:val="00946A71"/>
    <w:rsid w:val="00A009A7"/>
    <w:rsid w:val="00A27E02"/>
    <w:rsid w:val="00A978CE"/>
    <w:rsid w:val="00AB601C"/>
    <w:rsid w:val="00B00A90"/>
    <w:rsid w:val="00C76C9B"/>
    <w:rsid w:val="00CC138F"/>
    <w:rsid w:val="00D06DFE"/>
    <w:rsid w:val="00D14B3D"/>
    <w:rsid w:val="00D37DC0"/>
    <w:rsid w:val="00DD43C0"/>
    <w:rsid w:val="00E72B2A"/>
    <w:rsid w:val="00E7632E"/>
    <w:rsid w:val="00E86F6A"/>
    <w:rsid w:val="00ED5A74"/>
    <w:rsid w:val="00EF7FA4"/>
    <w:rsid w:val="00F611B4"/>
    <w:rsid w:val="00FC473A"/>
    <w:rsid w:val="00FF10A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1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1720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1047</Words>
  <Characters>5971</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user</cp:lastModifiedBy>
  <cp:revision>11</cp:revision>
  <dcterms:created xsi:type="dcterms:W3CDTF">2021-03-22T17:33:00Z</dcterms:created>
  <dcterms:modified xsi:type="dcterms:W3CDTF">2021-03-23T19:38:00Z</dcterms:modified>
</cp:coreProperties>
</file>