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1E8B370D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 xml:space="preserve">ÖĞRENCİ </w:t>
      </w:r>
      <w:proofErr w:type="gramStart"/>
      <w:r w:rsidRPr="00946A71">
        <w:rPr>
          <w:b/>
        </w:rPr>
        <w:t>NO:</w:t>
      </w:r>
      <w:r w:rsidR="00D71F4D">
        <w:rPr>
          <w:b/>
        </w:rPr>
        <w:t xml:space="preserve">  0317000025</w:t>
      </w:r>
      <w:proofErr w:type="gramEnd"/>
    </w:p>
    <w:p w14:paraId="7326A53C" w14:textId="035F21E9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 xml:space="preserve">ADINIZ </w:t>
      </w:r>
      <w:proofErr w:type="gramStart"/>
      <w:r w:rsidRPr="00946A71">
        <w:rPr>
          <w:b/>
        </w:rPr>
        <w:t>SOYADINIZ:</w:t>
      </w:r>
      <w:r w:rsidR="00D71F4D">
        <w:rPr>
          <w:b/>
        </w:rPr>
        <w:t xml:space="preserve">  MELİKE</w:t>
      </w:r>
      <w:proofErr w:type="gramEnd"/>
      <w:r w:rsidR="00D71F4D">
        <w:rPr>
          <w:b/>
        </w:rPr>
        <w:t xml:space="preserve"> YAVUZ</w:t>
      </w:r>
    </w:p>
    <w:p w14:paraId="11EE01B4" w14:textId="77777777" w:rsidR="000A1C5C" w:rsidRDefault="000A1C5C" w:rsidP="000A392B">
      <w:pPr>
        <w:jc w:val="both"/>
      </w:pPr>
    </w:p>
    <w:p w14:paraId="702565EA" w14:textId="71618BE1" w:rsidR="00B00A90" w:rsidRDefault="0035047C" w:rsidP="000A392B">
      <w:pPr>
        <w:jc w:val="both"/>
      </w:pPr>
      <w:r>
        <w:t>Bayan T.T. 3</w:t>
      </w:r>
      <w:r w:rsidR="00F52700">
        <w:t>1</w:t>
      </w:r>
      <w:r>
        <w:t xml:space="preserve">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proofErr w:type="gramStart"/>
            <w:r>
              <w:t>9.6</w:t>
            </w:r>
            <w:proofErr w:type="gramEnd"/>
            <w:r>
              <w:t xml:space="preserve">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proofErr w:type="gramStart"/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  <w:proofErr w:type="gramEnd"/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8260A" w:rsidRDefault="006C0CB1">
            <w:pPr>
              <w:rPr>
                <w:b/>
                <w:bCs/>
              </w:rPr>
            </w:pPr>
            <w:r w:rsidRPr="0068260A">
              <w:rPr>
                <w:b/>
                <w:bCs/>
              </w:rPr>
              <w:t xml:space="preserve">TSH    9.8 mIU/L     </w:t>
            </w:r>
            <w:r w:rsidRPr="0068260A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proofErr w:type="gramEnd"/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Pr="0068260A" w:rsidRDefault="006C0CB1">
            <w:r w:rsidRPr="0068260A">
              <w:t>MCV 89 mm</w:t>
            </w:r>
            <w:r w:rsidRPr="0068260A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68260A" w:rsidRDefault="006C0CB1">
            <w:pPr>
              <w:rPr>
                <w:b/>
                <w:bCs/>
              </w:rPr>
            </w:pPr>
            <w:r w:rsidRPr="0068260A">
              <w:rPr>
                <w:b/>
                <w:bCs/>
              </w:rPr>
              <w:t>Total Kolesterol 212 mg/dL</w:t>
            </w:r>
            <w:r w:rsidR="00D06DFE" w:rsidRPr="0068260A">
              <w:rPr>
                <w:b/>
                <w:bCs/>
              </w:rPr>
              <w:t xml:space="preserve"> </w:t>
            </w:r>
            <w:r w:rsidR="00D06DFE" w:rsidRPr="0068260A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proofErr w:type="gramStart"/>
            <w:r>
              <w:t>0.4</w:t>
            </w:r>
            <w:proofErr w:type="gramEnd"/>
            <w:r>
              <w:t xml:space="preserve"> mg/dL</w:t>
            </w:r>
          </w:p>
        </w:tc>
        <w:tc>
          <w:tcPr>
            <w:tcW w:w="2075" w:type="dxa"/>
          </w:tcPr>
          <w:p w14:paraId="324F57EF" w14:textId="77777777" w:rsidR="0035047C" w:rsidRPr="0068260A" w:rsidRDefault="0035047C"/>
        </w:tc>
        <w:tc>
          <w:tcPr>
            <w:tcW w:w="2266" w:type="dxa"/>
          </w:tcPr>
          <w:p w14:paraId="28ED4CEF" w14:textId="22F5A25A" w:rsidR="0035047C" w:rsidRPr="0068260A" w:rsidRDefault="006C0CB1">
            <w:pPr>
              <w:rPr>
                <w:b/>
                <w:bCs/>
              </w:rPr>
            </w:pPr>
            <w:r w:rsidRPr="0068260A">
              <w:rPr>
                <w:b/>
                <w:bCs/>
              </w:rPr>
              <w:t>LDL    142 g/dL</w:t>
            </w:r>
            <w:r w:rsidR="00D06DFE" w:rsidRPr="0068260A">
              <w:rPr>
                <w:b/>
                <w:bCs/>
              </w:rPr>
              <w:t xml:space="preserve"> </w:t>
            </w:r>
            <w:r w:rsidR="00D06DFE" w:rsidRPr="0068260A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 xml:space="preserve">ini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2220"/>
        <w:gridCol w:w="2240"/>
        <w:gridCol w:w="1637"/>
        <w:gridCol w:w="1438"/>
      </w:tblGrid>
      <w:tr w:rsidR="001E2518" w:rsidRPr="00F2664D" w14:paraId="3DFD3A10" w14:textId="77777777" w:rsidTr="006B3D72">
        <w:tc>
          <w:tcPr>
            <w:tcW w:w="1786" w:type="dxa"/>
          </w:tcPr>
          <w:p w14:paraId="33DDE393" w14:textId="69BFDA30" w:rsidR="00F611B4" w:rsidRPr="00F2664D" w:rsidRDefault="00D37DC0" w:rsidP="006B3D72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6B3D72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6B3D72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35C28F40" w:rsidR="00F611B4" w:rsidRPr="00F2664D" w:rsidRDefault="0008624F" w:rsidP="006B3D72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6B3D72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1E2518" w:rsidRPr="00F2664D" w14:paraId="3C3D7C9A" w14:textId="77777777" w:rsidTr="006B3D72">
        <w:trPr>
          <w:trHeight w:val="491"/>
        </w:trPr>
        <w:tc>
          <w:tcPr>
            <w:tcW w:w="1786" w:type="dxa"/>
          </w:tcPr>
          <w:p w14:paraId="36A949B6" w14:textId="6B8EBFF7" w:rsidR="00F611B4" w:rsidRPr="00F2664D" w:rsidRDefault="00F611B4" w:rsidP="006B3D72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823AD4">
              <w:rPr>
                <w:rFonts w:cstheme="minorHAnsi"/>
              </w:rPr>
              <w:t xml:space="preserve"> </w:t>
            </w:r>
            <w:r w:rsidR="00E66F9E">
              <w:rPr>
                <w:rFonts w:cstheme="minorHAnsi"/>
              </w:rPr>
              <w:t>Farmakoterapi yetersizliği (</w:t>
            </w:r>
            <w:r w:rsidR="00774C81">
              <w:rPr>
                <w:rFonts w:cstheme="minorHAnsi"/>
              </w:rPr>
              <w:t xml:space="preserve">güncel problem) </w:t>
            </w:r>
          </w:p>
        </w:tc>
        <w:tc>
          <w:tcPr>
            <w:tcW w:w="1828" w:type="dxa"/>
          </w:tcPr>
          <w:p w14:paraId="4D0A68DD" w14:textId="2365CCA4" w:rsidR="0008624F" w:rsidRDefault="006E2E9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LDL değerlerini normal düzeye </w:t>
            </w:r>
            <w:r w:rsidR="0008624F">
              <w:rPr>
                <w:rFonts w:cstheme="minorHAnsi"/>
              </w:rPr>
              <w:t xml:space="preserve">getirmek </w:t>
            </w:r>
          </w:p>
          <w:p w14:paraId="275F19BE" w14:textId="11D7BDE5" w:rsidR="00F611B4" w:rsidRDefault="0008624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Tiroid değerlerini normale getirmek (0,5 – 2,5 mlU/L)</w:t>
            </w:r>
          </w:p>
          <w:p w14:paraId="177D930D" w14:textId="4FDFC8B6" w:rsidR="0008624F" w:rsidRPr="00F2664D" w:rsidRDefault="0008624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Hamile kalmayı kolaylaştırmak </w:t>
            </w:r>
          </w:p>
        </w:tc>
        <w:tc>
          <w:tcPr>
            <w:tcW w:w="1872" w:type="dxa"/>
          </w:tcPr>
          <w:p w14:paraId="0271A908" w14:textId="77777777" w:rsidR="00F611B4" w:rsidRDefault="0008624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ilacı kullanmasına rağmen </w:t>
            </w:r>
            <w:r w:rsidR="00AF31DF">
              <w:rPr>
                <w:rFonts w:cstheme="minorHAnsi"/>
              </w:rPr>
              <w:t>hipertiroidizm belirtileri tam olarak ortadan kalkmamıştır</w:t>
            </w:r>
            <w:r w:rsidR="00610C22">
              <w:rPr>
                <w:rFonts w:cstheme="minorHAnsi"/>
              </w:rPr>
              <w:t xml:space="preserve">. Hastaya tanı daha yeni konulmuştur. </w:t>
            </w:r>
            <w:r w:rsidR="003E51D2">
              <w:rPr>
                <w:rFonts w:cstheme="minorHAnsi"/>
              </w:rPr>
              <w:t>Hastanın tedavi süreci izlenmelid</w:t>
            </w:r>
            <w:r w:rsidR="00B05F92">
              <w:rPr>
                <w:rFonts w:cstheme="minorHAnsi"/>
              </w:rPr>
              <w:t>i</w:t>
            </w:r>
            <w:r w:rsidR="003E51D2">
              <w:rPr>
                <w:rFonts w:cstheme="minorHAnsi"/>
              </w:rPr>
              <w:t>r</w:t>
            </w:r>
            <w:r w:rsidR="00073D8C">
              <w:rPr>
                <w:rFonts w:cstheme="minorHAnsi"/>
              </w:rPr>
              <w:t xml:space="preserve">. </w:t>
            </w:r>
          </w:p>
          <w:p w14:paraId="477F1B96" w14:textId="6A09590A" w:rsidR="00B05F92" w:rsidRPr="00F2664D" w:rsidRDefault="00B05F9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Ayrıca hastanın hipotiroidizmden dolayı LDL kolesterol düzeyleri hafif yüksektir. </w:t>
            </w:r>
          </w:p>
        </w:tc>
        <w:tc>
          <w:tcPr>
            <w:tcW w:w="1813" w:type="dxa"/>
          </w:tcPr>
          <w:p w14:paraId="38A10D52" w14:textId="77777777" w:rsidR="00F611B4" w:rsidRDefault="000C4954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</w:t>
            </w:r>
            <w:r w:rsidR="006F352F">
              <w:rPr>
                <w:rFonts w:cstheme="minorHAnsi"/>
              </w:rPr>
              <w:t xml:space="preserve">nın değerleri düzenli olarak takip edilmelidir. </w:t>
            </w:r>
          </w:p>
          <w:p w14:paraId="7252165E" w14:textId="77B4ADFD" w:rsidR="006F352F" w:rsidRPr="00F2664D" w:rsidRDefault="006F352F" w:rsidP="006F352F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LDL düzeylerini normale getirmek için hastaya egzersiz ve diyet uygulaması önerilmelidir. </w:t>
            </w:r>
          </w:p>
        </w:tc>
        <w:tc>
          <w:tcPr>
            <w:tcW w:w="1763" w:type="dxa"/>
          </w:tcPr>
          <w:p w14:paraId="52EA5232" w14:textId="77777777" w:rsidR="00F611B4" w:rsidRDefault="00081D0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TSH izlemi yapılmalı (4-6 hafta)</w:t>
            </w:r>
          </w:p>
          <w:p w14:paraId="5230FBEC" w14:textId="49CBDA26" w:rsidR="005713E8" w:rsidRPr="00F2664D" w:rsidRDefault="005713E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LDL düzeyleri de düzenli olarak kontrol edilmelidir.</w:t>
            </w:r>
          </w:p>
        </w:tc>
      </w:tr>
      <w:tr w:rsidR="001E2518" w:rsidRPr="00F2664D" w14:paraId="3CCFA250" w14:textId="77777777" w:rsidTr="006B3D72">
        <w:trPr>
          <w:trHeight w:val="557"/>
        </w:trPr>
        <w:tc>
          <w:tcPr>
            <w:tcW w:w="1786" w:type="dxa"/>
          </w:tcPr>
          <w:p w14:paraId="1DE2010E" w14:textId="4720D80E" w:rsidR="00F611B4" w:rsidRPr="00F2664D" w:rsidRDefault="00F611B4" w:rsidP="006B3D72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823AD4">
              <w:rPr>
                <w:rFonts w:cstheme="minorHAnsi"/>
              </w:rPr>
              <w:t xml:space="preserve"> O</w:t>
            </w:r>
            <w:r w:rsidR="005713E8">
              <w:rPr>
                <w:rFonts w:cstheme="minorHAnsi"/>
              </w:rPr>
              <w:t xml:space="preserve">lası </w:t>
            </w:r>
            <w:r w:rsidR="0068358B">
              <w:rPr>
                <w:rFonts w:cstheme="minorHAnsi"/>
              </w:rPr>
              <w:t xml:space="preserve">ilaç etkileşimini </w:t>
            </w:r>
            <w:r w:rsidR="00277838">
              <w:rPr>
                <w:rFonts w:cstheme="minorHAnsi"/>
              </w:rPr>
              <w:t xml:space="preserve">engellemek (potansiyel problem) </w:t>
            </w:r>
          </w:p>
        </w:tc>
        <w:tc>
          <w:tcPr>
            <w:tcW w:w="1828" w:type="dxa"/>
          </w:tcPr>
          <w:p w14:paraId="024F3927" w14:textId="4247AF62" w:rsidR="00F611B4" w:rsidRPr="00F2664D" w:rsidRDefault="00277838" w:rsidP="00DE15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İlaç etkileşimini engellemek – Euthyrox ile Oroferon </w:t>
            </w:r>
          </w:p>
        </w:tc>
        <w:tc>
          <w:tcPr>
            <w:tcW w:w="1872" w:type="dxa"/>
          </w:tcPr>
          <w:p w14:paraId="34503016" w14:textId="36E359D4" w:rsidR="00F611B4" w:rsidRPr="00F2664D" w:rsidRDefault="008C3A0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Euthyrox alındıktan sonra 4 saat içerisinde demir preparatları alınmamalıdır. Çünkü </w:t>
            </w:r>
            <w:r w:rsidR="00A25FC1">
              <w:rPr>
                <w:rFonts w:cstheme="minorHAnsi"/>
              </w:rPr>
              <w:t xml:space="preserve">demir içeren besin ve preparatlar ilacın emiliminde bozulmaya yol açarak emilimi azaltabilir. </w:t>
            </w:r>
            <w:r w:rsidR="009000AB">
              <w:rPr>
                <w:rFonts w:cstheme="minorHAnsi"/>
              </w:rPr>
              <w:t>Yani levotiroksinin etkisini azaltabilir.</w:t>
            </w:r>
          </w:p>
        </w:tc>
        <w:tc>
          <w:tcPr>
            <w:tcW w:w="1813" w:type="dxa"/>
          </w:tcPr>
          <w:p w14:paraId="03518833" w14:textId="286A879D" w:rsidR="00F611B4" w:rsidRPr="00F2664D" w:rsidRDefault="009000A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İlaçların alım saatleri arasındaki fark en az 4 saat olacak şekilde ayarlanmalıdır.</w:t>
            </w:r>
          </w:p>
        </w:tc>
        <w:tc>
          <w:tcPr>
            <w:tcW w:w="1763" w:type="dxa"/>
          </w:tcPr>
          <w:p w14:paraId="69E2CC97" w14:textId="73D79093" w:rsidR="00F611B4" w:rsidRPr="00F2664D" w:rsidRDefault="009000AB" w:rsidP="009000AB">
            <w:pPr>
              <w:rPr>
                <w:rFonts w:cstheme="minorHAnsi"/>
              </w:rPr>
            </w:pPr>
            <w:r>
              <w:rPr>
                <w:rFonts w:cstheme="minorHAnsi"/>
              </w:rPr>
              <w:t>Herhangi bir yan et</w:t>
            </w:r>
            <w:r w:rsidR="00301FE7">
              <w:rPr>
                <w:rFonts w:cstheme="minorHAnsi"/>
              </w:rPr>
              <w:t>k</w:t>
            </w:r>
            <w:r>
              <w:rPr>
                <w:rFonts w:cstheme="minorHAnsi"/>
              </w:rPr>
              <w:t xml:space="preserve">i görülüp görülmediği </w:t>
            </w:r>
            <w:r w:rsidR="00301FE7">
              <w:rPr>
                <w:rFonts w:cstheme="minorHAnsi"/>
              </w:rPr>
              <w:t>kontrol edilmeli, Euthyrox ilacının etkisinin istenilen düzeyde alındığından emin olunmalıdır.</w:t>
            </w:r>
          </w:p>
        </w:tc>
      </w:tr>
      <w:tr w:rsidR="001E2518" w:rsidRPr="00F2664D" w14:paraId="4138D3B8" w14:textId="77777777" w:rsidTr="006B3D72">
        <w:trPr>
          <w:trHeight w:val="565"/>
        </w:trPr>
        <w:tc>
          <w:tcPr>
            <w:tcW w:w="1786" w:type="dxa"/>
          </w:tcPr>
          <w:p w14:paraId="04929F4C" w14:textId="5AE2BB15" w:rsidR="00F611B4" w:rsidRPr="00F2664D" w:rsidRDefault="00F611B4" w:rsidP="006B3D72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1E2518">
              <w:rPr>
                <w:rFonts w:cstheme="minorHAnsi"/>
              </w:rPr>
              <w:t xml:space="preserve"> Olası ilaç etkileşimini engellemek (potansiyel problem)  </w:t>
            </w:r>
          </w:p>
        </w:tc>
        <w:tc>
          <w:tcPr>
            <w:tcW w:w="1828" w:type="dxa"/>
          </w:tcPr>
          <w:p w14:paraId="07F5DDFC" w14:textId="63F3E551" w:rsidR="00F611B4" w:rsidRPr="00F2664D" w:rsidRDefault="001E251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İlaç etkileşimini engellemek</w:t>
            </w:r>
            <w:r w:rsidR="0068260A">
              <w:rPr>
                <w:rFonts w:cstheme="minorHAnsi"/>
              </w:rPr>
              <w:t xml:space="preserve"> – Euthyrox ile </w:t>
            </w:r>
            <w:r w:rsidR="0068260A">
              <w:t xml:space="preserve">Calcium Magnesium Plus Boron </w:t>
            </w:r>
          </w:p>
        </w:tc>
        <w:tc>
          <w:tcPr>
            <w:tcW w:w="1872" w:type="dxa"/>
          </w:tcPr>
          <w:p w14:paraId="7E51C8F0" w14:textId="5D953F4C" w:rsidR="0068260A" w:rsidRPr="00F2664D" w:rsidRDefault="001E2518" w:rsidP="0068260A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Euthyrox, alındıktan sonraki </w:t>
            </w:r>
            <w:r w:rsidR="008C3A0A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saat içerisinde kalsiyum</w:t>
            </w:r>
            <w:r w:rsidR="0068260A">
              <w:rPr>
                <w:rFonts w:cstheme="minorHAnsi"/>
              </w:rPr>
              <w:t xml:space="preserve"> tuzları, alüminyum, magnezyum, simetikon, kayekselat, orlistat ve sükralfat </w:t>
            </w:r>
            <w:r>
              <w:rPr>
                <w:rFonts w:cstheme="minorHAnsi"/>
              </w:rPr>
              <w:t>içeren besin veya preparatlar kullanılmamalıdır. Bu ilacın</w:t>
            </w:r>
            <w:r w:rsidR="00967E9A">
              <w:rPr>
                <w:rFonts w:cstheme="minorHAnsi"/>
              </w:rPr>
              <w:t xml:space="preserve"> alüminyum, magnezyum, </w:t>
            </w:r>
            <w:r>
              <w:rPr>
                <w:rFonts w:cstheme="minorHAnsi"/>
              </w:rPr>
              <w:t xml:space="preserve">kalsiyum tuzları vb. </w:t>
            </w:r>
            <w:r>
              <w:rPr>
                <w:rFonts w:cstheme="minorHAnsi"/>
              </w:rPr>
              <w:lastRenderedPageBreak/>
              <w:t>madde içeren besin veya preparatlarla birlikte alımında ilacın emilimi</w:t>
            </w:r>
            <w:r w:rsidR="00967E9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bozulabilir/potansiyel olarak levotiroksin etkisi azalabilir.</w:t>
            </w:r>
          </w:p>
        </w:tc>
        <w:tc>
          <w:tcPr>
            <w:tcW w:w="1813" w:type="dxa"/>
          </w:tcPr>
          <w:p w14:paraId="22968877" w14:textId="460BE4B7" w:rsidR="00F611B4" w:rsidRPr="00F2664D" w:rsidRDefault="001E251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İlaçların alım saatleri arasındaki sürenin en az </w:t>
            </w:r>
            <w:r w:rsidR="00782795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saat olacak şekilde olmasını sağlamak</w:t>
            </w:r>
          </w:p>
        </w:tc>
        <w:tc>
          <w:tcPr>
            <w:tcW w:w="1763" w:type="dxa"/>
          </w:tcPr>
          <w:p w14:paraId="03FDF8A7" w14:textId="3A071FD5" w:rsidR="00F611B4" w:rsidRPr="00F2664D" w:rsidRDefault="001E251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İlaç etkileşimine bağlı bir sorun olup olmadığı takip edilmeli</w:t>
            </w:r>
          </w:p>
        </w:tc>
      </w:tr>
      <w:tr w:rsidR="001E2518" w:rsidRPr="00F2664D" w14:paraId="770A6119" w14:textId="77777777" w:rsidTr="006B3D72">
        <w:trPr>
          <w:trHeight w:val="403"/>
        </w:trPr>
        <w:tc>
          <w:tcPr>
            <w:tcW w:w="1786" w:type="dxa"/>
          </w:tcPr>
          <w:p w14:paraId="3C1F0466" w14:textId="0EC60475" w:rsidR="00F611B4" w:rsidRPr="00F2664D" w:rsidRDefault="00F611B4" w:rsidP="006B3D72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89176D">
              <w:rPr>
                <w:rFonts w:cstheme="minorHAnsi"/>
              </w:rPr>
              <w:t>Cilt kuruluğu</w:t>
            </w:r>
            <w:r w:rsidR="003E2078">
              <w:rPr>
                <w:rFonts w:cstheme="minorHAnsi"/>
              </w:rPr>
              <w:t xml:space="preserve"> (güncel problem)</w:t>
            </w:r>
          </w:p>
        </w:tc>
        <w:tc>
          <w:tcPr>
            <w:tcW w:w="1828" w:type="dxa"/>
          </w:tcPr>
          <w:p w14:paraId="0CF88CA2" w14:textId="45FF3BF7" w:rsidR="00F611B4" w:rsidRPr="00F2664D" w:rsidRDefault="0089176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Cilt kuruluğunu azaltmak</w:t>
            </w:r>
            <w:r w:rsidR="00700C96">
              <w:rPr>
                <w:rFonts w:cstheme="minorHAnsi"/>
              </w:rPr>
              <w:t>/engellemek</w:t>
            </w:r>
          </w:p>
        </w:tc>
        <w:tc>
          <w:tcPr>
            <w:tcW w:w="1872" w:type="dxa"/>
          </w:tcPr>
          <w:p w14:paraId="3637D295" w14:textId="2A379611" w:rsidR="00F611B4" w:rsidRPr="00F2664D" w:rsidRDefault="000C75E4" w:rsidP="00700C96">
            <w:pPr>
              <w:rPr>
                <w:rFonts w:cstheme="minorHAnsi"/>
              </w:rPr>
            </w:pPr>
            <w:r>
              <w:rPr>
                <w:rFonts w:cstheme="minorHAnsi"/>
              </w:rPr>
              <w:t>Hastada</w:t>
            </w:r>
            <w:r w:rsidR="00700C96">
              <w:rPr>
                <w:rFonts w:cstheme="minorHAnsi"/>
              </w:rPr>
              <w:t xml:space="preserve"> hipotiroidizm</w:t>
            </w:r>
            <w:r>
              <w:rPr>
                <w:rFonts w:cstheme="minorHAnsi"/>
              </w:rPr>
              <w:t>in etkisi ile</w:t>
            </w:r>
            <w:r w:rsidR="00700C96">
              <w:rPr>
                <w:rFonts w:cstheme="minorHAnsi"/>
              </w:rPr>
              <w:t xml:space="preserve"> cilt kuruluğu </w:t>
            </w:r>
            <w:r>
              <w:rPr>
                <w:rFonts w:cstheme="minorHAnsi"/>
              </w:rPr>
              <w:t>gözlenmektedir. Bunun için hastanın tiroid değerleri normale gelene kadar nonfarmakolojik bir yaklaşımda bulunulur.</w:t>
            </w:r>
            <w:r w:rsidR="00152F96">
              <w:rPr>
                <w:rFonts w:cstheme="minorHAnsi"/>
              </w:rPr>
              <w:t xml:space="preserve"> Ve ayrıca cilt kuruluğuna sebep olacak krem ve sabunlardan uzak durulmalıdır. </w:t>
            </w:r>
          </w:p>
        </w:tc>
        <w:tc>
          <w:tcPr>
            <w:tcW w:w="1813" w:type="dxa"/>
          </w:tcPr>
          <w:p w14:paraId="16966CA8" w14:textId="66B7F077" w:rsidR="00F611B4" w:rsidRPr="00F2664D" w:rsidRDefault="003E207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irritan olmayan nemlendirici krem verilmelidir.</w:t>
            </w:r>
          </w:p>
        </w:tc>
        <w:tc>
          <w:tcPr>
            <w:tcW w:w="1763" w:type="dxa"/>
          </w:tcPr>
          <w:p w14:paraId="23D32A4C" w14:textId="1A9AF77E" w:rsidR="00F611B4" w:rsidRPr="00F2664D" w:rsidRDefault="003E207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cilt kuruluğunun geçip geçmediği takip edilmelidir. 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EC49B" w14:textId="77777777" w:rsidR="001C0E8D" w:rsidRDefault="001C0E8D" w:rsidP="00261364">
      <w:pPr>
        <w:spacing w:after="0" w:line="240" w:lineRule="auto"/>
      </w:pPr>
      <w:r>
        <w:separator/>
      </w:r>
    </w:p>
  </w:endnote>
  <w:endnote w:type="continuationSeparator" w:id="0">
    <w:p w14:paraId="7A7A1FF3" w14:textId="77777777" w:rsidR="001C0E8D" w:rsidRDefault="001C0E8D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98268" w14:textId="77777777" w:rsidR="001C0E8D" w:rsidRDefault="001C0E8D" w:rsidP="00261364">
      <w:pPr>
        <w:spacing w:after="0" w:line="240" w:lineRule="auto"/>
      </w:pPr>
      <w:r>
        <w:separator/>
      </w:r>
    </w:p>
  </w:footnote>
  <w:footnote w:type="continuationSeparator" w:id="0">
    <w:p w14:paraId="7BAEF6D4" w14:textId="77777777" w:rsidR="001C0E8D" w:rsidRDefault="001C0E8D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21E14"/>
    <w:rsid w:val="00073D8C"/>
    <w:rsid w:val="00080773"/>
    <w:rsid w:val="00081D00"/>
    <w:rsid w:val="0008624F"/>
    <w:rsid w:val="000A1C5C"/>
    <w:rsid w:val="000A392B"/>
    <w:rsid w:val="000C4954"/>
    <w:rsid w:val="000C75E4"/>
    <w:rsid w:val="00152F96"/>
    <w:rsid w:val="001C0E8D"/>
    <w:rsid w:val="001E2518"/>
    <w:rsid w:val="00244B64"/>
    <w:rsid w:val="00261364"/>
    <w:rsid w:val="00277838"/>
    <w:rsid w:val="00301FE7"/>
    <w:rsid w:val="00332245"/>
    <w:rsid w:val="0035047C"/>
    <w:rsid w:val="003E2078"/>
    <w:rsid w:val="003E51D2"/>
    <w:rsid w:val="003F2C46"/>
    <w:rsid w:val="0040701C"/>
    <w:rsid w:val="004C19F0"/>
    <w:rsid w:val="004F38B0"/>
    <w:rsid w:val="005713E8"/>
    <w:rsid w:val="00610C22"/>
    <w:rsid w:val="00624072"/>
    <w:rsid w:val="0068260A"/>
    <w:rsid w:val="0068358B"/>
    <w:rsid w:val="006B3D72"/>
    <w:rsid w:val="006C0CB1"/>
    <w:rsid w:val="006E2E90"/>
    <w:rsid w:val="006F352F"/>
    <w:rsid w:val="00700C96"/>
    <w:rsid w:val="00731D2A"/>
    <w:rsid w:val="0073331D"/>
    <w:rsid w:val="00774C81"/>
    <w:rsid w:val="00782795"/>
    <w:rsid w:val="007D550B"/>
    <w:rsid w:val="007D6054"/>
    <w:rsid w:val="00823AD4"/>
    <w:rsid w:val="00825777"/>
    <w:rsid w:val="0089176D"/>
    <w:rsid w:val="008C3A0A"/>
    <w:rsid w:val="008D11FF"/>
    <w:rsid w:val="009000AB"/>
    <w:rsid w:val="009113D1"/>
    <w:rsid w:val="00946A71"/>
    <w:rsid w:val="00967E9A"/>
    <w:rsid w:val="00990449"/>
    <w:rsid w:val="00A25FC1"/>
    <w:rsid w:val="00A27E02"/>
    <w:rsid w:val="00A7041E"/>
    <w:rsid w:val="00A978CE"/>
    <w:rsid w:val="00AF31DF"/>
    <w:rsid w:val="00B00A90"/>
    <w:rsid w:val="00B05F92"/>
    <w:rsid w:val="00BE2DA3"/>
    <w:rsid w:val="00D06DFE"/>
    <w:rsid w:val="00D3181B"/>
    <w:rsid w:val="00D37DC0"/>
    <w:rsid w:val="00D71F4D"/>
    <w:rsid w:val="00DD43C0"/>
    <w:rsid w:val="00DE15F2"/>
    <w:rsid w:val="00E13137"/>
    <w:rsid w:val="00E26C6F"/>
    <w:rsid w:val="00E64BA4"/>
    <w:rsid w:val="00E66F9E"/>
    <w:rsid w:val="00E72B2A"/>
    <w:rsid w:val="00E7632E"/>
    <w:rsid w:val="00F51CE3"/>
    <w:rsid w:val="00F52700"/>
    <w:rsid w:val="00F611B4"/>
    <w:rsid w:val="00F62D72"/>
    <w:rsid w:val="00F85167"/>
    <w:rsid w:val="00FC473A"/>
    <w:rsid w:val="00F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7EDDD50F-4BCF-433C-A91F-328903BB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VarsaylanParagrafYazTipi"/>
    <w:rsid w:val="001E2518"/>
  </w:style>
  <w:style w:type="paragraph" w:styleId="ListeParagraf">
    <w:name w:val="List Paragraph"/>
    <w:basedOn w:val="Normal"/>
    <w:uiPriority w:val="34"/>
    <w:qFormat/>
    <w:rsid w:val="0082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Melike Yavuz</cp:lastModifiedBy>
  <cp:revision>4</cp:revision>
  <cp:lastPrinted>2021-03-19T18:02:00Z</cp:lastPrinted>
  <dcterms:created xsi:type="dcterms:W3CDTF">2021-03-23T14:03:00Z</dcterms:created>
  <dcterms:modified xsi:type="dcterms:W3CDTF">2021-03-23T14:19:00Z</dcterms:modified>
</cp:coreProperties>
</file>