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1C0A7850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CE0E99">
        <w:rPr>
          <w:b/>
        </w:rPr>
        <w:t xml:space="preserve"> 0</w:t>
      </w:r>
      <w:r w:rsidR="00132EAE">
        <w:rPr>
          <w:b/>
        </w:rPr>
        <w:t>3150000062</w:t>
      </w:r>
    </w:p>
    <w:p w14:paraId="7326A53C" w14:textId="4E189562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132EAE">
        <w:rPr>
          <w:b/>
        </w:rPr>
        <w:t xml:space="preserve"> Uğur Menderes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eGrid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7"/>
        <w:gridCol w:w="1979"/>
        <w:gridCol w:w="1849"/>
        <w:gridCol w:w="1854"/>
        <w:gridCol w:w="1703"/>
      </w:tblGrid>
      <w:tr w:rsidR="007357E9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7357E9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7DE51D07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0D56B9">
              <w:rPr>
                <w:rFonts w:cstheme="minorHAnsi"/>
              </w:rPr>
              <w:t>Hipot</w:t>
            </w:r>
            <w:r w:rsidR="00050AB9">
              <w:rPr>
                <w:rFonts w:cstheme="minorHAnsi"/>
              </w:rPr>
              <w:t>i</w:t>
            </w:r>
            <w:r w:rsidR="000D56B9">
              <w:rPr>
                <w:rFonts w:cstheme="minorHAnsi"/>
              </w:rPr>
              <w:t>roidi</w:t>
            </w:r>
            <w:r w:rsidR="00984C9B">
              <w:rPr>
                <w:rFonts w:cstheme="minorHAnsi"/>
              </w:rPr>
              <w:t>zm</w:t>
            </w:r>
            <w:r w:rsidR="00DD4D45">
              <w:rPr>
                <w:rFonts w:cstheme="minorHAnsi"/>
              </w:rPr>
              <w:t xml:space="preserve"> </w:t>
            </w:r>
            <w:r w:rsidR="0059008B">
              <w:rPr>
                <w:rFonts w:cstheme="minorHAnsi"/>
              </w:rPr>
              <w:t>(</w:t>
            </w:r>
            <w:r w:rsidR="00300195">
              <w:rPr>
                <w:rFonts w:cstheme="minorHAnsi"/>
              </w:rPr>
              <w:t>Yeni t</w:t>
            </w:r>
            <w:r w:rsidR="0086703C">
              <w:rPr>
                <w:rFonts w:cstheme="minorHAnsi"/>
              </w:rPr>
              <w:t>e</w:t>
            </w:r>
            <w:r w:rsidR="00300195">
              <w:rPr>
                <w:rFonts w:cstheme="minorHAnsi"/>
              </w:rPr>
              <w:t>şhis</w:t>
            </w:r>
            <w:r w:rsidR="0086703C">
              <w:rPr>
                <w:rFonts w:cstheme="minorHAnsi"/>
              </w:rPr>
              <w:t>, o</w:t>
            </w:r>
            <w:r w:rsidR="001104A6">
              <w:rPr>
                <w:rFonts w:cstheme="minorHAnsi"/>
              </w:rPr>
              <w:t>lasılıkla Hashim</w:t>
            </w:r>
            <w:r w:rsidR="009B173A">
              <w:rPr>
                <w:rFonts w:cstheme="minorHAnsi"/>
              </w:rPr>
              <w:t>o</w:t>
            </w:r>
            <w:r w:rsidR="001104A6">
              <w:rPr>
                <w:rFonts w:cstheme="minorHAnsi"/>
              </w:rPr>
              <w:t>to</w:t>
            </w:r>
            <w:r w:rsidR="0059008B">
              <w:rPr>
                <w:rFonts w:cstheme="minorHAnsi"/>
              </w:rPr>
              <w:t>)</w:t>
            </w:r>
          </w:p>
        </w:tc>
        <w:tc>
          <w:tcPr>
            <w:tcW w:w="1828" w:type="dxa"/>
          </w:tcPr>
          <w:p w14:paraId="39EB0EFE" w14:textId="7DE59E6B" w:rsidR="00F611B4" w:rsidRDefault="00EF003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</w:t>
            </w:r>
            <w:r w:rsidR="00174A0A">
              <w:rPr>
                <w:rFonts w:cstheme="minorHAnsi"/>
              </w:rPr>
              <w:t>roid de</w:t>
            </w:r>
            <w:r w:rsidR="007B0D82">
              <w:rPr>
                <w:rFonts w:cstheme="minorHAnsi"/>
              </w:rPr>
              <w:t>ğ</w:t>
            </w:r>
            <w:r w:rsidR="00174A0A">
              <w:rPr>
                <w:rFonts w:cstheme="minorHAnsi"/>
              </w:rPr>
              <w:t>erlerini normalize etmek</w:t>
            </w:r>
            <w:r w:rsidR="00C370D5">
              <w:rPr>
                <w:rFonts w:cstheme="minorHAnsi"/>
              </w:rPr>
              <w:t xml:space="preserve"> (</w:t>
            </w:r>
            <w:r w:rsidR="008B4DCD">
              <w:rPr>
                <w:rFonts w:cstheme="minorHAnsi"/>
              </w:rPr>
              <w:t xml:space="preserve">0.5 – 2.5 </w:t>
            </w:r>
            <w:r w:rsidR="009E0A4D">
              <w:rPr>
                <w:rFonts w:cstheme="minorHAnsi"/>
              </w:rPr>
              <w:t>mIU</w:t>
            </w:r>
            <w:r w:rsidR="00EA12CC">
              <w:rPr>
                <w:rFonts w:cstheme="minorHAnsi"/>
              </w:rPr>
              <w:t>/L)</w:t>
            </w:r>
          </w:p>
          <w:p w14:paraId="05F21B63" w14:textId="77777777" w:rsidR="00467C86" w:rsidRDefault="00467C8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Hamile kalmayı kolaylaştırmak</w:t>
            </w:r>
          </w:p>
          <w:p w14:paraId="417D3002" w14:textId="77777777" w:rsidR="00467C86" w:rsidRDefault="005664D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LT4 aşırı</w:t>
            </w:r>
            <w:r w:rsidR="00E63505">
              <w:rPr>
                <w:rFonts w:cstheme="minorHAnsi"/>
              </w:rPr>
              <w:t xml:space="preserve"> komplikasyonlarını önlemek</w:t>
            </w:r>
          </w:p>
          <w:p w14:paraId="1DC8D105" w14:textId="77777777" w:rsidR="00E63505" w:rsidRDefault="0068521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Yetersiz tedaviyi önlemek</w:t>
            </w:r>
          </w:p>
          <w:p w14:paraId="177D930D" w14:textId="1AF863EF" w:rsidR="0069334B" w:rsidRPr="00F2664D" w:rsidRDefault="00092217" w:rsidP="00671018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Tedaviye uyum sağlamak</w:t>
            </w:r>
          </w:p>
        </w:tc>
        <w:tc>
          <w:tcPr>
            <w:tcW w:w="1872" w:type="dxa"/>
          </w:tcPr>
          <w:p w14:paraId="6F2D6200" w14:textId="7A102045" w:rsidR="00F611B4" w:rsidRDefault="00C67FC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Yüksek TSH</w:t>
            </w:r>
            <w:r w:rsidR="002514BC">
              <w:rPr>
                <w:rFonts w:cstheme="minorHAnsi"/>
              </w:rPr>
              <w:t>, düşük normal T4</w:t>
            </w:r>
            <w:r w:rsidR="00662175">
              <w:rPr>
                <w:rFonts w:cstheme="minorHAnsi"/>
              </w:rPr>
              <w:t>,</w:t>
            </w:r>
            <w:r w:rsidR="000A6E37">
              <w:rPr>
                <w:rFonts w:cstheme="minorHAnsi"/>
              </w:rPr>
              <w:t xml:space="preserve"> otoimmün antikor yanıtı</w:t>
            </w:r>
            <w:r w:rsidR="00C41B2A">
              <w:rPr>
                <w:rFonts w:cstheme="minorHAnsi"/>
              </w:rPr>
              <w:t xml:space="preserve">(Olasılıkla </w:t>
            </w:r>
            <w:r w:rsidR="00A93741">
              <w:rPr>
                <w:rFonts w:cstheme="minorHAnsi"/>
              </w:rPr>
              <w:t>Hashim</w:t>
            </w:r>
            <w:r w:rsidR="00805B57">
              <w:rPr>
                <w:rFonts w:cstheme="minorHAnsi"/>
              </w:rPr>
              <w:t>o</w:t>
            </w:r>
            <w:r w:rsidR="00A93741">
              <w:rPr>
                <w:rFonts w:cstheme="minorHAnsi"/>
              </w:rPr>
              <w:t>to)</w:t>
            </w:r>
          </w:p>
          <w:p w14:paraId="477F1B96" w14:textId="1237FF52" w:rsidR="00D20C9B" w:rsidRPr="00F2664D" w:rsidRDefault="006E44DE" w:rsidP="00CF16F9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Hafif yüksek LDL</w:t>
            </w:r>
          </w:p>
        </w:tc>
        <w:tc>
          <w:tcPr>
            <w:tcW w:w="1813" w:type="dxa"/>
          </w:tcPr>
          <w:p w14:paraId="67D11A14" w14:textId="63015279" w:rsidR="00754D0D" w:rsidRDefault="00754D0D" w:rsidP="008F71FB">
            <w:pPr>
              <w:ind w:left="82"/>
              <w:rPr>
                <w:rFonts w:cstheme="minorHAnsi"/>
              </w:rPr>
            </w:pPr>
            <w:r w:rsidRPr="00754D0D">
              <w:rPr>
                <w:rFonts w:cstheme="minorHAnsi"/>
              </w:rPr>
              <w:t>Euthyrox Tablet 50 mcg</w:t>
            </w:r>
            <w:r w:rsidR="00F524D8">
              <w:rPr>
                <w:rFonts w:cstheme="minorHAnsi"/>
              </w:rPr>
              <w:t xml:space="preserve"> </w:t>
            </w:r>
            <w:r w:rsidR="00947594">
              <w:rPr>
                <w:rFonts w:cstheme="minorHAnsi"/>
              </w:rPr>
              <w:t>(</w:t>
            </w:r>
            <w:r w:rsidR="0068525E">
              <w:rPr>
                <w:rFonts w:cstheme="minorHAnsi"/>
              </w:rPr>
              <w:t xml:space="preserve">ileride </w:t>
            </w:r>
            <w:r w:rsidR="00947594">
              <w:rPr>
                <w:rFonts w:cstheme="minorHAnsi"/>
              </w:rPr>
              <w:t>ölçüme göre</w:t>
            </w:r>
            <w:r w:rsidR="00006C85">
              <w:rPr>
                <w:rFonts w:cstheme="minorHAnsi"/>
              </w:rPr>
              <w:t xml:space="preserve"> doz arttırılabili</w:t>
            </w:r>
            <w:r w:rsidR="00D733E1">
              <w:rPr>
                <w:rFonts w:cstheme="minorHAnsi"/>
              </w:rPr>
              <w:t>r)</w:t>
            </w:r>
            <w:r w:rsidR="00947594">
              <w:rPr>
                <w:rFonts w:cstheme="minorHAnsi"/>
              </w:rPr>
              <w:t xml:space="preserve"> </w:t>
            </w:r>
            <w:r w:rsidRPr="00754D0D">
              <w:rPr>
                <w:rFonts w:cstheme="minorHAnsi"/>
              </w:rPr>
              <w:t xml:space="preserve"> P: 1x1</w:t>
            </w:r>
            <w:r>
              <w:rPr>
                <w:rFonts w:cstheme="minorHAnsi"/>
              </w:rPr>
              <w:t xml:space="preserve"> </w:t>
            </w:r>
            <w:r w:rsidR="0036783A">
              <w:rPr>
                <w:rFonts w:cstheme="minorHAnsi"/>
              </w:rPr>
              <w:t xml:space="preserve">kahvaltıdan </w:t>
            </w:r>
            <w:r w:rsidR="00431A10">
              <w:rPr>
                <w:rFonts w:cstheme="minorHAnsi"/>
              </w:rPr>
              <w:t xml:space="preserve">yarım saat önce </w:t>
            </w:r>
            <w:r w:rsidR="00250708">
              <w:rPr>
                <w:rFonts w:cstheme="minorHAnsi"/>
              </w:rPr>
              <w:t>al</w:t>
            </w:r>
            <w:r w:rsidR="00F538D6">
              <w:rPr>
                <w:rFonts w:cstheme="minorHAnsi"/>
              </w:rPr>
              <w:t>ın</w:t>
            </w:r>
            <w:r w:rsidR="00E4194B">
              <w:rPr>
                <w:rFonts w:cstheme="minorHAnsi"/>
              </w:rPr>
              <w:t>ması gerektiği</w:t>
            </w:r>
            <w:r w:rsidR="00B36934">
              <w:rPr>
                <w:rFonts w:cstheme="minorHAnsi"/>
              </w:rPr>
              <w:t>ni</w:t>
            </w:r>
            <w:r w:rsidR="00E4194B">
              <w:rPr>
                <w:rFonts w:cstheme="minorHAnsi"/>
              </w:rPr>
              <w:t xml:space="preserve"> </w:t>
            </w:r>
            <w:r w:rsidR="00B36934">
              <w:rPr>
                <w:rFonts w:cstheme="minorHAnsi"/>
              </w:rPr>
              <w:t>anlatma</w:t>
            </w:r>
          </w:p>
          <w:p w14:paraId="01EEE749" w14:textId="6DF59AC4" w:rsidR="00427CD5" w:rsidRDefault="00427CD5" w:rsidP="008F71FB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Aynı marka kullanım </w:t>
            </w:r>
            <w:r w:rsidR="00F05D80">
              <w:rPr>
                <w:rFonts w:cstheme="minorHAnsi"/>
              </w:rPr>
              <w:t>önemi</w:t>
            </w:r>
            <w:r w:rsidR="009D1C18">
              <w:rPr>
                <w:rFonts w:cstheme="minorHAnsi"/>
              </w:rPr>
              <w:t>ni anlatma</w:t>
            </w:r>
          </w:p>
          <w:p w14:paraId="4C87ADB4" w14:textId="3EFCC3C3" w:rsidR="001036E9" w:rsidRDefault="001036E9" w:rsidP="008F71FB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fonksiyonları normalize olana kadar alerjen olmayan nemlendirici desteği</w:t>
            </w:r>
          </w:p>
          <w:p w14:paraId="0C1FBCDE" w14:textId="43275B07" w:rsidR="001036E9" w:rsidRDefault="001036E9" w:rsidP="008F71FB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Cilt kuruluğuna neden olabilecek sabun ve kozmetik ürünlerden kaçınma</w:t>
            </w:r>
            <w:r w:rsidR="008C44E4">
              <w:rPr>
                <w:rFonts w:cstheme="minorHAnsi"/>
              </w:rPr>
              <w:t>sını önerme</w:t>
            </w:r>
          </w:p>
          <w:p w14:paraId="109C8F3D" w14:textId="77777777" w:rsidR="00F611B4" w:rsidRDefault="001036E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Egzersiz ve beslenme önerileri</w:t>
            </w:r>
          </w:p>
          <w:p w14:paraId="0F3D26BB" w14:textId="21A305F5" w:rsidR="00CF16F9" w:rsidRDefault="00B969B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</w:t>
            </w:r>
            <w:r w:rsidR="00CF16F9">
              <w:rPr>
                <w:rFonts w:cstheme="minorHAnsi"/>
              </w:rPr>
              <w:t>laçların düzenli al</w:t>
            </w:r>
            <w:r>
              <w:rPr>
                <w:rFonts w:cstheme="minorHAnsi"/>
              </w:rPr>
              <w:t>ın</w:t>
            </w:r>
            <w:r w:rsidR="00CF16F9">
              <w:rPr>
                <w:rFonts w:cstheme="minorHAnsi"/>
              </w:rPr>
              <w:t>ması gerekt</w:t>
            </w:r>
            <w:r w:rsidR="000F58D2">
              <w:rPr>
                <w:rFonts w:cstheme="minorHAnsi"/>
              </w:rPr>
              <w:t>iğini</w:t>
            </w:r>
            <w:r w:rsidR="00AF223B">
              <w:rPr>
                <w:rFonts w:cstheme="minorHAnsi"/>
              </w:rPr>
              <w:t xml:space="preserve"> </w:t>
            </w:r>
            <w:r w:rsidR="000F58D2">
              <w:rPr>
                <w:rFonts w:cstheme="minorHAnsi"/>
              </w:rPr>
              <w:t>an</w:t>
            </w:r>
            <w:r>
              <w:rPr>
                <w:rFonts w:cstheme="minorHAnsi"/>
              </w:rPr>
              <w:t>lat</w:t>
            </w:r>
            <w:r w:rsidR="00AF223B">
              <w:rPr>
                <w:rFonts w:cstheme="minorHAnsi"/>
              </w:rPr>
              <w:t>ma</w:t>
            </w:r>
          </w:p>
          <w:p w14:paraId="358D5B4B" w14:textId="77777777" w:rsidR="00031693" w:rsidRDefault="0047515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Gebelik </w:t>
            </w:r>
            <w:r w:rsidR="00262C21">
              <w:rPr>
                <w:rFonts w:cstheme="minorHAnsi"/>
              </w:rPr>
              <w:t>gerçekleştikten</w:t>
            </w:r>
            <w:r>
              <w:rPr>
                <w:rFonts w:cstheme="minorHAnsi"/>
              </w:rPr>
              <w:t xml:space="preserve"> sonra</w:t>
            </w:r>
            <w:r w:rsidR="007A0D38">
              <w:rPr>
                <w:rFonts w:cstheme="minorHAnsi"/>
              </w:rPr>
              <w:t xml:space="preserve"> ayda bir defa TSH düzeylerinin</w:t>
            </w:r>
            <w:r w:rsidR="00A3173A">
              <w:rPr>
                <w:rFonts w:cstheme="minorHAnsi"/>
              </w:rPr>
              <w:t xml:space="preserve"> ölçülüp</w:t>
            </w:r>
            <w:r w:rsidR="00FF5440">
              <w:rPr>
                <w:rFonts w:cstheme="minorHAnsi"/>
              </w:rPr>
              <w:t xml:space="preserve"> doz ayarlaması </w:t>
            </w:r>
            <w:r w:rsidR="008D60CB">
              <w:rPr>
                <w:rFonts w:cstheme="minorHAnsi"/>
              </w:rPr>
              <w:t>yap</w:t>
            </w:r>
            <w:r w:rsidR="006C217C">
              <w:rPr>
                <w:rFonts w:cstheme="minorHAnsi"/>
              </w:rPr>
              <w:t xml:space="preserve">ılması </w:t>
            </w:r>
            <w:r w:rsidR="006C217C">
              <w:rPr>
                <w:rFonts w:cstheme="minorHAnsi"/>
              </w:rPr>
              <w:lastRenderedPageBreak/>
              <w:t>gerektiği konusunda bilgilendirme yapma</w:t>
            </w:r>
          </w:p>
          <w:p w14:paraId="7252165E" w14:textId="2006CD76" w:rsidR="00D17702" w:rsidRPr="00F2664D" w:rsidRDefault="00F94D1E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Yüksek dozda diyare, terleme, tremor</w:t>
            </w:r>
            <w:r w:rsidR="0054353F">
              <w:rPr>
                <w:rFonts w:cstheme="minorHAnsi"/>
              </w:rPr>
              <w:t xml:space="preserve">, çarpıntı, </w:t>
            </w:r>
            <w:r w:rsidR="008A7C23">
              <w:rPr>
                <w:rFonts w:cstheme="minorHAnsi"/>
              </w:rPr>
              <w:t>sıcaklık intoleransı gibi yan etkilerin</w:t>
            </w:r>
            <w:r w:rsidR="007E06F2">
              <w:rPr>
                <w:rFonts w:cstheme="minorHAnsi"/>
              </w:rPr>
              <w:t xml:space="preserve"> görülebileceğinin </w:t>
            </w:r>
            <w:r w:rsidR="000A540F">
              <w:rPr>
                <w:rFonts w:cstheme="minorHAnsi"/>
              </w:rPr>
              <w:t>açıklanması</w:t>
            </w:r>
          </w:p>
        </w:tc>
        <w:tc>
          <w:tcPr>
            <w:tcW w:w="1763" w:type="dxa"/>
          </w:tcPr>
          <w:p w14:paraId="2A33006E" w14:textId="77777777" w:rsidR="00C63538" w:rsidRDefault="009672D4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Uykusuzluk, yorgunluk, </w:t>
            </w:r>
            <w:r w:rsidR="00DF0F87">
              <w:rPr>
                <w:rFonts w:cstheme="minorHAnsi"/>
              </w:rPr>
              <w:t>konstipasyon, cilt kuruluğu</w:t>
            </w:r>
            <w:r w:rsidR="00EB2717">
              <w:rPr>
                <w:rFonts w:cstheme="minorHAnsi"/>
              </w:rPr>
              <w:t xml:space="preserve">, </w:t>
            </w:r>
            <w:r w:rsidR="0000190D">
              <w:rPr>
                <w:rFonts w:cstheme="minorHAnsi"/>
              </w:rPr>
              <w:t>menstrüel düzen</w:t>
            </w:r>
          </w:p>
          <w:p w14:paraId="600F760F" w14:textId="77777777" w:rsidR="008C7BB1" w:rsidRDefault="00841CC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TSH</w:t>
            </w:r>
            <w:r w:rsidR="0045712A">
              <w:rPr>
                <w:rFonts w:cstheme="minorHAnsi"/>
              </w:rPr>
              <w:t xml:space="preserve"> (4-6</w:t>
            </w:r>
            <w:r w:rsidR="00211F25">
              <w:rPr>
                <w:rFonts w:cstheme="minorHAnsi"/>
              </w:rPr>
              <w:t xml:space="preserve"> hafta</w:t>
            </w:r>
            <w:r w:rsidR="00EC2A85">
              <w:rPr>
                <w:rFonts w:cstheme="minorHAnsi"/>
              </w:rPr>
              <w:t>da bir</w:t>
            </w:r>
            <w:r w:rsidR="00AB192A">
              <w:rPr>
                <w:rFonts w:cstheme="minorHAnsi"/>
              </w:rPr>
              <w:t xml:space="preserve">, </w:t>
            </w:r>
            <w:r w:rsidR="00A14A5F">
              <w:rPr>
                <w:rFonts w:cstheme="minorHAnsi"/>
              </w:rPr>
              <w:t>ideal hedefe</w:t>
            </w:r>
            <w:r w:rsidR="00DB01A3">
              <w:rPr>
                <w:rFonts w:cstheme="minorHAnsi"/>
              </w:rPr>
              <w:t xml:space="preserve"> ulaşıldıktan sonra 6 ayda</w:t>
            </w:r>
            <w:r w:rsidR="00A948B5">
              <w:rPr>
                <w:rFonts w:cstheme="minorHAnsi"/>
              </w:rPr>
              <w:t>-</w:t>
            </w:r>
            <w:r w:rsidR="007F1388">
              <w:rPr>
                <w:rFonts w:cstheme="minorHAnsi"/>
              </w:rPr>
              <w:t>yılda bir</w:t>
            </w:r>
            <w:r w:rsidR="001D2CB7">
              <w:rPr>
                <w:rFonts w:cstheme="minorHAnsi"/>
              </w:rPr>
              <w:t>, gebelik meydana</w:t>
            </w:r>
            <w:r w:rsidR="0067438E">
              <w:rPr>
                <w:rFonts w:cstheme="minorHAnsi"/>
              </w:rPr>
              <w:t xml:space="preserve"> geldiğinde ayda bir</w:t>
            </w:r>
            <w:r w:rsidR="00211F25">
              <w:rPr>
                <w:rFonts w:cstheme="minorHAnsi"/>
              </w:rPr>
              <w:t>)</w:t>
            </w:r>
          </w:p>
          <w:p w14:paraId="5230FBEC" w14:textId="0D6C04FB" w:rsidR="00F611B4" w:rsidRPr="00F2664D" w:rsidRDefault="008C7BB1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</w:t>
            </w:r>
            <w:r w:rsidR="00ED59AE">
              <w:rPr>
                <w:rFonts w:cstheme="minorHAnsi"/>
              </w:rPr>
              <w:t>laç alımı</w:t>
            </w:r>
            <w:r w:rsidR="006C662B">
              <w:rPr>
                <w:rFonts w:cstheme="minorHAnsi"/>
              </w:rPr>
              <w:t xml:space="preserve"> (</w:t>
            </w:r>
            <w:r w:rsidR="00525DF3">
              <w:rPr>
                <w:rFonts w:cstheme="minorHAnsi"/>
              </w:rPr>
              <w:t xml:space="preserve">gebelik </w:t>
            </w:r>
            <w:r w:rsidR="005852F7">
              <w:rPr>
                <w:rFonts w:cstheme="minorHAnsi"/>
              </w:rPr>
              <w:t>gerçekleştikten</w:t>
            </w:r>
            <w:r w:rsidR="002073BA">
              <w:rPr>
                <w:rFonts w:cstheme="minorHAnsi"/>
              </w:rPr>
              <w:t xml:space="preserve"> sonra</w:t>
            </w:r>
            <w:r w:rsidR="0044782A">
              <w:rPr>
                <w:rFonts w:cstheme="minorHAnsi"/>
              </w:rPr>
              <w:t xml:space="preserve"> ölçüme göre</w:t>
            </w:r>
            <w:r w:rsidR="001C617C">
              <w:rPr>
                <w:rFonts w:cstheme="minorHAnsi"/>
              </w:rPr>
              <w:t xml:space="preserve"> </w:t>
            </w:r>
            <w:r w:rsidR="007701FD">
              <w:rPr>
                <w:rFonts w:cstheme="minorHAnsi"/>
              </w:rPr>
              <w:t>dozunun arttırılması</w:t>
            </w:r>
            <w:r w:rsidR="005325A9">
              <w:rPr>
                <w:rFonts w:cstheme="minorHAnsi"/>
              </w:rPr>
              <w:t xml:space="preserve"> söz</w:t>
            </w:r>
            <w:r w:rsidR="00C279DA">
              <w:rPr>
                <w:rFonts w:cstheme="minorHAnsi"/>
              </w:rPr>
              <w:t xml:space="preserve"> </w:t>
            </w:r>
            <w:r w:rsidR="005325A9">
              <w:rPr>
                <w:rFonts w:cstheme="minorHAnsi"/>
              </w:rPr>
              <w:t>konusu olabilir</w:t>
            </w:r>
            <w:r w:rsidR="00FB2493">
              <w:rPr>
                <w:rFonts w:cstheme="minorHAnsi"/>
              </w:rPr>
              <w:t>)</w:t>
            </w:r>
          </w:p>
        </w:tc>
      </w:tr>
      <w:tr w:rsidR="007357E9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7EA14C74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5A27A1">
              <w:rPr>
                <w:rFonts w:cstheme="minorHAnsi"/>
              </w:rPr>
              <w:t>Olası gereksiz ilaç kullanımı</w:t>
            </w:r>
          </w:p>
        </w:tc>
        <w:tc>
          <w:tcPr>
            <w:tcW w:w="1828" w:type="dxa"/>
          </w:tcPr>
          <w:p w14:paraId="024F3927" w14:textId="1277660F" w:rsidR="00A83B3E" w:rsidRPr="00F2664D" w:rsidRDefault="0053787C" w:rsidP="0053787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Gerekl</w:t>
            </w:r>
            <w:r w:rsidR="00A83B3E">
              <w:rPr>
                <w:rFonts w:cstheme="minorHAnsi"/>
              </w:rPr>
              <w:t xml:space="preserve">i değilse </w:t>
            </w:r>
            <w:r w:rsidR="008B446C">
              <w:rPr>
                <w:rFonts w:cstheme="minorHAnsi"/>
              </w:rPr>
              <w:t>Dulcosoft’u kesmek</w:t>
            </w:r>
          </w:p>
        </w:tc>
        <w:tc>
          <w:tcPr>
            <w:tcW w:w="1872" w:type="dxa"/>
          </w:tcPr>
          <w:p w14:paraId="34503016" w14:textId="110DB9F5" w:rsidR="00F611B4" w:rsidRPr="00F2664D" w:rsidRDefault="00694FD1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Olasılıkla demir preparatı</w:t>
            </w:r>
            <w:r w:rsidR="00DC2D52">
              <w:rPr>
                <w:rFonts w:cstheme="minorHAnsi"/>
              </w:rPr>
              <w:t xml:space="preserve"> konstipasyona katkı veriyor olabilir, </w:t>
            </w:r>
            <w:r w:rsidR="003E6542">
              <w:rPr>
                <w:rFonts w:cstheme="minorHAnsi"/>
              </w:rPr>
              <w:t xml:space="preserve">hipotroidinin katkısı muhtemelen </w:t>
            </w:r>
            <w:r w:rsidR="000632B8">
              <w:rPr>
                <w:rFonts w:cstheme="minorHAnsi"/>
              </w:rPr>
              <w:t>daha yüksek</w:t>
            </w:r>
            <w:r w:rsidR="00E73116">
              <w:rPr>
                <w:rFonts w:cstheme="minorHAnsi"/>
              </w:rPr>
              <w:t xml:space="preserve"> düzeyde</w:t>
            </w:r>
            <w:r w:rsidR="00424F5A">
              <w:rPr>
                <w:rFonts w:cstheme="minorHAnsi"/>
              </w:rPr>
              <w:t xml:space="preserve"> çünkü</w:t>
            </w:r>
            <w:r w:rsidR="00CD3FB1">
              <w:rPr>
                <w:rFonts w:cstheme="minorHAnsi"/>
              </w:rPr>
              <w:t xml:space="preserve"> hasta</w:t>
            </w:r>
            <w:r w:rsidR="00424F5A">
              <w:rPr>
                <w:rFonts w:cstheme="minorHAnsi"/>
              </w:rPr>
              <w:t xml:space="preserve"> </w:t>
            </w:r>
            <w:r w:rsidR="00E43ED1">
              <w:rPr>
                <w:rFonts w:cstheme="minorHAnsi"/>
              </w:rPr>
              <w:t>demir hapı</w:t>
            </w:r>
            <w:r w:rsidR="00137B28">
              <w:rPr>
                <w:rFonts w:cstheme="minorHAnsi"/>
              </w:rPr>
              <w:t>nı</w:t>
            </w:r>
            <w:r w:rsidR="00E43ED1">
              <w:rPr>
                <w:rFonts w:cstheme="minorHAnsi"/>
              </w:rPr>
              <w:t xml:space="preserve"> çok uzun </w:t>
            </w:r>
            <w:r w:rsidR="00137B28">
              <w:rPr>
                <w:rFonts w:cstheme="minorHAnsi"/>
              </w:rPr>
              <w:t>süredir kullanıyor</w:t>
            </w:r>
            <w:r w:rsidR="006D0DCE">
              <w:rPr>
                <w:rFonts w:cstheme="minorHAnsi"/>
              </w:rPr>
              <w:t xml:space="preserve">, konstipasyon </w:t>
            </w:r>
            <w:r w:rsidR="00CD3FB1">
              <w:rPr>
                <w:rFonts w:cstheme="minorHAnsi"/>
              </w:rPr>
              <w:t xml:space="preserve">son </w:t>
            </w:r>
            <w:r w:rsidR="006D0DCE">
              <w:rPr>
                <w:rFonts w:cstheme="minorHAnsi"/>
              </w:rPr>
              <w:t>1</w:t>
            </w:r>
            <w:r w:rsidR="00F202CA">
              <w:rPr>
                <w:rFonts w:cstheme="minorHAnsi"/>
              </w:rPr>
              <w:t xml:space="preserve"> senedir mevcut</w:t>
            </w:r>
          </w:p>
        </w:tc>
        <w:tc>
          <w:tcPr>
            <w:tcW w:w="1813" w:type="dxa"/>
          </w:tcPr>
          <w:p w14:paraId="3F579615" w14:textId="77777777" w:rsidR="00F611B4" w:rsidRDefault="0000244C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Konstipasyonu</w:t>
            </w:r>
            <w:r w:rsidR="00BD46F3">
              <w:rPr>
                <w:rFonts w:cstheme="minorHAnsi"/>
              </w:rPr>
              <w:t xml:space="preserve">n </w:t>
            </w:r>
            <w:r w:rsidR="00706C45">
              <w:rPr>
                <w:rFonts w:cstheme="minorHAnsi"/>
              </w:rPr>
              <w:t xml:space="preserve">geçip </w:t>
            </w:r>
            <w:r w:rsidR="00C919A0">
              <w:rPr>
                <w:rFonts w:cstheme="minorHAnsi"/>
              </w:rPr>
              <w:t>geçmediğini takip etme, bununla ilgili ola</w:t>
            </w:r>
            <w:r w:rsidR="00F032B3">
              <w:rPr>
                <w:rFonts w:cstheme="minorHAnsi"/>
              </w:rPr>
              <w:t>rak tekrar uzman hekime yönlendirme</w:t>
            </w:r>
          </w:p>
          <w:p w14:paraId="03518833" w14:textId="2861BDAE" w:rsidR="007C1C87" w:rsidRPr="00F2664D" w:rsidRDefault="007C1C8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Oroferon kesildikten sonr</w:t>
            </w:r>
            <w:r w:rsidR="0097294D">
              <w:rPr>
                <w:rFonts w:cstheme="minorHAnsi"/>
              </w:rPr>
              <w:t xml:space="preserve">a </w:t>
            </w:r>
            <w:r w:rsidR="004808AA">
              <w:rPr>
                <w:rFonts w:cstheme="minorHAnsi"/>
              </w:rPr>
              <w:t>konstipasyonda</w:t>
            </w:r>
            <w:r w:rsidR="00924750">
              <w:rPr>
                <w:rFonts w:cstheme="minorHAnsi"/>
              </w:rPr>
              <w:t xml:space="preserve"> </w:t>
            </w:r>
            <w:r w:rsidR="0097294D">
              <w:rPr>
                <w:rFonts w:cstheme="minorHAnsi"/>
              </w:rPr>
              <w:t>azalma olup olmadığın</w:t>
            </w:r>
            <w:r w:rsidR="00795076">
              <w:rPr>
                <w:rFonts w:cstheme="minorHAnsi"/>
              </w:rPr>
              <w:t>ı</w:t>
            </w:r>
            <w:r w:rsidR="00E67553">
              <w:rPr>
                <w:rFonts w:cstheme="minorHAnsi"/>
              </w:rPr>
              <w:t xml:space="preserve"> takip edip</w:t>
            </w:r>
            <w:r w:rsidR="00016784">
              <w:rPr>
                <w:rFonts w:cstheme="minorHAnsi"/>
              </w:rPr>
              <w:t xml:space="preserve"> ihtiyaca göre </w:t>
            </w:r>
            <w:r w:rsidR="0076732C">
              <w:rPr>
                <w:rFonts w:cstheme="minorHAnsi"/>
              </w:rPr>
              <w:t>hastanın</w:t>
            </w:r>
            <w:r w:rsidR="007357E9">
              <w:rPr>
                <w:rFonts w:cstheme="minorHAnsi"/>
              </w:rPr>
              <w:t xml:space="preserve"> </w:t>
            </w:r>
            <w:r w:rsidR="00637E89">
              <w:rPr>
                <w:rFonts w:cstheme="minorHAnsi"/>
              </w:rPr>
              <w:t>D</w:t>
            </w:r>
            <w:r w:rsidR="00BE781C">
              <w:rPr>
                <w:rFonts w:cstheme="minorHAnsi"/>
              </w:rPr>
              <w:t>ulcosoft</w:t>
            </w:r>
            <w:r w:rsidR="00693723">
              <w:rPr>
                <w:rFonts w:cstheme="minorHAnsi"/>
              </w:rPr>
              <w:t>’u sürekli kullanmasını gerek</w:t>
            </w:r>
            <w:r w:rsidR="0000322D">
              <w:rPr>
                <w:rFonts w:cstheme="minorHAnsi"/>
              </w:rPr>
              <w:t>tiren bir durum yoksa</w:t>
            </w:r>
            <w:r w:rsidR="009231A6">
              <w:rPr>
                <w:rFonts w:cstheme="minorHAnsi"/>
              </w:rPr>
              <w:t xml:space="preserve"> Dulcosoft’un</w:t>
            </w:r>
            <w:r w:rsidR="0000322D">
              <w:rPr>
                <w:rFonts w:cstheme="minorHAnsi"/>
              </w:rPr>
              <w:t xml:space="preserve"> kesilmesi</w:t>
            </w:r>
          </w:p>
        </w:tc>
        <w:tc>
          <w:tcPr>
            <w:tcW w:w="1763" w:type="dxa"/>
          </w:tcPr>
          <w:p w14:paraId="69E2CC97" w14:textId="3F34EFC8" w:rsidR="00F611B4" w:rsidRPr="00F2664D" w:rsidRDefault="00A410D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</w:t>
            </w:r>
          </w:p>
        </w:tc>
      </w:tr>
      <w:tr w:rsidR="007357E9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60097CF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D647F2">
              <w:rPr>
                <w:rFonts w:cstheme="minorHAnsi"/>
              </w:rPr>
              <w:t xml:space="preserve">Demir </w:t>
            </w:r>
            <w:r w:rsidR="00814A81">
              <w:rPr>
                <w:rFonts w:cstheme="minorHAnsi"/>
              </w:rPr>
              <w:t>Eksikliği Anemisi</w:t>
            </w:r>
            <w:r w:rsidR="00FA0991">
              <w:rPr>
                <w:rFonts w:cstheme="minorHAnsi"/>
              </w:rPr>
              <w:t xml:space="preserve"> </w:t>
            </w:r>
            <w:r w:rsidR="00646CD2">
              <w:rPr>
                <w:rFonts w:cstheme="minorHAnsi"/>
              </w:rPr>
              <w:t>(</w:t>
            </w:r>
            <w:r w:rsidR="00FA0991">
              <w:rPr>
                <w:rFonts w:cstheme="minorHAnsi"/>
              </w:rPr>
              <w:t xml:space="preserve">Adölesan </w:t>
            </w:r>
            <w:r w:rsidR="007839FF">
              <w:rPr>
                <w:rFonts w:cstheme="minorHAnsi"/>
              </w:rPr>
              <w:t>dönemde teşhis konmuş</w:t>
            </w:r>
            <w:r w:rsidR="00400531">
              <w:rPr>
                <w:rFonts w:cstheme="minorHAnsi"/>
              </w:rPr>
              <w:t>)</w:t>
            </w:r>
          </w:p>
        </w:tc>
        <w:tc>
          <w:tcPr>
            <w:tcW w:w="1828" w:type="dxa"/>
          </w:tcPr>
          <w:p w14:paraId="4ECC6164" w14:textId="61FBEEC0" w:rsidR="00F611B4" w:rsidRDefault="0013204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İlacın gerekliliğini</w:t>
            </w:r>
            <w:r w:rsidR="00155ACB">
              <w:rPr>
                <w:rFonts w:cstheme="minorHAnsi"/>
              </w:rPr>
              <w:t xml:space="preserve"> değerlendirmek, gerekliyse </w:t>
            </w:r>
            <w:r w:rsidR="00EA099A">
              <w:rPr>
                <w:rFonts w:cstheme="minorHAnsi"/>
              </w:rPr>
              <w:t>etkileşme olmadan alınmasını sağlamak</w:t>
            </w:r>
          </w:p>
          <w:p w14:paraId="07F5DDFC" w14:textId="59F60937" w:rsidR="00155ACB" w:rsidRPr="00F2664D" w:rsidRDefault="00155ACB" w:rsidP="00946A71">
            <w:pPr>
              <w:ind w:left="82"/>
              <w:rPr>
                <w:rFonts w:cstheme="minorHAnsi"/>
              </w:rPr>
            </w:pPr>
          </w:p>
        </w:tc>
        <w:tc>
          <w:tcPr>
            <w:tcW w:w="1872" w:type="dxa"/>
          </w:tcPr>
          <w:p w14:paraId="38F10D4D" w14:textId="77777777" w:rsidR="00B63A21" w:rsidRDefault="00921A29" w:rsidP="00E225D6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düzeyleri bilinmemektedir</w:t>
            </w:r>
            <w:r w:rsidR="00B63A21">
              <w:rPr>
                <w:rFonts w:cstheme="minorHAnsi"/>
              </w:rPr>
              <w:t>,</w:t>
            </w:r>
            <w:r w:rsidR="00E225D6">
              <w:rPr>
                <w:rFonts w:cstheme="minorHAnsi"/>
              </w:rPr>
              <w:t xml:space="preserve"> </w:t>
            </w:r>
            <w:r w:rsidR="004F2759">
              <w:rPr>
                <w:rFonts w:cstheme="minorHAnsi"/>
              </w:rPr>
              <w:t>uzun süre devam e</w:t>
            </w:r>
            <w:r w:rsidR="004F16F5">
              <w:rPr>
                <w:rFonts w:cstheme="minorHAnsi"/>
              </w:rPr>
              <w:t>ttiyse</w:t>
            </w:r>
            <w:r w:rsidR="004C0298">
              <w:rPr>
                <w:rFonts w:cstheme="minorHAnsi"/>
              </w:rPr>
              <w:t xml:space="preserve"> demir eksikliğinin </w:t>
            </w:r>
            <w:r w:rsidR="00B105F1">
              <w:rPr>
                <w:rFonts w:cstheme="minorHAnsi"/>
              </w:rPr>
              <w:t>başka sebepleri</w:t>
            </w:r>
            <w:r w:rsidR="007840AD">
              <w:rPr>
                <w:rFonts w:cstheme="minorHAnsi"/>
              </w:rPr>
              <w:t>nin</w:t>
            </w:r>
            <w:r w:rsidR="00B105F1">
              <w:rPr>
                <w:rFonts w:cstheme="minorHAnsi"/>
              </w:rPr>
              <w:t xml:space="preserve"> olması gerekir</w:t>
            </w:r>
            <w:r w:rsidR="00740A31">
              <w:rPr>
                <w:rFonts w:cstheme="minorHAnsi"/>
              </w:rPr>
              <w:t>di</w:t>
            </w:r>
            <w:r w:rsidR="00B105F1">
              <w:rPr>
                <w:rFonts w:cstheme="minorHAnsi"/>
              </w:rPr>
              <w:t xml:space="preserve">, </w:t>
            </w:r>
            <w:r w:rsidR="0016416E">
              <w:rPr>
                <w:rFonts w:cstheme="minorHAnsi"/>
              </w:rPr>
              <w:t xml:space="preserve">altta yatan sebeplerin </w:t>
            </w:r>
            <w:r w:rsidR="001A35DD">
              <w:rPr>
                <w:rFonts w:cstheme="minorHAnsi"/>
              </w:rPr>
              <w:t>araştırılması gerekir</w:t>
            </w:r>
            <w:r w:rsidR="00740A31">
              <w:rPr>
                <w:rFonts w:cstheme="minorHAnsi"/>
              </w:rPr>
              <w:t>di</w:t>
            </w:r>
            <w:r w:rsidR="002C7CD1">
              <w:rPr>
                <w:rFonts w:cstheme="minorHAnsi"/>
              </w:rPr>
              <w:t>.</w:t>
            </w:r>
          </w:p>
          <w:p w14:paraId="7E51C8F0" w14:textId="65428ED4" w:rsidR="00B62609" w:rsidRPr="00F2664D" w:rsidRDefault="002C55C0" w:rsidP="00874ADA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Olasılıkla Oroferon gerekli olmayacaktır</w:t>
            </w:r>
            <w:r w:rsidR="004067E7">
              <w:rPr>
                <w:rFonts w:cstheme="minorHAnsi"/>
              </w:rPr>
              <w:t>, gerekliyse kalsiyum tuzlarıyla</w:t>
            </w:r>
            <w:r w:rsidR="0035071D">
              <w:rPr>
                <w:rFonts w:cstheme="minorHAnsi"/>
              </w:rPr>
              <w:t xml:space="preserve"> demirin etkileşmesi </w:t>
            </w:r>
            <w:r w:rsidR="004C240F">
              <w:rPr>
                <w:rFonts w:cstheme="minorHAnsi"/>
              </w:rPr>
              <w:t>söz konusu olabilecektir</w:t>
            </w:r>
            <w:r w:rsidR="009135CA">
              <w:rPr>
                <w:rFonts w:cstheme="minorHAnsi"/>
              </w:rPr>
              <w:t>,</w:t>
            </w:r>
            <w:r w:rsidR="008E4915">
              <w:rPr>
                <w:rFonts w:cstheme="minorHAnsi"/>
              </w:rPr>
              <w:t xml:space="preserve"> </w:t>
            </w:r>
            <w:r w:rsidR="00A075C9">
              <w:rPr>
                <w:rFonts w:cstheme="minorHAnsi"/>
              </w:rPr>
              <w:t xml:space="preserve">gece Solgar’ın </w:t>
            </w:r>
            <w:r w:rsidR="002003B4">
              <w:rPr>
                <w:rFonts w:cstheme="minorHAnsi"/>
              </w:rPr>
              <w:t>ilacının kullanılması diğer ilaçların</w:t>
            </w:r>
            <w:r w:rsidR="00E6594B">
              <w:rPr>
                <w:rFonts w:cstheme="minorHAnsi"/>
              </w:rPr>
              <w:t xml:space="preserve"> da ona göre ayarlanması gerekecektir</w:t>
            </w:r>
            <w:r w:rsidR="0001430B">
              <w:rPr>
                <w:rFonts w:cstheme="minorHAnsi"/>
              </w:rPr>
              <w:t>,</w:t>
            </w:r>
            <w:r w:rsidR="009135CA">
              <w:rPr>
                <w:rFonts w:cstheme="minorHAnsi"/>
              </w:rPr>
              <w:t xml:space="preserve"> </w:t>
            </w:r>
            <w:r w:rsidR="00CD5751">
              <w:rPr>
                <w:rFonts w:cstheme="minorHAnsi"/>
              </w:rPr>
              <w:t>demir ile Solgar’ın preparatı arasında</w:t>
            </w:r>
            <w:r w:rsidR="00874ADA">
              <w:rPr>
                <w:rFonts w:cstheme="minorHAnsi"/>
              </w:rPr>
              <w:t xml:space="preserve"> </w:t>
            </w:r>
            <w:r w:rsidR="00132B56">
              <w:rPr>
                <w:rFonts w:cstheme="minorHAnsi"/>
              </w:rPr>
              <w:t>2-</w:t>
            </w:r>
            <w:r w:rsidR="008E4915">
              <w:rPr>
                <w:rFonts w:cstheme="minorHAnsi"/>
              </w:rPr>
              <w:t>3 saat ara gerekecektir</w:t>
            </w:r>
          </w:p>
        </w:tc>
        <w:tc>
          <w:tcPr>
            <w:tcW w:w="1813" w:type="dxa"/>
          </w:tcPr>
          <w:p w14:paraId="24BF5376" w14:textId="77777777" w:rsidR="00AB4776" w:rsidRDefault="007736C7" w:rsidP="00AB4776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Oroferon</w:t>
            </w:r>
            <w:r w:rsidR="00466FD5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un</w:t>
            </w:r>
            <w:r w:rsidR="00466FD5">
              <w:rPr>
                <w:rFonts w:cstheme="minorHAnsi"/>
              </w:rPr>
              <w:t xml:space="preserve"> hastada gerekliliğinin değerlendirilme</w:t>
            </w:r>
            <w:r w:rsidR="00CB3C1A">
              <w:rPr>
                <w:rFonts w:cstheme="minorHAnsi"/>
              </w:rPr>
              <w:t>si</w:t>
            </w:r>
          </w:p>
          <w:p w14:paraId="2E638F26" w14:textId="5ABD219C" w:rsidR="005A5A77" w:rsidRDefault="00FA2542" w:rsidP="00AB4776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düzeylerinin normal olup olmadı</w:t>
            </w:r>
            <w:r w:rsidR="00466801">
              <w:rPr>
                <w:rFonts w:cstheme="minorHAnsi"/>
              </w:rPr>
              <w:t>ğına bakılması</w:t>
            </w:r>
          </w:p>
          <w:p w14:paraId="22968877" w14:textId="617DAEB2" w:rsidR="0011613E" w:rsidRPr="00F2664D" w:rsidRDefault="00A43F81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Etkileşme olmadan</w:t>
            </w:r>
            <w:r w:rsidR="00043959">
              <w:rPr>
                <w:rFonts w:cstheme="minorHAnsi"/>
              </w:rPr>
              <w:t xml:space="preserve"> ilacı </w:t>
            </w:r>
            <w:r>
              <w:rPr>
                <w:rFonts w:cstheme="minorHAnsi"/>
              </w:rPr>
              <w:t>al</w:t>
            </w:r>
            <w:r w:rsidR="00BC3701">
              <w:rPr>
                <w:rFonts w:cstheme="minorHAnsi"/>
              </w:rPr>
              <w:t>acak şekilde hastayı yönlendirme</w:t>
            </w:r>
          </w:p>
        </w:tc>
        <w:tc>
          <w:tcPr>
            <w:tcW w:w="1763" w:type="dxa"/>
          </w:tcPr>
          <w:p w14:paraId="03FDF8A7" w14:textId="737A9EDE" w:rsidR="00F611B4" w:rsidRPr="00F2664D" w:rsidRDefault="000D4F8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Demir düzeyleri</w:t>
            </w:r>
          </w:p>
        </w:tc>
      </w:tr>
      <w:tr w:rsidR="007357E9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173C192F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9733F9">
              <w:rPr>
                <w:rFonts w:cstheme="minorHAnsi"/>
              </w:rPr>
              <w:t>İlaç Etkileşmesi</w:t>
            </w:r>
          </w:p>
        </w:tc>
        <w:tc>
          <w:tcPr>
            <w:tcW w:w="1828" w:type="dxa"/>
          </w:tcPr>
          <w:p w14:paraId="0CF88CA2" w14:textId="501AB8BC" w:rsidR="00F611B4" w:rsidRPr="00F2664D" w:rsidRDefault="001913F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</w:t>
            </w:r>
            <w:r w:rsidR="00F55842">
              <w:rPr>
                <w:rFonts w:cstheme="minorHAnsi"/>
              </w:rPr>
              <w:t>la</w:t>
            </w:r>
            <w:r w:rsidR="006A7FC4">
              <w:rPr>
                <w:rFonts w:cstheme="minorHAnsi"/>
              </w:rPr>
              <w:t xml:space="preserve">ç </w:t>
            </w:r>
            <w:r w:rsidR="000C66A5">
              <w:rPr>
                <w:rFonts w:cstheme="minorHAnsi"/>
              </w:rPr>
              <w:t>etkileşme</w:t>
            </w:r>
            <w:r w:rsidR="009807F6">
              <w:rPr>
                <w:rFonts w:cstheme="minorHAnsi"/>
              </w:rPr>
              <w:t>lerini</w:t>
            </w:r>
            <w:r w:rsidR="000C66A5">
              <w:rPr>
                <w:rFonts w:cstheme="minorHAnsi"/>
              </w:rPr>
              <w:t xml:space="preserve"> engellemek</w:t>
            </w:r>
          </w:p>
        </w:tc>
        <w:tc>
          <w:tcPr>
            <w:tcW w:w="1872" w:type="dxa"/>
          </w:tcPr>
          <w:p w14:paraId="48B2AAA1" w14:textId="77777777" w:rsidR="00F611B4" w:rsidRDefault="00AD03E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Euthyrox</w:t>
            </w:r>
            <w:r w:rsidR="00910892">
              <w:rPr>
                <w:rFonts w:cstheme="minorHAnsi"/>
              </w:rPr>
              <w:t xml:space="preserve">, Solgar’ın preparatı ve </w:t>
            </w:r>
            <w:r w:rsidR="002C6DF2">
              <w:rPr>
                <w:rFonts w:cstheme="minorHAnsi"/>
              </w:rPr>
              <w:t xml:space="preserve">demir preparatıyla </w:t>
            </w:r>
            <w:r w:rsidR="00D654DF">
              <w:rPr>
                <w:rFonts w:cstheme="minorHAnsi"/>
              </w:rPr>
              <w:t>etkileşmektedir.</w:t>
            </w:r>
          </w:p>
          <w:p w14:paraId="3637D295" w14:textId="514E6CD9" w:rsidR="004E1E2D" w:rsidRPr="00F2664D" w:rsidRDefault="004E1E2D" w:rsidP="00946A71">
            <w:pPr>
              <w:ind w:left="82"/>
              <w:rPr>
                <w:rFonts w:cstheme="minorHAnsi"/>
              </w:rPr>
            </w:pPr>
          </w:p>
        </w:tc>
        <w:tc>
          <w:tcPr>
            <w:tcW w:w="1813" w:type="dxa"/>
          </w:tcPr>
          <w:p w14:paraId="16966CA8" w14:textId="47BDF76E" w:rsidR="00F611B4" w:rsidRPr="00F2664D" w:rsidRDefault="0077514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Solgar ve demir preparatıyla </w:t>
            </w:r>
            <w:r w:rsidR="00C8700C">
              <w:rPr>
                <w:rFonts w:cstheme="minorHAnsi"/>
              </w:rPr>
              <w:t>4 saat ara</w:t>
            </w:r>
            <w:r w:rsidR="00A74C51">
              <w:rPr>
                <w:rFonts w:cstheme="minorHAnsi"/>
              </w:rPr>
              <w:t>yı</w:t>
            </w:r>
            <w:r w:rsidR="00C8700C">
              <w:rPr>
                <w:rFonts w:cstheme="minorHAnsi"/>
              </w:rPr>
              <w:t xml:space="preserve"> açm</w:t>
            </w:r>
            <w:r w:rsidR="00A74C51">
              <w:rPr>
                <w:rFonts w:cstheme="minorHAnsi"/>
              </w:rPr>
              <w:t>a</w:t>
            </w:r>
          </w:p>
        </w:tc>
        <w:tc>
          <w:tcPr>
            <w:tcW w:w="1763" w:type="dxa"/>
          </w:tcPr>
          <w:p w14:paraId="23D32A4C" w14:textId="2D783918" w:rsidR="00F611B4" w:rsidRPr="00F2664D" w:rsidRDefault="00910E1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Etkileşim olup olmadığı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A80A" w14:textId="77777777" w:rsidR="00D77FAD" w:rsidRDefault="00D77FAD" w:rsidP="00261364">
      <w:pPr>
        <w:spacing w:after="0" w:line="240" w:lineRule="auto"/>
      </w:pPr>
      <w:r>
        <w:separator/>
      </w:r>
    </w:p>
  </w:endnote>
  <w:endnote w:type="continuationSeparator" w:id="0">
    <w:p w14:paraId="5F6DCC0B" w14:textId="77777777" w:rsidR="00D77FAD" w:rsidRDefault="00D77FAD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0F3DE" w14:textId="77777777" w:rsidR="00D77FAD" w:rsidRDefault="00D77FAD" w:rsidP="00261364">
      <w:pPr>
        <w:spacing w:after="0" w:line="240" w:lineRule="auto"/>
      </w:pPr>
      <w:r>
        <w:separator/>
      </w:r>
    </w:p>
  </w:footnote>
  <w:footnote w:type="continuationSeparator" w:id="0">
    <w:p w14:paraId="29350F87" w14:textId="77777777" w:rsidR="00D77FAD" w:rsidRDefault="00D77FAD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Header"/>
    </w:pPr>
    <w:r>
      <w:t>Klinik Eczacılık – II Dersi</w:t>
    </w:r>
  </w:p>
  <w:p w14:paraId="13028B8D" w14:textId="4D89564C" w:rsidR="00261364" w:rsidRDefault="00261364">
    <w:pPr>
      <w:pStyle w:val="Header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0190D"/>
    <w:rsid w:val="0000244C"/>
    <w:rsid w:val="0000322D"/>
    <w:rsid w:val="000045CB"/>
    <w:rsid w:val="00006C85"/>
    <w:rsid w:val="0001430B"/>
    <w:rsid w:val="00016784"/>
    <w:rsid w:val="00026955"/>
    <w:rsid w:val="00031693"/>
    <w:rsid w:val="00043959"/>
    <w:rsid w:val="00050AB9"/>
    <w:rsid w:val="000632B8"/>
    <w:rsid w:val="00080773"/>
    <w:rsid w:val="00092217"/>
    <w:rsid w:val="000A1C5C"/>
    <w:rsid w:val="000A392B"/>
    <w:rsid w:val="000A540F"/>
    <w:rsid w:val="000A6E37"/>
    <w:rsid w:val="000C4656"/>
    <w:rsid w:val="000C66A5"/>
    <w:rsid w:val="000D38C7"/>
    <w:rsid w:val="000D4F82"/>
    <w:rsid w:val="000D56B9"/>
    <w:rsid w:val="000F58D2"/>
    <w:rsid w:val="001036E9"/>
    <w:rsid w:val="001104A6"/>
    <w:rsid w:val="00112806"/>
    <w:rsid w:val="00113040"/>
    <w:rsid w:val="0011613E"/>
    <w:rsid w:val="0013204D"/>
    <w:rsid w:val="00132B56"/>
    <w:rsid w:val="00132EAE"/>
    <w:rsid w:val="00137B28"/>
    <w:rsid w:val="00155ACB"/>
    <w:rsid w:val="0016416E"/>
    <w:rsid w:val="001707E1"/>
    <w:rsid w:val="00174A0A"/>
    <w:rsid w:val="001913FB"/>
    <w:rsid w:val="001A35DD"/>
    <w:rsid w:val="001A38D8"/>
    <w:rsid w:val="001C617C"/>
    <w:rsid w:val="001D2CB7"/>
    <w:rsid w:val="002003B4"/>
    <w:rsid w:val="002073BA"/>
    <w:rsid w:val="00211F25"/>
    <w:rsid w:val="00250708"/>
    <w:rsid w:val="002514BC"/>
    <w:rsid w:val="00254E23"/>
    <w:rsid w:val="00261364"/>
    <w:rsid w:val="00262C21"/>
    <w:rsid w:val="002C55C0"/>
    <w:rsid w:val="002C6DF2"/>
    <w:rsid w:val="002C7CD1"/>
    <w:rsid w:val="002E3286"/>
    <w:rsid w:val="00300195"/>
    <w:rsid w:val="003037D0"/>
    <w:rsid w:val="003053EE"/>
    <w:rsid w:val="0035047C"/>
    <w:rsid w:val="0035071D"/>
    <w:rsid w:val="0036783A"/>
    <w:rsid w:val="003C68D8"/>
    <w:rsid w:val="003D2583"/>
    <w:rsid w:val="003E6542"/>
    <w:rsid w:val="003F2C46"/>
    <w:rsid w:val="00400531"/>
    <w:rsid w:val="004067E7"/>
    <w:rsid w:val="0040701C"/>
    <w:rsid w:val="00424F5A"/>
    <w:rsid w:val="004274E0"/>
    <w:rsid w:val="00427CD5"/>
    <w:rsid w:val="00431A10"/>
    <w:rsid w:val="0043473C"/>
    <w:rsid w:val="0044782A"/>
    <w:rsid w:val="0045712A"/>
    <w:rsid w:val="00466801"/>
    <w:rsid w:val="00466FD5"/>
    <w:rsid w:val="00467C86"/>
    <w:rsid w:val="00475150"/>
    <w:rsid w:val="004808AA"/>
    <w:rsid w:val="00482F37"/>
    <w:rsid w:val="004C0298"/>
    <w:rsid w:val="004C19F0"/>
    <w:rsid w:val="004C240F"/>
    <w:rsid w:val="004E1E2D"/>
    <w:rsid w:val="004F16F5"/>
    <w:rsid w:val="004F2759"/>
    <w:rsid w:val="004F38B0"/>
    <w:rsid w:val="00525DF3"/>
    <w:rsid w:val="005325A9"/>
    <w:rsid w:val="0053787C"/>
    <w:rsid w:val="0054353F"/>
    <w:rsid w:val="005664DA"/>
    <w:rsid w:val="005852F7"/>
    <w:rsid w:val="0059008B"/>
    <w:rsid w:val="005A27A1"/>
    <w:rsid w:val="005A5A77"/>
    <w:rsid w:val="005D01AE"/>
    <w:rsid w:val="00621882"/>
    <w:rsid w:val="00637E89"/>
    <w:rsid w:val="00646CD2"/>
    <w:rsid w:val="00662175"/>
    <w:rsid w:val="00671018"/>
    <w:rsid w:val="0067438E"/>
    <w:rsid w:val="0068521A"/>
    <w:rsid w:val="0068525E"/>
    <w:rsid w:val="0069334B"/>
    <w:rsid w:val="00693723"/>
    <w:rsid w:val="00694FD1"/>
    <w:rsid w:val="006A7FC4"/>
    <w:rsid w:val="006C0CB1"/>
    <w:rsid w:val="006C217C"/>
    <w:rsid w:val="006C662B"/>
    <w:rsid w:val="006D0DCE"/>
    <w:rsid w:val="006E44DE"/>
    <w:rsid w:val="00706C45"/>
    <w:rsid w:val="00716AA4"/>
    <w:rsid w:val="0073331D"/>
    <w:rsid w:val="007357E9"/>
    <w:rsid w:val="00740A31"/>
    <w:rsid w:val="00754D0D"/>
    <w:rsid w:val="0076732C"/>
    <w:rsid w:val="00767EB3"/>
    <w:rsid w:val="007701FD"/>
    <w:rsid w:val="007736C7"/>
    <w:rsid w:val="00775148"/>
    <w:rsid w:val="007839FF"/>
    <w:rsid w:val="007840AD"/>
    <w:rsid w:val="00793BA1"/>
    <w:rsid w:val="00795076"/>
    <w:rsid w:val="007A0D38"/>
    <w:rsid w:val="007B0D82"/>
    <w:rsid w:val="007C1C87"/>
    <w:rsid w:val="007D550B"/>
    <w:rsid w:val="007D6054"/>
    <w:rsid w:val="007E06F2"/>
    <w:rsid w:val="007F1388"/>
    <w:rsid w:val="00805B57"/>
    <w:rsid w:val="00814A81"/>
    <w:rsid w:val="00825777"/>
    <w:rsid w:val="00841CC0"/>
    <w:rsid w:val="0086703C"/>
    <w:rsid w:val="00874ADA"/>
    <w:rsid w:val="008A7C23"/>
    <w:rsid w:val="008B446C"/>
    <w:rsid w:val="008B4DCD"/>
    <w:rsid w:val="008C44E4"/>
    <w:rsid w:val="008C7BB1"/>
    <w:rsid w:val="008D3608"/>
    <w:rsid w:val="008D60CB"/>
    <w:rsid w:val="008E4915"/>
    <w:rsid w:val="00901E09"/>
    <w:rsid w:val="00904A7D"/>
    <w:rsid w:val="00910892"/>
    <w:rsid w:val="00910E1B"/>
    <w:rsid w:val="009113D1"/>
    <w:rsid w:val="009135CA"/>
    <w:rsid w:val="00921A29"/>
    <w:rsid w:val="009231A6"/>
    <w:rsid w:val="00924750"/>
    <w:rsid w:val="00946A71"/>
    <w:rsid w:val="00947594"/>
    <w:rsid w:val="009672D4"/>
    <w:rsid w:val="0097124A"/>
    <w:rsid w:val="0097294D"/>
    <w:rsid w:val="009733F9"/>
    <w:rsid w:val="009807F6"/>
    <w:rsid w:val="00984C9B"/>
    <w:rsid w:val="009B173A"/>
    <w:rsid w:val="009D1C18"/>
    <w:rsid w:val="009E0A4D"/>
    <w:rsid w:val="00A075C9"/>
    <w:rsid w:val="00A14A5F"/>
    <w:rsid w:val="00A27E02"/>
    <w:rsid w:val="00A3173A"/>
    <w:rsid w:val="00A410DF"/>
    <w:rsid w:val="00A43F81"/>
    <w:rsid w:val="00A47780"/>
    <w:rsid w:val="00A74C51"/>
    <w:rsid w:val="00A83B3E"/>
    <w:rsid w:val="00A93741"/>
    <w:rsid w:val="00A948B5"/>
    <w:rsid w:val="00A978CE"/>
    <w:rsid w:val="00AB192A"/>
    <w:rsid w:val="00AB4776"/>
    <w:rsid w:val="00AD03ED"/>
    <w:rsid w:val="00AD7BA4"/>
    <w:rsid w:val="00AF223B"/>
    <w:rsid w:val="00B00A90"/>
    <w:rsid w:val="00B105F1"/>
    <w:rsid w:val="00B36934"/>
    <w:rsid w:val="00B62609"/>
    <w:rsid w:val="00B63A21"/>
    <w:rsid w:val="00B969BB"/>
    <w:rsid w:val="00BC3701"/>
    <w:rsid w:val="00BD46F3"/>
    <w:rsid w:val="00BE781C"/>
    <w:rsid w:val="00BF4729"/>
    <w:rsid w:val="00C20196"/>
    <w:rsid w:val="00C279DA"/>
    <w:rsid w:val="00C370D5"/>
    <w:rsid w:val="00C41B2A"/>
    <w:rsid w:val="00C63538"/>
    <w:rsid w:val="00C67FCA"/>
    <w:rsid w:val="00C8700C"/>
    <w:rsid w:val="00C919A0"/>
    <w:rsid w:val="00CA366E"/>
    <w:rsid w:val="00CB3C1A"/>
    <w:rsid w:val="00CD3FB1"/>
    <w:rsid w:val="00CD5751"/>
    <w:rsid w:val="00CE0E99"/>
    <w:rsid w:val="00CF16F9"/>
    <w:rsid w:val="00CF2B3C"/>
    <w:rsid w:val="00D06DFE"/>
    <w:rsid w:val="00D17702"/>
    <w:rsid w:val="00D20C9B"/>
    <w:rsid w:val="00D24054"/>
    <w:rsid w:val="00D37DC0"/>
    <w:rsid w:val="00D404CF"/>
    <w:rsid w:val="00D647F2"/>
    <w:rsid w:val="00D654DF"/>
    <w:rsid w:val="00D733E1"/>
    <w:rsid w:val="00D77FAD"/>
    <w:rsid w:val="00D91EA2"/>
    <w:rsid w:val="00DA0935"/>
    <w:rsid w:val="00DB01A3"/>
    <w:rsid w:val="00DC2D52"/>
    <w:rsid w:val="00DD43C0"/>
    <w:rsid w:val="00DD4D45"/>
    <w:rsid w:val="00DE7D2D"/>
    <w:rsid w:val="00DF0F87"/>
    <w:rsid w:val="00E225D6"/>
    <w:rsid w:val="00E3234F"/>
    <w:rsid w:val="00E4194B"/>
    <w:rsid w:val="00E43ED1"/>
    <w:rsid w:val="00E63505"/>
    <w:rsid w:val="00E6594B"/>
    <w:rsid w:val="00E67553"/>
    <w:rsid w:val="00E72B2A"/>
    <w:rsid w:val="00E73116"/>
    <w:rsid w:val="00E7632E"/>
    <w:rsid w:val="00E779CA"/>
    <w:rsid w:val="00E833BB"/>
    <w:rsid w:val="00E83DFF"/>
    <w:rsid w:val="00E91CDF"/>
    <w:rsid w:val="00EA099A"/>
    <w:rsid w:val="00EA12CC"/>
    <w:rsid w:val="00EB0A87"/>
    <w:rsid w:val="00EB2717"/>
    <w:rsid w:val="00EC2A85"/>
    <w:rsid w:val="00EC3F52"/>
    <w:rsid w:val="00ED59AE"/>
    <w:rsid w:val="00EF0037"/>
    <w:rsid w:val="00F032B3"/>
    <w:rsid w:val="00F05D80"/>
    <w:rsid w:val="00F202CA"/>
    <w:rsid w:val="00F524D8"/>
    <w:rsid w:val="00F538D6"/>
    <w:rsid w:val="00F55842"/>
    <w:rsid w:val="00F611B4"/>
    <w:rsid w:val="00F94D1E"/>
    <w:rsid w:val="00FA0991"/>
    <w:rsid w:val="00FA2542"/>
    <w:rsid w:val="00FB2493"/>
    <w:rsid w:val="00FC473A"/>
    <w:rsid w:val="00FF5440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64"/>
  </w:style>
  <w:style w:type="paragraph" w:styleId="Footer">
    <w:name w:val="footer"/>
    <w:basedOn w:val="Normal"/>
    <w:link w:val="Footer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64"/>
  </w:style>
  <w:style w:type="character" w:styleId="CommentReference">
    <w:name w:val="annotation reference"/>
    <w:basedOn w:val="DefaultParagraphFont"/>
    <w:uiPriority w:val="99"/>
    <w:semiHidden/>
    <w:unhideWhenUsed/>
    <w:rsid w:val="003F2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C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C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Uğur Menderes</cp:lastModifiedBy>
  <cp:revision>233</cp:revision>
  <dcterms:created xsi:type="dcterms:W3CDTF">2021-03-18T21:31:00Z</dcterms:created>
  <dcterms:modified xsi:type="dcterms:W3CDTF">2021-03-22T15:59:00Z</dcterms:modified>
</cp:coreProperties>
</file>