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25652" w14:textId="0DB8F68A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0F59DB">
        <w:rPr>
          <w:b/>
        </w:rPr>
        <w:t xml:space="preserve"> 03170000079</w:t>
      </w:r>
    </w:p>
    <w:p w14:paraId="7326A53C" w14:textId="3404DBB6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0F59DB">
        <w:rPr>
          <w:b/>
        </w:rPr>
        <w:t xml:space="preserve"> Alper Doğan Serin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r w:rsidRPr="00D06DFE">
        <w:rPr>
          <w:b/>
          <w:bCs/>
        </w:rPr>
        <w:t>Vital Değerleri</w:t>
      </w:r>
    </w:p>
    <w:p w14:paraId="2F76FCEF" w14:textId="7F034337" w:rsidR="0035047C" w:rsidRDefault="0035047C">
      <w:r>
        <w:t>Kan basıncı 110 / 70 mmHg</w:t>
      </w:r>
      <w:r w:rsidR="00D56F59">
        <w:t xml:space="preserve"> </w:t>
      </w:r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r>
              <w:t>Na</w:t>
            </w:r>
            <w:r w:rsidR="006C0CB1">
              <w:t xml:space="preserve">      </w:t>
            </w:r>
            <w:r>
              <w:t>138 mEq/L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r>
              <w:t>Ca</w:t>
            </w:r>
            <w:r w:rsidR="006C0CB1">
              <w:t xml:space="preserve">     </w:t>
            </w:r>
            <w:r>
              <w:t>9.6 mg/dL</w:t>
            </w:r>
          </w:p>
        </w:tc>
        <w:tc>
          <w:tcPr>
            <w:tcW w:w="2075" w:type="dxa"/>
          </w:tcPr>
          <w:p w14:paraId="49121EA5" w14:textId="2C0A1744" w:rsidR="0035047C" w:rsidRDefault="0035047C">
            <w:r>
              <w:t>Albumin</w:t>
            </w:r>
            <w:r w:rsidR="006C0CB1">
              <w:t xml:space="preserve"> 4 g/dL</w:t>
            </w:r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r>
              <w:t>K</w:t>
            </w:r>
            <w:r w:rsidR="006C0CB1">
              <w:t xml:space="preserve">         4</w:t>
            </w:r>
            <w:r>
              <w:t>.2 mEq/L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r>
              <w:t>Mg</w:t>
            </w:r>
            <w:r w:rsidR="006C0CB1">
              <w:t xml:space="preserve">    </w:t>
            </w:r>
            <w:r>
              <w:t>2.0 mEq/dL</w:t>
            </w:r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>TSH    9.8 mIU/L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r>
              <w:t>Cl</w:t>
            </w:r>
            <w:r w:rsidR="006C0CB1">
              <w:t xml:space="preserve">        </w:t>
            </w:r>
            <w:r>
              <w:t>98 mEq/L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r>
              <w:t>AST</w:t>
            </w:r>
            <w:r w:rsidR="006C0CB1">
              <w:t xml:space="preserve">   </w:t>
            </w:r>
            <w:r>
              <w:t>22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r>
              <w:t>Hgb    13.1 g/dL</w:t>
            </w:r>
          </w:p>
        </w:tc>
        <w:tc>
          <w:tcPr>
            <w:tcW w:w="2266" w:type="dxa"/>
          </w:tcPr>
          <w:p w14:paraId="77660CAB" w14:textId="1CDA8940" w:rsidR="0035047C" w:rsidRPr="006C0CB1" w:rsidRDefault="006C0CB1"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0.72 ng/mL</w:t>
            </w:r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r>
              <w:t>BUN</w:t>
            </w:r>
            <w:r w:rsidR="006C0CB1">
              <w:t xml:space="preserve">    </w:t>
            </w:r>
            <w:r>
              <w:t>8 mg/dL</w:t>
            </w:r>
          </w:p>
        </w:tc>
        <w:tc>
          <w:tcPr>
            <w:tcW w:w="2692" w:type="dxa"/>
          </w:tcPr>
          <w:p w14:paraId="547574C1" w14:textId="15274965" w:rsidR="0035047C" w:rsidRDefault="0035047C">
            <w:r>
              <w:t>ALT</w:t>
            </w:r>
            <w:r w:rsidR="006C0CB1">
              <w:t xml:space="preserve">    </w:t>
            </w:r>
            <w:r>
              <w:t>19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r>
              <w:t>Hct     39.2%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mg/dL</w:t>
            </w:r>
          </w:p>
        </w:tc>
        <w:tc>
          <w:tcPr>
            <w:tcW w:w="2692" w:type="dxa"/>
          </w:tcPr>
          <w:p w14:paraId="06C2B14A" w14:textId="26D73B23" w:rsidR="0035047C" w:rsidRDefault="0035047C">
            <w:r>
              <w:t>Alkalen fos.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>T. Bilirubin</w:t>
            </w:r>
            <w:r w:rsidR="006C0CB1">
              <w:t xml:space="preserve">    </w:t>
            </w:r>
            <w:r>
              <w:t>0.4 mg/dL</w:t>
            </w:r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LDL    142 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r>
              <w:t>HDL    4</w:t>
            </w:r>
            <w:r w:rsidR="00946A71">
              <w:t>6</w:t>
            </w:r>
            <w:r>
              <w:t xml:space="preserve"> mg/dL</w:t>
            </w:r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r>
              <w:t>TG      125 mg/dL</w:t>
            </w:r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r>
        <w:t>Euth</w:t>
      </w:r>
      <w:r w:rsidR="003F2C46">
        <w:t>y</w:t>
      </w:r>
      <w:r>
        <w:t>rox Tablet 50 mcg P: 1x1</w:t>
      </w:r>
    </w:p>
    <w:p w14:paraId="0DD88316" w14:textId="0796026E" w:rsidR="00A27E02" w:rsidRDefault="00A27E02">
      <w:r>
        <w:t xml:space="preserve">Tamol Tablet P.R.N. </w:t>
      </w:r>
    </w:p>
    <w:p w14:paraId="20E7F115" w14:textId="023F0953" w:rsidR="0040701C" w:rsidRDefault="0040701C">
      <w:r>
        <w:t>Oroferon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>, evet hatırlıyorum. İ</w:t>
            </w:r>
            <w:r w:rsidR="004F38B0">
              <w:t xml:space="preserve">nfertilite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>Hayır, endometriyozis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Spermiyogram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>Bahsetmek istediğiniz başka bir şikayetiniz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>Annemde tip-2 diyabet ve hipertansiyon var.  Benden 4 yaş büyük ablamda da Haşimato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>Evet, doktor Euth</w:t>
            </w:r>
            <w:r w:rsidR="003F2C46">
              <w:t>y</w:t>
            </w:r>
            <w:r>
              <w:t>rox’u tiroid için yazdı. Haftada 1-2 kere başım ağrıdığında Tamol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>Evet aslında var. Çocuk sahibi olmaya hazırlanmak için kalsiyum takviyesi de olsun diye Solgar’ın Calcium Magnesium Plus Boron Tablet</w:t>
            </w:r>
            <w:r w:rsidR="003F2C46">
              <w:t>’</w:t>
            </w:r>
            <w:r>
              <w:t>ini kullanmaya başladım. Az önce dediğim gibi kabızlık şikayetim için youtube reklamlarında Dulcosoft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3"/>
        <w:gridCol w:w="1784"/>
        <w:gridCol w:w="1863"/>
        <w:gridCol w:w="1891"/>
        <w:gridCol w:w="1741"/>
      </w:tblGrid>
      <w:tr w:rsidR="00C8293C" w:rsidRPr="00F2664D" w14:paraId="3DFD3A10" w14:textId="77777777" w:rsidTr="00BE6035">
        <w:tc>
          <w:tcPr>
            <w:tcW w:w="1786" w:type="dxa"/>
          </w:tcPr>
          <w:p w14:paraId="33DDE393" w14:textId="69BFDA30" w:rsidR="00F611B4" w:rsidRPr="00F2664D" w:rsidRDefault="00D37DC0" w:rsidP="00D7468D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828" w:type="dxa"/>
          </w:tcPr>
          <w:p w14:paraId="6270504C" w14:textId="19C811EE" w:rsidR="00F611B4" w:rsidRPr="00F2664D" w:rsidRDefault="003F2C46" w:rsidP="00D7468D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872" w:type="dxa"/>
          </w:tcPr>
          <w:p w14:paraId="09C561E8" w14:textId="77777777" w:rsidR="00F611B4" w:rsidRPr="00F2664D" w:rsidRDefault="00F611B4" w:rsidP="00D7468D">
            <w:pPr>
              <w:spacing w:after="0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D7468D">
            <w:pPr>
              <w:spacing w:after="0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değerlendirme</w:t>
            </w:r>
          </w:p>
        </w:tc>
        <w:tc>
          <w:tcPr>
            <w:tcW w:w="1813" w:type="dxa"/>
          </w:tcPr>
          <w:p w14:paraId="4CD02F51" w14:textId="2B649760" w:rsidR="00F611B4" w:rsidRPr="00F2664D" w:rsidRDefault="00F611B4" w:rsidP="00D7468D">
            <w:pPr>
              <w:spacing w:after="0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763" w:type="dxa"/>
          </w:tcPr>
          <w:p w14:paraId="69B41E59" w14:textId="4D101564" w:rsidR="00F611B4" w:rsidRPr="00F2664D" w:rsidRDefault="00F611B4" w:rsidP="00D7468D">
            <w:pPr>
              <w:spacing w:after="0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C8293C" w:rsidRPr="00F2664D" w14:paraId="3C3D7C9A" w14:textId="77777777" w:rsidTr="00BE6035">
        <w:trPr>
          <w:trHeight w:val="491"/>
        </w:trPr>
        <w:tc>
          <w:tcPr>
            <w:tcW w:w="1786" w:type="dxa"/>
          </w:tcPr>
          <w:p w14:paraId="328CF8F4" w14:textId="2BE350C3" w:rsidR="00F611B4" w:rsidRDefault="00F611B4" w:rsidP="00D7468D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0C1A82">
              <w:rPr>
                <w:rFonts w:cstheme="minorHAnsi"/>
              </w:rPr>
              <w:t>Var olan endikasyon için gerekli farmakoterapinin karşılanması</w:t>
            </w:r>
          </w:p>
          <w:p w14:paraId="36A949B6" w14:textId="783AF26A" w:rsidR="00DB5D7D" w:rsidRPr="00F2664D" w:rsidRDefault="00DB5D7D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Güncel Problem</w:t>
            </w:r>
          </w:p>
        </w:tc>
        <w:tc>
          <w:tcPr>
            <w:tcW w:w="1828" w:type="dxa"/>
          </w:tcPr>
          <w:p w14:paraId="177D930D" w14:textId="73AAE4B8" w:rsidR="00F611B4" w:rsidRPr="00F2664D" w:rsidRDefault="00DB5D7D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Hipotroidi semptomlarının kontrol altına alınması ve </w:t>
            </w:r>
            <w:r w:rsidR="00D56F59">
              <w:rPr>
                <w:rFonts w:cstheme="minorHAnsi"/>
              </w:rPr>
              <w:t>TSH değerinin 0,5-2,5 mIU/L aralığına düşürülmesi</w:t>
            </w:r>
          </w:p>
        </w:tc>
        <w:tc>
          <w:tcPr>
            <w:tcW w:w="1872" w:type="dxa"/>
          </w:tcPr>
          <w:p w14:paraId="2B809984" w14:textId="109CD059" w:rsidR="00D56F59" w:rsidRDefault="00D56F59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laboratuvar değerleri ve şikayetleri incelendiğinde hipotroidi olduğu anlaşılmaktadır.</w:t>
            </w:r>
          </w:p>
          <w:p w14:paraId="6AF19F80" w14:textId="45C6CD95" w:rsidR="00D56F59" w:rsidRDefault="00D56F59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Hipotroidi kontrol altına almak için uygun</w:t>
            </w:r>
            <w:r w:rsidR="00DB5D7D">
              <w:rPr>
                <w:rFonts w:cstheme="minorHAnsi"/>
              </w:rPr>
              <w:t xml:space="preserve"> ilaç ve dozda tedavi düzenlenmelidir.</w:t>
            </w:r>
          </w:p>
          <w:p w14:paraId="477F1B96" w14:textId="2E446328" w:rsidR="00D56F59" w:rsidRPr="00F2664D" w:rsidRDefault="00D56F59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Ayrıca çocuk sahibi olmak isteyen kadınlarda TSH değeri 2,5 mIU/L ‘nin altında olmalıdır.</w:t>
            </w:r>
          </w:p>
        </w:tc>
        <w:tc>
          <w:tcPr>
            <w:tcW w:w="1813" w:type="dxa"/>
          </w:tcPr>
          <w:p w14:paraId="125EF44E" w14:textId="77777777" w:rsidR="00F611B4" w:rsidRDefault="00DB5D7D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Doktorun Euthyrox 50mcg ile düzenlediği tedavi rejimi için hasta bilgilendirilmelidir.</w:t>
            </w:r>
          </w:p>
          <w:p w14:paraId="4918E0B9" w14:textId="0C83049D" w:rsidR="00DB5D7D" w:rsidRDefault="00DB5D7D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Hasta ilacı sabahları kahvaltıdan yarım saat önce kullanmalıdır.</w:t>
            </w:r>
          </w:p>
          <w:p w14:paraId="1954ACDE" w14:textId="794258EA" w:rsidR="000C1A82" w:rsidRDefault="000C1A82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Hasta başladığı marka levotiroksin ilacıyla tedaviye devam etmelidir.</w:t>
            </w:r>
          </w:p>
          <w:p w14:paraId="7252165E" w14:textId="237B4EB0" w:rsidR="008B2F5D" w:rsidRPr="00F2664D" w:rsidRDefault="008B2F5D" w:rsidP="00D7468D">
            <w:pPr>
              <w:rPr>
                <w:rFonts w:cstheme="minorHAnsi"/>
              </w:rPr>
            </w:pPr>
          </w:p>
        </w:tc>
        <w:tc>
          <w:tcPr>
            <w:tcW w:w="1763" w:type="dxa"/>
          </w:tcPr>
          <w:p w14:paraId="52DBC872" w14:textId="77777777" w:rsidR="00F611B4" w:rsidRDefault="000C1A82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4-6 hafta aralıklarla TSH düzeyi takip edilmelidir.</w:t>
            </w:r>
          </w:p>
          <w:p w14:paraId="42007BD0" w14:textId="77777777" w:rsidR="000C1A82" w:rsidRDefault="000C1A82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TSH düzeyi normal düzeye geldiğinde senede bir kez TSH düzeyi ölçülmelidir.</w:t>
            </w:r>
          </w:p>
          <w:p w14:paraId="61E0EDBC" w14:textId="21456294" w:rsidR="000C1A82" w:rsidRDefault="000C1A82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Gebelik döneminde TSH hedefi ayrıca belirlenmelidir.</w:t>
            </w:r>
          </w:p>
          <w:p w14:paraId="7914FC84" w14:textId="77777777" w:rsidR="000C1A82" w:rsidRDefault="000C1A82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Gebelik sırasında TSH düzeyi ayda bir kez ölçülmeli ve takip edilmelidir.</w:t>
            </w:r>
          </w:p>
          <w:p w14:paraId="58879E51" w14:textId="77777777" w:rsidR="000C1A82" w:rsidRDefault="000C1A82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Hasta ilacı uygun zamanda ve doğru bir şekilde kullanıyor mu?</w:t>
            </w:r>
          </w:p>
          <w:p w14:paraId="3234C239" w14:textId="77777777" w:rsidR="000C1A82" w:rsidRDefault="000C1A82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İlaca bağlı herhangi bir şikayeti var mı?</w:t>
            </w:r>
          </w:p>
          <w:p w14:paraId="5230FBEC" w14:textId="0A9C88B2" w:rsidR="000C1A82" w:rsidRPr="00F2664D" w:rsidRDefault="000C1A82" w:rsidP="00D7468D">
            <w:pPr>
              <w:rPr>
                <w:rFonts w:cstheme="minorHAnsi"/>
              </w:rPr>
            </w:pPr>
          </w:p>
        </w:tc>
      </w:tr>
      <w:tr w:rsidR="00C8293C" w:rsidRPr="00F2664D" w14:paraId="3CCFA250" w14:textId="77777777" w:rsidTr="00BE6035">
        <w:trPr>
          <w:trHeight w:val="557"/>
        </w:trPr>
        <w:tc>
          <w:tcPr>
            <w:tcW w:w="1786" w:type="dxa"/>
          </w:tcPr>
          <w:p w14:paraId="19A48EE6" w14:textId="77777777" w:rsidR="00F611B4" w:rsidRDefault="00F611B4" w:rsidP="00D7468D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871DA2">
              <w:rPr>
                <w:rFonts w:cstheme="minorHAnsi"/>
              </w:rPr>
              <w:t>Gereksiz ilaç kullanımı</w:t>
            </w:r>
          </w:p>
          <w:p w14:paraId="1DE2010E" w14:textId="510C6FCD" w:rsidR="00871DA2" w:rsidRPr="00F2664D" w:rsidRDefault="00871DA2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Güncel Problem</w:t>
            </w:r>
          </w:p>
        </w:tc>
        <w:tc>
          <w:tcPr>
            <w:tcW w:w="1828" w:type="dxa"/>
          </w:tcPr>
          <w:p w14:paraId="024F3927" w14:textId="3A191918" w:rsidR="00F611B4" w:rsidRPr="00F2664D" w:rsidRDefault="00871DA2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Hastada endikasyonu olmayan ilaç kullanımı varsa bunu önlemek</w:t>
            </w:r>
          </w:p>
        </w:tc>
        <w:tc>
          <w:tcPr>
            <w:tcW w:w="1872" w:type="dxa"/>
          </w:tcPr>
          <w:p w14:paraId="34503016" w14:textId="74D9A8FE" w:rsidR="00871DA2" w:rsidRPr="00F2664D" w:rsidRDefault="00871DA2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 lise çağlarındayken demir değerleri düşük olduğu için Oroferon depo kaplı tablet kullanmaya başlamıştır ve uzun yıllardır bu ilacı kullanmaya devam etmektedir. Hastanın tıbbi </w:t>
            </w:r>
            <w:r>
              <w:rPr>
                <w:rFonts w:cstheme="minorHAnsi"/>
              </w:rPr>
              <w:lastRenderedPageBreak/>
              <w:t>öyküsünde demir eksikliğine bağlı bir endikasyon görülmemektedir.</w:t>
            </w:r>
          </w:p>
        </w:tc>
        <w:tc>
          <w:tcPr>
            <w:tcW w:w="1813" w:type="dxa"/>
          </w:tcPr>
          <w:p w14:paraId="0F9B297D" w14:textId="77777777" w:rsidR="00F611B4" w:rsidRDefault="00871DA2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Hasta hekime yönlendirilerek </w:t>
            </w:r>
            <w:r w:rsidR="001347C4">
              <w:rPr>
                <w:rFonts w:cstheme="minorHAnsi"/>
              </w:rPr>
              <w:t>demir düzeyinin ölçülmesi sağlanmalıdır.</w:t>
            </w:r>
          </w:p>
          <w:p w14:paraId="0616C4F4" w14:textId="77777777" w:rsidR="001347C4" w:rsidRDefault="001347C4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Eğer demir düzeyi normalin altındaysa bunun sebebi tespit edilmeli ve  hekim tarafından ona göre bir tedavi </w:t>
            </w:r>
            <w:r>
              <w:rPr>
                <w:rFonts w:cstheme="minorHAnsi"/>
              </w:rPr>
              <w:lastRenderedPageBreak/>
              <w:t>rejimi düzenlenmelidir.</w:t>
            </w:r>
          </w:p>
          <w:p w14:paraId="2BCC400C" w14:textId="77777777" w:rsidR="001347C4" w:rsidRDefault="001347C4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Demir düzeyi normalse ilacı kullanmasına gerek yoktur.</w:t>
            </w:r>
          </w:p>
          <w:p w14:paraId="03518833" w14:textId="25A6105B" w:rsidR="001347C4" w:rsidRPr="00F2664D" w:rsidRDefault="001347C4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Hastaya bel</w:t>
            </w:r>
            <w:r w:rsidR="003D5EA5">
              <w:rPr>
                <w:rFonts w:cstheme="minorHAnsi"/>
              </w:rPr>
              <w:t>ir</w:t>
            </w:r>
            <w:r>
              <w:rPr>
                <w:rFonts w:cstheme="minorHAnsi"/>
              </w:rPr>
              <w:t>li aralıklarla demir düzeyini kontrol ettirmesi ve gereksiz ilaç kullanmaması tavsiye edilmelidir.</w:t>
            </w:r>
          </w:p>
        </w:tc>
        <w:tc>
          <w:tcPr>
            <w:tcW w:w="1763" w:type="dxa"/>
          </w:tcPr>
          <w:p w14:paraId="4F161F84" w14:textId="77777777" w:rsidR="00F611B4" w:rsidRDefault="001347C4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Hastanın hekime giderek demir düzeylerini ölçtürüp ölçtürmediği sorgulanmalıdır.</w:t>
            </w:r>
          </w:p>
          <w:p w14:paraId="016CE0B5" w14:textId="43BAB2C2" w:rsidR="001347C4" w:rsidRDefault="001347C4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Ölçtürdüyse ve demir düzeyi normalin altındaysa </w:t>
            </w:r>
            <w:r w:rsidR="003D5EA5">
              <w:rPr>
                <w:rFonts w:cstheme="minorHAnsi"/>
              </w:rPr>
              <w:t xml:space="preserve">hasta, </w:t>
            </w:r>
            <w:r>
              <w:rPr>
                <w:rFonts w:cstheme="minorHAnsi"/>
              </w:rPr>
              <w:t xml:space="preserve">hekimin düzenlediği tedavi rejimine </w:t>
            </w:r>
            <w:r>
              <w:rPr>
                <w:rFonts w:cstheme="minorHAnsi"/>
              </w:rPr>
              <w:lastRenderedPageBreak/>
              <w:t>uyum sağl</w:t>
            </w:r>
            <w:r w:rsidR="003D5EA5">
              <w:rPr>
                <w:rFonts w:cstheme="minorHAnsi"/>
              </w:rPr>
              <w:t>ayabildi mi?</w:t>
            </w:r>
          </w:p>
          <w:p w14:paraId="6C689617" w14:textId="381CEE66" w:rsidR="003D5EA5" w:rsidRDefault="003D5EA5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Doktorun reçete ettiği ilaca bağlı herhangi bir yan etki şikayeti var mı?</w:t>
            </w:r>
          </w:p>
          <w:p w14:paraId="135D412E" w14:textId="48F29C1E" w:rsidR="003D5EA5" w:rsidRDefault="003D5EA5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Normal değerlerdeyse ilaç kullanımı kesildi mi?</w:t>
            </w:r>
          </w:p>
          <w:p w14:paraId="1E5C0C4F" w14:textId="3E32BF57" w:rsidR="003D5EA5" w:rsidRDefault="003D5EA5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demir düzeyleri belirli aralıklarla değerlendiril</w:t>
            </w:r>
            <w:r w:rsidR="00111CE8">
              <w:rPr>
                <w:rFonts w:cstheme="minorHAnsi"/>
              </w:rPr>
              <w:t>-</w:t>
            </w:r>
            <w:bookmarkStart w:id="0" w:name="_GoBack"/>
            <w:bookmarkEnd w:id="0"/>
            <w:r>
              <w:rPr>
                <w:rFonts w:cstheme="minorHAnsi"/>
              </w:rPr>
              <w:t>melidi</w:t>
            </w:r>
            <w:r w:rsidR="00111CE8">
              <w:rPr>
                <w:rFonts w:cstheme="minorHAnsi"/>
              </w:rPr>
              <w:t>r</w:t>
            </w:r>
            <w:r>
              <w:rPr>
                <w:rFonts w:cstheme="minorHAnsi"/>
              </w:rPr>
              <w:t>.</w:t>
            </w:r>
          </w:p>
          <w:p w14:paraId="69E2CC97" w14:textId="0CDCF2DA" w:rsidR="003D5EA5" w:rsidRPr="00F2664D" w:rsidRDefault="003D5EA5" w:rsidP="00D7468D">
            <w:pPr>
              <w:rPr>
                <w:rFonts w:cstheme="minorHAnsi"/>
              </w:rPr>
            </w:pPr>
          </w:p>
        </w:tc>
      </w:tr>
      <w:tr w:rsidR="00C8293C" w:rsidRPr="00F2664D" w14:paraId="4138D3B8" w14:textId="77777777" w:rsidTr="00BE6035">
        <w:trPr>
          <w:trHeight w:val="565"/>
        </w:trPr>
        <w:tc>
          <w:tcPr>
            <w:tcW w:w="1786" w:type="dxa"/>
          </w:tcPr>
          <w:p w14:paraId="56B8D563" w14:textId="77777777" w:rsidR="00F611B4" w:rsidRDefault="00F611B4" w:rsidP="00D7468D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lastRenderedPageBreak/>
              <w:t>3.</w:t>
            </w:r>
            <w:r w:rsidR="003D5EA5">
              <w:rPr>
                <w:rFonts w:cstheme="minorHAnsi"/>
              </w:rPr>
              <w:t xml:space="preserve"> İlaç-ilaç etkileşimi</w:t>
            </w:r>
          </w:p>
          <w:p w14:paraId="04929F4C" w14:textId="54CD80DF" w:rsidR="003D5EA5" w:rsidRPr="00F2664D" w:rsidRDefault="003D5EA5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Potansiyel Problem</w:t>
            </w:r>
          </w:p>
        </w:tc>
        <w:tc>
          <w:tcPr>
            <w:tcW w:w="1828" w:type="dxa"/>
          </w:tcPr>
          <w:p w14:paraId="07F5DDFC" w14:textId="0745088A" w:rsidR="00F611B4" w:rsidRPr="00F2664D" w:rsidRDefault="003D5EA5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kullandığı ilaçların birbiri ile etkileşimine bağlı oluşabilecek olası sıkıntıların önlenmesi</w:t>
            </w:r>
          </w:p>
        </w:tc>
        <w:tc>
          <w:tcPr>
            <w:tcW w:w="1872" w:type="dxa"/>
          </w:tcPr>
          <w:p w14:paraId="50C055A4" w14:textId="77777777" w:rsidR="00F611B4" w:rsidRDefault="003D5EA5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Oroferon depo kaplı tablet ve Calcium Magnesium Plus Boron tablet, Euthyrox</w:t>
            </w:r>
            <w:r w:rsidR="008B1097">
              <w:rPr>
                <w:rFonts w:cstheme="minorHAnsi"/>
              </w:rPr>
              <w:t xml:space="preserve"> tablet ile etkileşime girerek Levotiroksinin absorbsiyonunu azaltabilmektedir.</w:t>
            </w:r>
          </w:p>
          <w:p w14:paraId="7E51C8F0" w14:textId="4EC7D897" w:rsidR="008B1097" w:rsidRPr="00F2664D" w:rsidRDefault="008B1097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İlaç alım zamanları düzenlenerek bu etkileşimlerin önüne geçilebilir.</w:t>
            </w:r>
          </w:p>
        </w:tc>
        <w:tc>
          <w:tcPr>
            <w:tcW w:w="1813" w:type="dxa"/>
          </w:tcPr>
          <w:p w14:paraId="67BF533F" w14:textId="77777777" w:rsidR="00F611B4" w:rsidRDefault="008B1097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Hekim hastanın Oroferon depo kaplı tablet kullanımına devam edeceğini belirtmişse demir ilacı levotiroksinden 4 saat sonra alınmalıdır.</w:t>
            </w:r>
          </w:p>
          <w:p w14:paraId="519A6DAC" w14:textId="77777777" w:rsidR="008B1097" w:rsidRDefault="008B1097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Ayrıca Calcium Magnesium Plus Boron tablet de akşam tok karnına alınmalıdır.</w:t>
            </w:r>
          </w:p>
          <w:p w14:paraId="22968877" w14:textId="69803ABC" w:rsidR="008B1097" w:rsidRPr="00F2664D" w:rsidRDefault="008B1097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Hasta olası ilaç etkileşimleri konusunda bilgilendirilmelidir.</w:t>
            </w:r>
          </w:p>
        </w:tc>
        <w:tc>
          <w:tcPr>
            <w:tcW w:w="1763" w:type="dxa"/>
          </w:tcPr>
          <w:p w14:paraId="19184F0E" w14:textId="77777777" w:rsidR="00F611B4" w:rsidRDefault="008B1097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ilaç alım zamanlarına ve doğru şekilde kullanımına uyup uymadığı sorgulanmalıdır.</w:t>
            </w:r>
          </w:p>
          <w:p w14:paraId="3BB49DAB" w14:textId="77777777" w:rsidR="008B1097" w:rsidRDefault="008B1097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İlaçları önerilen zamanlarda alması sağlanmalıdır.</w:t>
            </w:r>
          </w:p>
          <w:p w14:paraId="03FDF8A7" w14:textId="73B63E2D" w:rsidR="008B1097" w:rsidRPr="00F2664D" w:rsidRDefault="008B1097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İlaç etkileşimine bağlı herhangi bir şikayeti olup olmadığı takip edilmelidir.</w:t>
            </w:r>
          </w:p>
        </w:tc>
      </w:tr>
      <w:tr w:rsidR="00C8293C" w:rsidRPr="00F2664D" w14:paraId="770A6119" w14:textId="77777777" w:rsidTr="00BE6035">
        <w:trPr>
          <w:trHeight w:val="403"/>
        </w:trPr>
        <w:tc>
          <w:tcPr>
            <w:tcW w:w="1786" w:type="dxa"/>
          </w:tcPr>
          <w:p w14:paraId="3C1F0466" w14:textId="260EC792" w:rsidR="00F611B4" w:rsidRPr="00F2664D" w:rsidRDefault="00F611B4" w:rsidP="00D7468D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4.</w:t>
            </w:r>
            <w:r w:rsidR="008B1097">
              <w:rPr>
                <w:rFonts w:cstheme="minorHAnsi"/>
              </w:rPr>
              <w:t xml:space="preserve"> </w:t>
            </w:r>
            <w:r w:rsidR="00C8293C">
              <w:rPr>
                <w:rFonts w:cstheme="minorHAnsi"/>
              </w:rPr>
              <w:t xml:space="preserve"> Hasta eğitimi </w:t>
            </w:r>
            <w:r w:rsidR="00CE6D62">
              <w:rPr>
                <w:rFonts w:cstheme="minorHAnsi"/>
              </w:rPr>
              <w:t xml:space="preserve">Güncel problem </w:t>
            </w:r>
          </w:p>
        </w:tc>
        <w:tc>
          <w:tcPr>
            <w:tcW w:w="1828" w:type="dxa"/>
          </w:tcPr>
          <w:p w14:paraId="0CF88CA2" w14:textId="21EA05A1" w:rsidR="00F611B4" w:rsidRPr="00F2664D" w:rsidRDefault="00C8293C" w:rsidP="00D7468D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Hipotroide bağlı semptomların non-farmakolojik olarak azaltılması</w:t>
            </w:r>
          </w:p>
        </w:tc>
        <w:tc>
          <w:tcPr>
            <w:tcW w:w="1872" w:type="dxa"/>
          </w:tcPr>
          <w:p w14:paraId="758BEC36" w14:textId="2B4840E4" w:rsidR="00F611B4" w:rsidRDefault="00C8293C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Hipotroid hastalarında cilt kuruluğu gibi şikayetler gözlenebil</w:t>
            </w:r>
            <w:r w:rsidR="00D7468D">
              <w:rPr>
                <w:rFonts w:cstheme="minorHAnsi"/>
              </w:rPr>
              <w:t>-</w:t>
            </w:r>
            <w:r>
              <w:rPr>
                <w:rFonts w:cstheme="minorHAnsi"/>
              </w:rPr>
              <w:t>mektedir.</w:t>
            </w:r>
          </w:p>
          <w:p w14:paraId="301B8D6F" w14:textId="77777777" w:rsidR="00C8293C" w:rsidRDefault="00C8293C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Bazı nonfarmakolojik önerilerle bu sıkıntıların giderilmesine yardımcı olunabilir.</w:t>
            </w:r>
          </w:p>
          <w:p w14:paraId="3637D295" w14:textId="7BFC8C7E" w:rsidR="00D7468D" w:rsidRPr="00F2664D" w:rsidRDefault="00D7468D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Ayrıca hipotroidide sağlığın korunması için egzersiz yapılmalı ve beslenmeye dikkat edilmelidir.</w:t>
            </w:r>
          </w:p>
        </w:tc>
        <w:tc>
          <w:tcPr>
            <w:tcW w:w="1813" w:type="dxa"/>
          </w:tcPr>
          <w:p w14:paraId="6018C48B" w14:textId="1357BE5E" w:rsidR="00C8293C" w:rsidRDefault="00C8293C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Hastaya</w:t>
            </w:r>
            <w:r>
              <w:rPr>
                <w:rFonts w:cstheme="minorHAnsi"/>
              </w:rPr>
              <w:t xml:space="preserve"> tiroid değerleri normalize edilene kadar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alerjen olmayan nemlendirici kullanması, cilt </w:t>
            </w:r>
            <w:r>
              <w:rPr>
                <w:rFonts w:cstheme="minorHAnsi"/>
              </w:rPr>
              <w:lastRenderedPageBreak/>
              <w:t>kuruluğuna sebep olabilecek kozmetik ürünlerden kaçınması tavsiye edilmelidir.</w:t>
            </w:r>
          </w:p>
          <w:p w14:paraId="3C9D31C3" w14:textId="3E7CBED5" w:rsidR="00D7468D" w:rsidRDefault="00C8293C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Ayrıca hasta</w:t>
            </w:r>
            <w:r w:rsidR="00D7468D">
              <w:rPr>
                <w:rFonts w:cstheme="minorHAnsi"/>
              </w:rPr>
              <w:t>ya egzersiz ve beslenme önerilerinde bulunulmalıdır. Diyetisyene yönlendirilebilir.</w:t>
            </w:r>
          </w:p>
          <w:p w14:paraId="16966CA8" w14:textId="77777777" w:rsidR="00F611B4" w:rsidRPr="00F2664D" w:rsidRDefault="00F611B4" w:rsidP="00D7468D">
            <w:pPr>
              <w:ind w:left="82"/>
              <w:rPr>
                <w:rFonts w:cstheme="minorHAnsi"/>
              </w:rPr>
            </w:pPr>
          </w:p>
        </w:tc>
        <w:tc>
          <w:tcPr>
            <w:tcW w:w="1763" w:type="dxa"/>
          </w:tcPr>
          <w:p w14:paraId="054FA133" w14:textId="77777777" w:rsidR="00F611B4" w:rsidRDefault="00D7468D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Hastada cilt kuruluğu sıkıntısı devam ediyor mu?</w:t>
            </w:r>
          </w:p>
          <w:p w14:paraId="5555C827" w14:textId="77777777" w:rsidR="00D7468D" w:rsidRDefault="00D7468D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Hasta diyetisyene gitmiş mi?</w:t>
            </w:r>
          </w:p>
          <w:p w14:paraId="1A874148" w14:textId="77777777" w:rsidR="00D7468D" w:rsidRDefault="00D7468D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Egzersiz ve beslenme önerilerine uyuyor mu?</w:t>
            </w:r>
          </w:p>
          <w:p w14:paraId="772FB110" w14:textId="77777777" w:rsidR="00D7468D" w:rsidRDefault="00D7468D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Tiroid değerleri normalize edildikten sonra cilt kuruluğu gibi sıkıntılar hala devam ediyor mu?</w:t>
            </w:r>
          </w:p>
          <w:p w14:paraId="23D32A4C" w14:textId="404B7EB2" w:rsidR="00D7468D" w:rsidRPr="00F2664D" w:rsidRDefault="00D7468D" w:rsidP="00D7468D">
            <w:pPr>
              <w:rPr>
                <w:rFonts w:cstheme="minorHAnsi"/>
              </w:rPr>
            </w:pPr>
            <w:r>
              <w:rPr>
                <w:rFonts w:cstheme="minorHAnsi"/>
              </w:rPr>
              <w:t>Takip edilir ve cilt kuruluğu gibi semptomlar devam ediyorsa doktora yönlendirilir.</w:t>
            </w:r>
          </w:p>
        </w:tc>
      </w:tr>
    </w:tbl>
    <w:p w14:paraId="65FC6957" w14:textId="77777777" w:rsidR="000A1C5C" w:rsidRDefault="000A1C5C" w:rsidP="00D7468D"/>
    <w:p w14:paraId="3CBD99D0" w14:textId="77777777" w:rsidR="000A1C5C" w:rsidRDefault="000A1C5C"/>
    <w:sectPr w:rsidR="000A1C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3EA7D" w14:textId="77777777" w:rsidR="008A05C8" w:rsidRDefault="008A05C8" w:rsidP="00261364">
      <w:pPr>
        <w:spacing w:after="0" w:line="240" w:lineRule="auto"/>
      </w:pPr>
      <w:r>
        <w:separator/>
      </w:r>
    </w:p>
  </w:endnote>
  <w:endnote w:type="continuationSeparator" w:id="0">
    <w:p w14:paraId="4106A97C" w14:textId="77777777" w:rsidR="008A05C8" w:rsidRDefault="008A05C8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22A00" w14:textId="77777777" w:rsidR="008A05C8" w:rsidRDefault="008A05C8" w:rsidP="00261364">
      <w:pPr>
        <w:spacing w:after="0" w:line="240" w:lineRule="auto"/>
      </w:pPr>
      <w:r>
        <w:separator/>
      </w:r>
    </w:p>
  </w:footnote>
  <w:footnote w:type="continuationSeparator" w:id="0">
    <w:p w14:paraId="02CD3A26" w14:textId="77777777" w:rsidR="008A05C8" w:rsidRDefault="008A05C8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7C"/>
    <w:rsid w:val="0000024D"/>
    <w:rsid w:val="00052363"/>
    <w:rsid w:val="00080773"/>
    <w:rsid w:val="000A1C5C"/>
    <w:rsid w:val="000A392B"/>
    <w:rsid w:val="000C1A82"/>
    <w:rsid w:val="000F59DB"/>
    <w:rsid w:val="00111CE8"/>
    <w:rsid w:val="001347C4"/>
    <w:rsid w:val="00170222"/>
    <w:rsid w:val="00261364"/>
    <w:rsid w:val="0035047C"/>
    <w:rsid w:val="003D5EA5"/>
    <w:rsid w:val="003F2C46"/>
    <w:rsid w:val="0040701C"/>
    <w:rsid w:val="004C19F0"/>
    <w:rsid w:val="004F38B0"/>
    <w:rsid w:val="006C0CB1"/>
    <w:rsid w:val="0073331D"/>
    <w:rsid w:val="007D550B"/>
    <w:rsid w:val="007D6054"/>
    <w:rsid w:val="00825777"/>
    <w:rsid w:val="00871DA2"/>
    <w:rsid w:val="008A05C8"/>
    <w:rsid w:val="008B1097"/>
    <w:rsid w:val="008B2F5D"/>
    <w:rsid w:val="009113D1"/>
    <w:rsid w:val="00946A71"/>
    <w:rsid w:val="00A23982"/>
    <w:rsid w:val="00A27E02"/>
    <w:rsid w:val="00A978CE"/>
    <w:rsid w:val="00B00A90"/>
    <w:rsid w:val="00C8293C"/>
    <w:rsid w:val="00CE6D62"/>
    <w:rsid w:val="00D06DFE"/>
    <w:rsid w:val="00D37DC0"/>
    <w:rsid w:val="00D56F59"/>
    <w:rsid w:val="00D7468D"/>
    <w:rsid w:val="00DB5D7D"/>
    <w:rsid w:val="00DD43C0"/>
    <w:rsid w:val="00E72B2A"/>
    <w:rsid w:val="00E7632E"/>
    <w:rsid w:val="00F611B4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Alper Doğan Serin</cp:lastModifiedBy>
  <cp:revision>2</cp:revision>
  <dcterms:created xsi:type="dcterms:W3CDTF">2021-03-23T20:44:00Z</dcterms:created>
  <dcterms:modified xsi:type="dcterms:W3CDTF">2021-03-23T20:44:00Z</dcterms:modified>
</cp:coreProperties>
</file>