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D438B5" w:rsidRPr="00523880" w14:paraId="6241BBA2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6AB0A420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283" w:type="dxa"/>
          </w:tcPr>
          <w:p w14:paraId="15954C46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1B9BDB72" w14:textId="480C026B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 w:rsidRPr="00D438B5">
              <w:rPr>
                <w:rFonts w:ascii="Times New Roman" w:hAnsi="Times New Roman" w:cs="Times New Roman"/>
                <w:lang w:val="id-ID"/>
              </w:rPr>
              <w:t>KU.602 - A/              /2022</w:t>
            </w:r>
          </w:p>
        </w:tc>
        <w:tc>
          <w:tcPr>
            <w:tcW w:w="341" w:type="dxa"/>
          </w:tcPr>
          <w:p w14:paraId="453E58DD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03E3F5D3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5B5A4377" w14:textId="493BECC3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</w:rPr>
            </w:pPr>
            <w:r w:rsidRPr="00D438B5">
              <w:rPr>
                <w:rFonts w:ascii="Times New Roman" w:hAnsi="Times New Roman" w:cs="Times New Roman"/>
                <w:u w:val="single"/>
              </w:rPr>
              <w:t>28 September 2022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 xml:space="preserve"> </w:t>
            </w:r>
            <w:r w:rsidRPr="00523880">
              <w:rPr>
                <w:rFonts w:ascii="Times New Roman" w:hAnsi="Times New Roman" w:cs="Times New Roman"/>
                <w:u w:val="single"/>
              </w:rPr>
              <w:t>M</w:t>
            </w:r>
          </w:p>
          <w:p w14:paraId="30DB25B1" w14:textId="3C81CAA1" w:rsidR="00D438B5" w:rsidRPr="00523880" w:rsidRDefault="00D438B5" w:rsidP="00D438B5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E5F2C">
              <w:rPr>
                <w:rFonts w:ascii="Times New Roman" w:hAnsi="Times New Roman" w:cs="Times New Roman"/>
              </w:rPr>
              <w:t>02 Rabi' I 1444</w:t>
            </w:r>
            <w:r w:rsidRPr="00523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106096" w:rsidRPr="00523880" w14:paraId="6850744C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0EC828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2FD49F85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AF8871D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7B6416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49B401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199E488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79B40A5A" w14:textId="77777777" w:rsidTr="00091D70">
        <w:trPr>
          <w:jc w:val="center"/>
        </w:trPr>
        <w:tc>
          <w:tcPr>
            <w:tcW w:w="1086" w:type="dxa"/>
            <w:gridSpan w:val="2"/>
          </w:tcPr>
          <w:p w14:paraId="718A75FA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Perihal</w:t>
            </w:r>
          </w:p>
        </w:tc>
        <w:tc>
          <w:tcPr>
            <w:tcW w:w="283" w:type="dxa"/>
          </w:tcPr>
          <w:p w14:paraId="67DCE70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20974D36" w14:textId="77777777" w:rsidR="00106096" w:rsidRPr="00523880" w:rsidRDefault="00106096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Rekomendasi Teknis </w:t>
            </w:r>
            <w:r w:rsidR="00BC3378">
              <w:rPr>
                <w:rFonts w:ascii="Times New Roman" w:hAnsi="Times New Roman" w:cs="Times New Roman"/>
                <w:b/>
              </w:rPr>
              <w:t xml:space="preserve">Perpanjangan </w:t>
            </w:r>
            <w:r w:rsidR="00EF6603" w:rsidRPr="00523880">
              <w:rPr>
                <w:rFonts w:ascii="Times New Roman" w:hAnsi="Times New Roman" w:cs="Times New Roman"/>
                <w:b/>
              </w:rPr>
              <w:t xml:space="preserve">Izin </w:t>
            </w:r>
            <w:r w:rsidR="00415202" w:rsidRPr="00523880">
              <w:rPr>
                <w:rFonts w:ascii="Times New Roman" w:hAnsi="Times New Roman" w:cs="Times New Roman"/>
                <w:b/>
              </w:rPr>
              <w:t>Usaha Pertambangan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="004C4D05" w:rsidRPr="00523880">
              <w:rPr>
                <w:rFonts w:ascii="Times New Roman" w:hAnsi="Times New Roman" w:cs="Times New Roman"/>
                <w:b/>
              </w:rPr>
              <w:t xml:space="preserve">Komoditas </w:t>
            </w:r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 xml:space="preserve">Batuan </w:t>
            </w:r>
            <w:r w:rsidR="004C4D05" w:rsidRPr="00733386">
              <w:rPr>
                <w:rFonts w:ascii="Times New Roman" w:hAnsi="Times New Roman" w:cs="Times New Roman"/>
                <w:b/>
                <w:u w:val="single"/>
              </w:rPr>
              <w:t>Pasir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dan Batu</w:t>
            </w:r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 xml:space="preserve"> (Sirtu)</w:t>
            </w:r>
            <w:r w:rsidR="00F73BA0" w:rsidRPr="00523880">
              <w:rPr>
                <w:rFonts w:ascii="Times New Roman" w:hAnsi="Times New Roman" w:cs="Times New Roman"/>
                <w:b/>
                <w:u w:val="single"/>
              </w:rPr>
              <w:t>.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------------</w:t>
            </w:r>
          </w:p>
        </w:tc>
        <w:tc>
          <w:tcPr>
            <w:tcW w:w="341" w:type="dxa"/>
          </w:tcPr>
          <w:p w14:paraId="6779D267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4789A5B0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Yang Terhormat:</w:t>
            </w:r>
          </w:p>
          <w:p w14:paraId="06A63CD7" w14:textId="77777777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B95A07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3278A6CC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59A3BDC5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0AFE0C18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4F22AFB0" w14:textId="08A2C3F4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r w:rsidR="003F5EF9" w:rsidRPr="00523880">
        <w:rPr>
          <w:rFonts w:ascii="Times New Roman" w:hAnsi="Times New Roman" w:cs="Times New Roman"/>
        </w:rPr>
        <w:t xml:space="preserve">surat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r w:rsidR="00613221" w:rsidRPr="00523880">
        <w:rPr>
          <w:rFonts w:ascii="Times New Roman" w:hAnsi="Times New Roman" w:cs="Times New Roman"/>
        </w:rPr>
        <w:t>Saudara,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655355" w:rsidRPr="00655355">
        <w:rPr>
          <w:rFonts w:ascii="Times New Roman" w:hAnsi="Times New Roman" w:cs="Times New Roman"/>
          <w:lang w:val="id-ID"/>
        </w:rPr>
        <w:t>691/DPMPTSP/1472/2022</w:t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655355" w:rsidRPr="00655355">
        <w:rPr>
          <w:rFonts w:ascii="Times New Roman" w:hAnsi="Times New Roman" w:cs="Times New Roman"/>
          <w:lang w:val="id-ID"/>
        </w:rPr>
        <w:t>28 September 2022</w:t>
      </w:r>
      <w:r w:rsidR="00480FCE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</w:rPr>
        <w:t xml:space="preserve">perihal </w:t>
      </w:r>
      <w:r w:rsidR="00CE5F2C">
        <w:rPr>
          <w:rFonts w:ascii="Times New Roman" w:hAnsi="Times New Roman" w:cs="Times New Roman"/>
          <w:b/>
          <w:lang w:val="id-ID"/>
        </w:rPr>
        <w:t>Permohonan Rekomendasi Teknis Pengusahaan Sumber Daya Air</w:t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terima tanggal </w:t>
      </w:r>
      <w:r w:rsidR="00655355" w:rsidRPr="00655355">
        <w:rPr>
          <w:rFonts w:ascii="Times New Roman" w:hAnsi="Times New Roman" w:cs="Times New Roman"/>
        </w:rPr>
        <w:t>28 September 2022</w:t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r w:rsidR="003F5EF9" w:rsidRPr="00523880">
        <w:rPr>
          <w:rFonts w:ascii="Times New Roman" w:hAnsi="Times New Roman" w:cs="Times New Roman"/>
        </w:rPr>
        <w:t>ini</w:t>
      </w:r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00BACAE8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906E333" w14:textId="674A8AFF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Muhammad Nurifai</w:t>
      </w:r>
    </w:p>
    <w:p w14:paraId="3846E8DB" w14:textId="0E1AA542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/Jabatan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CEO PT. Mencari Cinta Sejati</w:t>
      </w:r>
    </w:p>
    <w:p w14:paraId="135FE9EC" w14:textId="05BB5E28" w:rsidR="00E12737" w:rsidRDefault="00453BEE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Australia</w:t>
      </w:r>
    </w:p>
    <w:p w14:paraId="0017D4F0" w14:textId="77777777" w:rsidR="00655355" w:rsidRPr="00523880" w:rsidRDefault="00655355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21F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7C2D12B9" w14:textId="1C4FD5BA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Batuan Pasir dan Batu (Sirtu)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Sungai Krueng Teunom</w:t>
      </w:r>
    </w:p>
    <w:p w14:paraId="68343FE3" w14:textId="72580273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 - Lambeuso</w:t>
      </w:r>
    </w:p>
    <w:p w14:paraId="3783CAE5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560B8E74" w14:textId="563023E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bookmarkStart w:id="0" w:name="_Hlk114947526"/>
      <w:r w:rsidR="003A2552" w:rsidRPr="003A2552">
        <w:rPr>
          <w:rFonts w:ascii="Times New Roman" w:hAnsi="Times New Roman" w:cs="Times New Roman"/>
          <w:sz w:val="24"/>
          <w:szCs w:val="24"/>
        </w:rPr>
        <w:t>Blang Baro</w:t>
      </w:r>
      <w:bookmarkEnd w:id="0"/>
    </w:p>
    <w:p w14:paraId="1464DB20" w14:textId="505C8E4C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</w:t>
      </w:r>
    </w:p>
    <w:p w14:paraId="7C370C13" w14:textId="075F20B8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 Jaya</w:t>
      </w:r>
    </w:p>
    <w:p w14:paraId="66D7309B" w14:textId="09567336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</w:t>
      </w:r>
    </w:p>
    <w:p w14:paraId="6870A650" w14:textId="06EBC772" w:rsidR="007074E2" w:rsidRPr="00C31800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</w:p>
    <w:p w14:paraId="1E4F2487" w14:textId="5D3906CA" w:rsidR="00C3180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529D" w14:textId="77777777" w:rsidR="00C31800" w:rsidRPr="0052388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44A93C81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2B82FADB" w14:textId="128078E4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Penambangan Batuan Pasir dan Batu (Sirtu)</w:t>
      </w:r>
    </w:p>
    <w:p w14:paraId="5ADE5CCD" w14:textId="2108F994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Menggunakan Alat Berat (Excavator)</w:t>
      </w:r>
    </w:p>
    <w:p w14:paraId="1F9B1BFC" w14:textId="4D152596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-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C613F7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1C8D6186" w14:textId="4BC975EE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.....  M3/Jam</w:t>
      </w:r>
    </w:p>
    <w:p w14:paraId="76E31663" w14:textId="63F07C3B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E5F2C">
        <w:rPr>
          <w:rFonts w:ascii="Times New Roman" w:hAnsi="Times New Roman" w:cs="Times New Roman"/>
          <w:sz w:val="24"/>
          <w:szCs w:val="24"/>
          <w:lang w:eastAsia="en-AU"/>
        </w:rPr>
        <w:t>...... Tahun</w:t>
      </w:r>
    </w:p>
    <w:p w14:paraId="00DEC376" w14:textId="77777777" w:rsidR="00531B8D" w:rsidRPr="00531B8D" w:rsidRDefault="00531B8D" w:rsidP="00531B8D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>Izin yang telah dimiliki</w:t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</w:p>
    <w:p w14:paraId="7CFD4421" w14:textId="77777777" w:rsidR="00B60826" w:rsidRDefault="00531B8D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a. Pemberi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>: Kepa</w:t>
      </w:r>
      <w:r w:rsidR="00B60826">
        <w:rPr>
          <w:rFonts w:ascii="Times New Roman" w:hAnsi="Times New Roman" w:cs="Times New Roman"/>
          <w:sz w:val="24"/>
          <w:szCs w:val="24"/>
          <w:lang w:val="en-US" w:eastAsia="en-AU"/>
        </w:rPr>
        <w:t>la Dinas Penanaman Modal dan</w:t>
      </w:r>
    </w:p>
    <w:p w14:paraId="1B2BA405" w14:textId="77777777" w:rsidR="00531B8D" w:rsidRPr="00E81D0B" w:rsidRDefault="00B60826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   </w:t>
      </w:r>
      <w:r w:rsidR="00531B8D">
        <w:rPr>
          <w:rFonts w:ascii="Times New Roman" w:hAnsi="Times New Roman" w:cs="Times New Roman"/>
          <w:sz w:val="24"/>
          <w:szCs w:val="24"/>
          <w:lang w:val="en-US" w:eastAsia="en-AU"/>
        </w:rPr>
        <w:t>Pelayanan Terpadu Satu Pintu Aceh</w:t>
      </w:r>
    </w:p>
    <w:p w14:paraId="744026C2" w14:textId="28736CAA" w:rsidR="00AA2F49" w:rsidRDefault="00531B8D" w:rsidP="00170420">
      <w:pPr>
        <w:pStyle w:val="ListParagraph"/>
        <w:tabs>
          <w:tab w:val="left" w:pos="5812"/>
        </w:tabs>
        <w:autoSpaceDE w:val="0"/>
        <w:autoSpaceDN w:val="0"/>
        <w:adjustRightInd w:val="0"/>
        <w:spacing w:line="240" w:lineRule="auto"/>
        <w:ind w:left="5954" w:hanging="40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b. Nomor dan Tanggal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: </w:t>
      </w:r>
      <w:r w:rsidR="00CD5ACB" w:rsidRPr="00CD5ACB">
        <w:rPr>
          <w:rFonts w:ascii="Times New Roman" w:hAnsi="Times New Roman" w:cs="Times New Roman"/>
          <w:sz w:val="24"/>
          <w:szCs w:val="24"/>
          <w:lang w:val="en-US"/>
        </w:rPr>
        <w:t>619/DPMPTSP/3112/2018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1BE39A" w14:textId="12B1A60D" w:rsidR="00531B8D" w:rsidRPr="00E81D0B" w:rsidRDefault="00AA2F49" w:rsidP="00170420">
      <w:pPr>
        <w:pStyle w:val="ListParagraph"/>
        <w:tabs>
          <w:tab w:val="left" w:pos="5812"/>
        </w:tabs>
        <w:autoSpaceDE w:val="0"/>
        <w:autoSpaceDN w:val="0"/>
        <w:adjustRightInd w:val="0"/>
        <w:spacing w:line="240" w:lineRule="auto"/>
        <w:ind w:left="5954" w:hanging="4064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="00CD5ACB" w:rsidRPr="00CD5ACB">
        <w:rPr>
          <w:rFonts w:ascii="Times New Roman" w:hAnsi="Times New Roman" w:cs="Times New Roman"/>
          <w:sz w:val="24"/>
          <w:szCs w:val="24"/>
          <w:lang w:val="en-US"/>
        </w:rPr>
        <w:t>28 September 2022</w:t>
      </w:r>
    </w:p>
    <w:p w14:paraId="34F75FFD" w14:textId="748D8464" w:rsidR="00531B8D" w:rsidRPr="00FD620F" w:rsidRDefault="00531B8D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c. Masa berlaku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: </w:t>
      </w:r>
      <w:r w:rsidR="00CD5ACB" w:rsidRPr="00CD5ACB">
        <w:rPr>
          <w:rFonts w:ascii="Times New Roman" w:hAnsi="Times New Roman" w:cs="Times New Roman"/>
          <w:sz w:val="24"/>
          <w:szCs w:val="24"/>
          <w:lang w:val="en-US" w:eastAsia="en-AU"/>
        </w:rPr>
        <w:t>28 September 2022</w:t>
      </w:r>
    </w:p>
    <w:p w14:paraId="112A4CF9" w14:textId="77777777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ED79AB1" w14:textId="3BE3C930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720E845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562E8C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15449E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4752514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D1C25FE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6E5E4E01" w14:textId="74C3B0AE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  <w:sectPr w:rsidR="00C3180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1B048F0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4524BC6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431C465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verifikasi data teknis dan dokumen</w:t>
      </w:r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24482BE3" w14:textId="6741FCFE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mor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Gani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28 September 2022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86B18" w14:textId="6437E11E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>Berita Acara Penyusunan Rekomendasi Teknis 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mor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Aceh Besar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tanggal</w:t>
      </w:r>
      <w:r w:rsidR="009328F8">
        <w:rPr>
          <w:rFonts w:ascii="Times New Roman" w:hAnsi="Times New Roman" w:cs="Times New Roman"/>
          <w:sz w:val="24"/>
          <w:szCs w:val="24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</w:rPr>
        <w:t>28 September 2022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16A6F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D01C4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44D95CB9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61C6F89A" w14:textId="77777777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>Usaha Pertambangan</w:t>
      </w:r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293C0C28" w14:textId="7FB4AF94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 lapangan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Sungai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(titik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B16B2" w14:textId="1B0F2E76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batuan pasir dan batu (sirtu)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="00310C2F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310C2F" w:rsidRPr="00310C2F">
        <w:rPr>
          <w:rFonts w:ascii="Times New Roman" w:hAnsi="Times New Roman" w:cs="Times New Roman"/>
          <w:sz w:val="24"/>
          <w:szCs w:val="24"/>
        </w:rPr>
        <w:t>Menggunakan Alat Berat (Excavator)</w:t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batuan pasir dan batu (sirtu)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192A565" w14:textId="3D711B10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 dan Batu (Sirtu)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dan titik koordinat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51E001E9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28E7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 dan Batu (Sirtu)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C4BF6E9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94C566A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509BC718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1D278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2963E48A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r w:rsidR="00B12C7E" w:rsidRPr="00523880">
        <w:rPr>
          <w:rFonts w:ascii="Times New Roman" w:hAnsi="Times New Roman" w:cs="Times New Roman"/>
          <w:b/>
        </w:rPr>
        <w:t>Pertimbangan Lain</w:t>
      </w:r>
    </w:p>
    <w:p w14:paraId="4B4626F8" w14:textId="79D054CF" w:rsidR="00180BDE" w:rsidRPr="0036458A" w:rsidRDefault="004615ED" w:rsidP="0036458A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4852735F" w14:textId="77777777" w:rsidR="0036458A" w:rsidRPr="0036458A" w:rsidRDefault="0036458A" w:rsidP="0036458A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D51C9D7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Langkah-langkah</w:t>
      </w:r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25B91D77" w14:textId="31F7FC03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0A5F286" w14:textId="77777777" w:rsidR="0036458A" w:rsidRPr="0036458A" w:rsidRDefault="0036458A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118BC30E" w14:textId="77777777" w:rsidR="00C31800" w:rsidRPr="0036458A" w:rsidRDefault="00C31800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</w:pPr>
    </w:p>
    <w:p w14:paraId="49AC2856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Nomor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011896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4375E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1CFFF9" w14:textId="255EEFC3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 Produksi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 w:rsidRPr="0036458A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2C949972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BCF87C6" w14:textId="02BC9417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 Aliran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774221" w:rsidRPr="00774221">
        <w:rPr>
          <w:rFonts w:ascii="Times New Roman" w:hAnsi="Times New Roman" w:cs="Times New Roman"/>
          <w:sz w:val="24"/>
          <w:szCs w:val="24"/>
        </w:rPr>
        <w:t>Blang Baro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774221" w:rsidRPr="00774221">
        <w:rPr>
          <w:rFonts w:ascii="Times New Roman" w:hAnsi="Times New Roman" w:cs="Times New Roman"/>
          <w:sz w:val="24"/>
          <w:szCs w:val="24"/>
        </w:rPr>
        <w:t>Teunom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yang termasuk dalam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1515E9" w:rsidRPr="001515E9">
        <w:rPr>
          <w:rFonts w:ascii="Times New Roman" w:hAnsi="Times New Roman" w:cs="Times New Roman"/>
          <w:sz w:val="24"/>
          <w:szCs w:val="24"/>
        </w:rPr>
        <w:t>Teunom - Lambeuso</w:t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1515E9" w:rsidRPr="001515E9">
        <w:rPr>
          <w:rFonts w:ascii="Times New Roman" w:hAnsi="Times New Roman" w:cs="Times New Roman"/>
          <w:sz w:val="24"/>
          <w:szCs w:val="24"/>
        </w:rPr>
        <w:t>PT. Mencari Cinta Sejati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 w:rsidRPr="00F95DFA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3989D35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D3D1C5" w14:textId="1847CF24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Sungai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Sungai Krueng Teunom</w:t>
      </w:r>
      <w:r w:rsidR="00414F1B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Blang Baro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Teunom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>Provinsi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 penambangan komoditas batuan batu dan pasir (sirtu) guna 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 persyaratan permohonan 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zin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9235266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0B1CF91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Apabila</w:t>
      </w:r>
      <w:r w:rsidR="000C43EA" w:rsidRPr="00523880">
        <w:rPr>
          <w:rFonts w:ascii="Times New Roman" w:hAnsi="Times New Roman" w:cs="Times New Roman"/>
          <w:b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dalam</w:t>
      </w:r>
      <w:r w:rsidR="00B12C7E" w:rsidRPr="00523880">
        <w:rPr>
          <w:rFonts w:ascii="Times New Roman" w:hAnsi="Times New Roman" w:cs="Times New Roman"/>
        </w:rPr>
        <w:t xml:space="preserve"> jangka waktu paling lambat </w:t>
      </w:r>
      <w:r w:rsidR="00B12C7E" w:rsidRPr="00523880">
        <w:rPr>
          <w:rFonts w:ascii="Times New Roman" w:hAnsi="Times New Roman" w:cs="Times New Roman"/>
          <w:b/>
        </w:rPr>
        <w:t>60 (enam puluh) hari</w:t>
      </w:r>
      <w:r w:rsidR="00B12C7E" w:rsidRPr="00523880">
        <w:rPr>
          <w:rFonts w:ascii="Times New Roman" w:hAnsi="Times New Roman" w:cs="Times New Roman"/>
        </w:rPr>
        <w:t xml:space="preserve"> kalender sejak diterbitkannya rekomendasi teknis</w:t>
      </w:r>
      <w:r w:rsidR="008073C3" w:rsidRPr="00523880">
        <w:rPr>
          <w:rFonts w:ascii="Times New Roman" w:hAnsi="Times New Roman" w:cs="Times New Roman"/>
        </w:rPr>
        <w:t xml:space="preserve"> ini, pemohon t</w:t>
      </w:r>
      <w:r w:rsidR="00415202" w:rsidRPr="00523880">
        <w:rPr>
          <w:rFonts w:ascii="Times New Roman" w:hAnsi="Times New Roman" w:cs="Times New Roman"/>
        </w:rPr>
        <w:t>idak mengajukan permohonan Izin Usaha Pertambangan</w:t>
      </w:r>
      <w:r w:rsidR="001F022A" w:rsidRPr="00523880">
        <w:rPr>
          <w:rFonts w:ascii="Times New Roman" w:hAnsi="Times New Roman" w:cs="Times New Roman"/>
        </w:rPr>
        <w:t xml:space="preserve"> </w:t>
      </w:r>
      <w:r w:rsidR="008073C3" w:rsidRPr="00523880">
        <w:rPr>
          <w:rFonts w:ascii="Times New Roman" w:hAnsi="Times New Roman" w:cs="Times New Roman"/>
        </w:rPr>
        <w:t>kepada Gubernur Aceh Cq : Kepala Dinas Penanaman Modal dan Pelayanan Terpadu Satu Pintu Aceh</w:t>
      </w:r>
      <w:r w:rsidR="00B12C7E" w:rsidRPr="00523880">
        <w:rPr>
          <w:rFonts w:ascii="Times New Roman" w:hAnsi="Times New Roman" w:cs="Times New Roman"/>
        </w:rPr>
        <w:t>, maka rekomendasi teknis dinyatakan tidak berlaku.</w:t>
      </w:r>
    </w:p>
    <w:p w14:paraId="718D69C8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009DA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A0765A" wp14:editId="27E9645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44B5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16ECC0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272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FFBF3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1956E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3C2E9C6A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6333674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460EB1D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7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" filled="f" stroked="f" strokeweight=".5pt">
                <v:path arrowok="t"/>
                <v:textbox>
                  <w:txbxContent>
                    <w:p w14:paraId="76A444B5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16ECC0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272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FFBF3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E1956E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3C2E9C6A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6333674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460EB1D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3D26D520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5CAF9CE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26DE0AC3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F4F93C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1AE561A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6CE0497D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737029FB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31077FD7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07C0261D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7182D33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2ECE288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B4C42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>Ketua Tim 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 Teknis Dinas Pengairan Aceh;</w:t>
      </w:r>
    </w:p>
    <w:p w14:paraId="70693313" w14:textId="6FA5CEBF" w:rsidR="00300330" w:rsidRPr="00080915" w:rsidRDefault="001515E9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15E9">
        <w:rPr>
          <w:rFonts w:ascii="Times New Roman" w:hAnsi="Times New Roman" w:cs="Times New Roman"/>
          <w:sz w:val="24"/>
          <w:szCs w:val="24"/>
          <w:lang w:val="en-US"/>
        </w:rPr>
        <w:t>PT. Mencari Cinta Sejati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D95B7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5CF30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1222B0F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E20EC30" w14:textId="224A22B4" w:rsidR="0036458A" w:rsidRPr="0036458A" w:rsidRDefault="0036458A" w:rsidP="0036458A">
      <w:pPr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0F8D3173" w14:textId="77777777" w:rsidR="00080915" w:rsidRPr="0036458A" w:rsidRDefault="00080915" w:rsidP="0036458A">
      <w:pPr>
        <w:rPr>
          <w:rFonts w:ascii="Times New Roman" w:hAnsi="Times New Roman" w:cs="Times New Roman"/>
        </w:rPr>
      </w:pPr>
    </w:p>
    <w:p w14:paraId="429C71C5" w14:textId="77777777" w:rsidR="0036458A" w:rsidRPr="002C329E" w:rsidRDefault="0036458A" w:rsidP="0036458A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${no_sk_kadis}</w:t>
      </w:r>
      <w:r w:rsidRPr="00523880">
        <w:rPr>
          <w:rFonts w:ascii="Times New Roman" w:hAnsi="Times New Roman" w:cs="Times New Roman"/>
          <w:b/>
          <w:lang w:val="id-ID"/>
        </w:rPr>
        <w:t xml:space="preserve"> Tanggal </w:t>
      </w:r>
      <w:r>
        <w:rPr>
          <w:rFonts w:ascii="Times New Roman" w:hAnsi="Times New Roman" w:cs="Times New Roman"/>
          <w:b/>
          <w:lang w:val="id-ID"/>
        </w:rPr>
        <w:t>${tgl_sk_kadis}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6C5649E" w14:textId="77777777" w:rsidR="0036458A" w:rsidRPr="0044459F" w:rsidRDefault="0036458A" w:rsidP="0036458A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36458A" w:rsidRPr="00523880" w14:paraId="4AE28304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1B0E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C6D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048C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29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36458A" w:rsidRPr="00523880" w14:paraId="692981E9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90E5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E9EF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Ade Surya, ST.,ME</w:t>
            </w:r>
          </w:p>
          <w:p w14:paraId="261656DC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EF20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Pengarah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50D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95AD62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D8EAAE6" w14:textId="77777777" w:rsidTr="006721AE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A46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FEAE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Sejahtera, ST., MT</w:t>
            </w:r>
          </w:p>
          <w:p w14:paraId="113B050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AC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Penanggung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1423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2E6065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6612C4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B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8975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Rinal Dianto, ST</w:t>
            </w:r>
          </w:p>
          <w:p w14:paraId="230C4218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19751005 200604 1 003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5E7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13F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B1A98B5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20DE315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4F1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56FB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Fadhlun, ST., MT</w:t>
            </w:r>
          </w:p>
          <w:p w14:paraId="6AEFB52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389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F05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4D3152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F2631DA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7796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1624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Zubaidah, ST.,MT</w:t>
            </w:r>
          </w:p>
          <w:p w14:paraId="27963ABF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19721004 200604 2 001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878C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E18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BFEE4F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337CBFC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35A4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26B8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Ridwan Taufik, ST</w:t>
            </w:r>
          </w:p>
          <w:p w14:paraId="0DC91AE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19760505 201001 1 008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541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71A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CCC431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2B8D5E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9669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0220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Hendra</w:t>
            </w:r>
          </w:p>
          <w:p w14:paraId="27BB4E9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3670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4A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6D934D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9F0B2E8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20C60C7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FE95463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BB2B02" wp14:editId="0A6DB78F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6A7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7F1C8730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047B42CA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BDE6B9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B49088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BD9A55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A8190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6D5CE88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B02" id="Text Box 20" o:spid="_x0000_s1027" type="#_x0000_t202" style="position:absolute;left:0;text-align:left;margin-left:99.4pt;margin-top:14.2pt;width:271.1pt;height:10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6EE26A7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7F1C8730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047B42CA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BDE6B9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B49088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BD9A55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7A8190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6D5CE88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2557263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B6305EC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6E9B4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C31800">
      <w:pgSz w:w="12191" w:h="16840" w:code="183"/>
      <w:pgMar w:top="720" w:right="720" w:bottom="288" w:left="1152" w:header="630" w:footer="288" w:gutter="288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3C975" w14:textId="77777777" w:rsidR="0066209F" w:rsidRDefault="0066209F" w:rsidP="00D75845">
      <w:r>
        <w:separator/>
      </w:r>
    </w:p>
  </w:endnote>
  <w:endnote w:type="continuationSeparator" w:id="0">
    <w:p w14:paraId="1A90060C" w14:textId="77777777" w:rsidR="0066209F" w:rsidRDefault="0066209F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793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EDFB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B688F" w14:textId="77777777" w:rsidR="0066209F" w:rsidRDefault="0066209F" w:rsidP="00D75845">
      <w:r>
        <w:separator/>
      </w:r>
    </w:p>
  </w:footnote>
  <w:footnote w:type="continuationSeparator" w:id="0">
    <w:p w14:paraId="505AD391" w14:textId="77777777" w:rsidR="0066209F" w:rsidRDefault="0066209F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7540B904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64C08D4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A9C6359" wp14:editId="2C9BF8C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3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5DFB958A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17A4B7F6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25321044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0CA6C784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4F06B2C8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2"/>
  </w:num>
  <w:num w:numId="12">
    <w:abstractNumId w:val="23"/>
  </w:num>
  <w:num w:numId="13">
    <w:abstractNumId w:val="0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E"/>
    <w:rsid w:val="00003F2E"/>
    <w:rsid w:val="00004E64"/>
    <w:rsid w:val="00007141"/>
    <w:rsid w:val="000101B7"/>
    <w:rsid w:val="00011896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456BD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15E9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77ACD"/>
    <w:rsid w:val="002A6100"/>
    <w:rsid w:val="002B3557"/>
    <w:rsid w:val="002D16D6"/>
    <w:rsid w:val="002D63E0"/>
    <w:rsid w:val="002D78E2"/>
    <w:rsid w:val="002E44C3"/>
    <w:rsid w:val="002E49B8"/>
    <w:rsid w:val="002F2DBD"/>
    <w:rsid w:val="002F44B3"/>
    <w:rsid w:val="002F50A7"/>
    <w:rsid w:val="002F5BE2"/>
    <w:rsid w:val="00300330"/>
    <w:rsid w:val="00310C2F"/>
    <w:rsid w:val="003178FD"/>
    <w:rsid w:val="003247EB"/>
    <w:rsid w:val="003257D3"/>
    <w:rsid w:val="003269F9"/>
    <w:rsid w:val="00351631"/>
    <w:rsid w:val="0035349D"/>
    <w:rsid w:val="00356C91"/>
    <w:rsid w:val="0036458A"/>
    <w:rsid w:val="0036623F"/>
    <w:rsid w:val="00367DCC"/>
    <w:rsid w:val="003717B6"/>
    <w:rsid w:val="00376C45"/>
    <w:rsid w:val="0038178F"/>
    <w:rsid w:val="00384D7B"/>
    <w:rsid w:val="0039182D"/>
    <w:rsid w:val="00393BA5"/>
    <w:rsid w:val="003A2552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23880"/>
    <w:rsid w:val="00525A34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5355"/>
    <w:rsid w:val="00657364"/>
    <w:rsid w:val="0066209F"/>
    <w:rsid w:val="00665891"/>
    <w:rsid w:val="00671298"/>
    <w:rsid w:val="006751B3"/>
    <w:rsid w:val="00677C8E"/>
    <w:rsid w:val="00680FC6"/>
    <w:rsid w:val="006942A4"/>
    <w:rsid w:val="006A7767"/>
    <w:rsid w:val="006B5DC8"/>
    <w:rsid w:val="006B5DF0"/>
    <w:rsid w:val="006C16E9"/>
    <w:rsid w:val="006D4730"/>
    <w:rsid w:val="006E2EC1"/>
    <w:rsid w:val="006F26B7"/>
    <w:rsid w:val="006F2905"/>
    <w:rsid w:val="006F36F3"/>
    <w:rsid w:val="006F5A53"/>
    <w:rsid w:val="007019DA"/>
    <w:rsid w:val="00704367"/>
    <w:rsid w:val="00706484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221"/>
    <w:rsid w:val="00774DCF"/>
    <w:rsid w:val="00777101"/>
    <w:rsid w:val="00784237"/>
    <w:rsid w:val="00797212"/>
    <w:rsid w:val="007973BF"/>
    <w:rsid w:val="007A1DC7"/>
    <w:rsid w:val="007A2C70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25CC5"/>
    <w:rsid w:val="009328F8"/>
    <w:rsid w:val="009373FC"/>
    <w:rsid w:val="009408E6"/>
    <w:rsid w:val="00983C97"/>
    <w:rsid w:val="009945C9"/>
    <w:rsid w:val="009A69B3"/>
    <w:rsid w:val="009B7AD8"/>
    <w:rsid w:val="009D69E9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1748"/>
    <w:rsid w:val="00A9720E"/>
    <w:rsid w:val="00AA2F49"/>
    <w:rsid w:val="00AC260F"/>
    <w:rsid w:val="00AC2661"/>
    <w:rsid w:val="00AC3D34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95A07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6FB3"/>
    <w:rsid w:val="00BF6515"/>
    <w:rsid w:val="00C16EA2"/>
    <w:rsid w:val="00C17DE0"/>
    <w:rsid w:val="00C20C3D"/>
    <w:rsid w:val="00C21F89"/>
    <w:rsid w:val="00C26754"/>
    <w:rsid w:val="00C27955"/>
    <w:rsid w:val="00C31800"/>
    <w:rsid w:val="00C33899"/>
    <w:rsid w:val="00C37241"/>
    <w:rsid w:val="00C540C0"/>
    <w:rsid w:val="00C56734"/>
    <w:rsid w:val="00C57A2C"/>
    <w:rsid w:val="00C613F7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ACB"/>
    <w:rsid w:val="00CD5CA1"/>
    <w:rsid w:val="00CE3232"/>
    <w:rsid w:val="00CE3FD3"/>
    <w:rsid w:val="00CE496F"/>
    <w:rsid w:val="00CE5F2C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438B5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D66"/>
    <w:rsid w:val="00E76479"/>
    <w:rsid w:val="00E93888"/>
    <w:rsid w:val="00ED05A6"/>
    <w:rsid w:val="00ED1EC7"/>
    <w:rsid w:val="00ED3A8E"/>
    <w:rsid w:val="00ED4E5C"/>
    <w:rsid w:val="00EE0511"/>
    <w:rsid w:val="00EE487A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67F7C"/>
    <w:rsid w:val="00F73BA0"/>
    <w:rsid w:val="00F806D3"/>
    <w:rsid w:val="00F842CF"/>
    <w:rsid w:val="00F84840"/>
    <w:rsid w:val="00F9045F"/>
    <w:rsid w:val="00F90B18"/>
    <w:rsid w:val="00F9206E"/>
    <w:rsid w:val="00F95DFA"/>
    <w:rsid w:val="00FA07BE"/>
    <w:rsid w:val="00FA1B27"/>
    <w:rsid w:val="00FA3636"/>
    <w:rsid w:val="00FB49A6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B589"/>
  <w15:docId w15:val="{7D2396B4-C253-4549-90A0-E16892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9EDA-12D0-4C7C-BB3B-17627D35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95</cp:revision>
  <cp:lastPrinted>2022-08-29T03:51:00Z</cp:lastPrinted>
  <dcterms:created xsi:type="dcterms:W3CDTF">2020-04-17T02:10:00Z</dcterms:created>
  <dcterms:modified xsi:type="dcterms:W3CDTF">2022-09-27T17:54:00Z</dcterms:modified>
</cp:coreProperties>
</file>