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#04: PUBLIC HOME &amp; NAVIGATION SCAFFOLD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1: Foundation &amp; Planning | Week 3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US-001 (Public Portal Landing)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Design and build a responsive public home portal with glassmorphism hero styling, platform foundation metrics, accessible navigation, and candidate attribution banner.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Controller Layer (`HomeController.java`):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Mapped GET / to render index.html.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Injected system statistics and active profile metadata into the view model.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Thymeleaf Template (`src/main/resources/templates/index.html`):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Responsive Bootstrap 5 layout with custom typography (Inter via Google Fonts).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Candidate Attribution Badge: Muawiyah Narvel (23108A0020).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System Foundation Baseline Card: Java 21 LTS, Spring Boot 3.4.3, H2 Database, Apache Maven, JUnit 5.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Direct CTA links to Browse Catalog (/papers) and H2 Database Console (/h2-console).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Automated Unit Tests (`HomeControllerTest.java`):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Validated HTTP 200 OK, view name "index", and candidate badge presence in DOM.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 -Dtest=HomeControllerTest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Running com.muawiyah.repository.controller.HomeControllerTest</w:t>
              <w:br/>
              <w:t xml:space="preserve">  [INFO] Tests run: 3, Failures: 0, Errors: 0, Skipped: 0, Time elapsed: 0.089 s</w:t>
              <w:br/>
              <w:t xml:space="preserve">  [INFO] BUILD SUCCESS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1-home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04.1: Visual Proof of Work — Public Home Portal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Public home page accessible at `GET /` without authentication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Hero banner displays platform specifications and candidate credentials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Navigation header links to Catalog, Submit, Review Portal, and Dashboard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MockMvc tests confirm view resolution and HTTP 200 response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src/main/java/com/muawiyah/repository/controller/HomeController.java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src/main/resources/templates/index.html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src/test/java/com/muawiyah/repository/controller/HomeControllerTest.java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