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60"/>
        <w:jc w:val="center"/>
      </w:pPr>
      <w:r>
        <w:rPr>
          <w:rFonts w:ascii="Arial" w:cs="Arial" w:eastAsia="Arial" w:hAnsi="Arial"/>
          <w:b/>
          <w:bCs/>
          <w:color w:val="14532D"/>
          <w:sz w:val="36"/>
          <w:szCs w:val="36"/>
        </w:rPr>
        <w:t xml:space="preserve">Muslim Council of Britain</w:t>
      </w:r>
    </w:p>
    <w:p>
      <w:pPr>
        <w:spacing w:after="400"/>
        <w:jc w:val="center"/>
      </w:pPr>
      <w:r>
        <w:rPr>
          <w:color w:val="14532D"/>
          <w:sz w:val="20"/>
          <w:szCs w:val="20"/>
        </w:rPr>
        <w:t xml:space="preserve">━━━━━━━━━━━━━━━━━━━━━━━━━━━━━━━━━━━━━━━━</w:t>
      </w:r>
    </w:p>
    <w:p>
      <w:pPr>
        <w:spacing w:after="60"/>
      </w:pPr>
    </w:p>
    <w:p>
      <w:pPr>
        <w:spacing w:after="60"/>
      </w:pPr>
    </w:p>
    <w:p>
      <w:pPr>
        <w:spacing w:after="120"/>
        <w:jc w:val="center"/>
      </w:pPr>
      <w:r>
        <w:rPr>
          <w:rFonts w:ascii="Arial" w:cs="Arial" w:eastAsia="Arial" w:hAnsi="Arial"/>
          <w:b/>
          <w:bCs/>
          <w:color w:val="14532D"/>
          <w:sz w:val="56"/>
          <w:szCs w:val="56"/>
        </w:rPr>
        <w:t xml:space="preserve">AskAdil Solicitor Directory</w:t>
      </w:r>
    </w:p>
    <w:p>
      <w:pPr>
        <w:spacing w:after="240"/>
        <w:jc w:val="center"/>
      </w:pPr>
      <w:r>
        <w:rPr>
          <w:rFonts w:ascii="Arial" w:cs="Arial" w:eastAsia="Arial" w:hAnsi="Arial"/>
          <w:color w:val="333333"/>
          <w:sz w:val="40"/>
          <w:szCs w:val="40"/>
        </w:rPr>
        <w:t xml:space="preserve">Business Case &amp; Decision Paper</w:t>
      </w:r>
    </w:p>
    <w:p>
      <w:pPr>
        <w:spacing w:after="240"/>
        <w:jc w:val="center"/>
      </w:pPr>
      <w:r>
        <w:rPr>
          <w:color w:val="14532D"/>
          <w:sz w:val="20"/>
          <w:szCs w:val="20"/>
        </w:rPr>
        <w:t xml:space="preserve">━━━━━━━━━━━━━━━━━━━━━━━━━━━━━━</w:t>
      </w:r>
    </w:p>
    <w:p>
      <w:pPr>
        <w:spacing w:after="600"/>
        <w:jc w:val="center"/>
      </w:pPr>
      <w:r>
        <w:rPr>
          <w:rFonts w:ascii="Arial" w:cs="Arial" w:eastAsia="Arial" w:hAnsi="Arial"/>
          <w:color w:val="555555"/>
          <w:sz w:val="28"/>
          <w:szCs w:val="28"/>
        </w:rPr>
        <w:t xml:space="preserve">Decision Paper for MCB Executive Team</w:t>
      </w:r>
    </w:p>
    <w:p>
      <w:pPr>
        <w:spacing w:after="60"/>
      </w:pPr>
    </w:p>
    <w:p>
      <w:pPr>
        <w:spacing w:after="60"/>
      </w:pPr>
    </w:p>
    <w:p>
      <w:pPr>
        <w:spacing w:after="60"/>
      </w:pPr>
    </w:p>
    <w:p>
      <w:pPr>
        <w:spacing w:after="80"/>
        <w:jc w:val="center"/>
      </w:pPr>
      <w:r>
        <w:rPr>
          <w:rFonts w:ascii="Arial" w:cs="Arial" w:eastAsia="Arial" w:hAnsi="Arial"/>
          <w:b/>
          <w:bCs/>
          <w:sz w:val="22"/>
          <w:szCs w:val="22"/>
        </w:rPr>
        <w:t xml:space="preserve">Date: </w:t>
      </w:r>
      <w:r>
        <w:rPr>
          <w:rFonts w:ascii="Arial" w:cs="Arial" w:eastAsia="Arial" w:hAnsi="Arial"/>
          <w:sz w:val="22"/>
          <w:szCs w:val="22"/>
        </w:rPr>
        <w:t xml:space="preserve">March 2026</w:t>
      </w:r>
    </w:p>
    <w:p>
      <w:pPr>
        <w:spacing w:after="80"/>
        <w:jc w:val="center"/>
      </w:pPr>
      <w:r>
        <w:rPr>
          <w:rFonts w:ascii="Arial" w:cs="Arial" w:eastAsia="Arial" w:hAnsi="Arial"/>
          <w:b/>
          <w:bCs/>
          <w:sz w:val="22"/>
          <w:szCs w:val="22"/>
        </w:rPr>
        <w:t xml:space="preserve">Classification: </w:t>
      </w:r>
      <w:r>
        <w:rPr>
          <w:rFonts w:ascii="Arial" w:cs="Arial" w:eastAsia="Arial" w:hAnsi="Arial"/>
          <w:color w:val="CC0000"/>
          <w:sz w:val="22"/>
          <w:szCs w:val="22"/>
        </w:rPr>
        <w:t xml:space="preserve">CONFIDENTIAL — MCB Internal</w:t>
      </w:r>
    </w:p>
    <w:p>
      <w:pPr>
        <w:spacing w:after="80"/>
        <w:jc w:val="center"/>
      </w:pPr>
      <w:r>
        <w:rPr>
          <w:rFonts w:ascii="Arial" w:cs="Arial" w:eastAsia="Arial" w:hAnsi="Arial"/>
          <w:b/>
          <w:bCs/>
          <w:sz w:val="22"/>
          <w:szCs w:val="22"/>
        </w:rPr>
        <w:t xml:space="preserve">Prepared by: </w:t>
      </w:r>
      <w:r>
        <w:rPr>
          <w:rFonts w:ascii="Arial" w:cs="Arial" w:eastAsia="Arial" w:hAnsi="Arial"/>
          <w:sz w:val="22"/>
          <w:szCs w:val="22"/>
        </w:rPr>
        <w:t xml:space="preserve">AskAdil Team, MCB Digital</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spacing w:after="120"/>
        <w:jc w:val="left"/>
      </w:pPr>
      <w:r>
        <w:rPr>
          <w:rFonts w:ascii="Arial" w:cs="Arial" w:eastAsia="Arial" w:hAnsi="Arial"/>
          <w:b/>
          <w:bCs/>
          <w:i w:val="false"/>
          <w:iCs w:val="false"/>
          <w:color w:val="14532D"/>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60"/>
      </w:pPr>
    </w:p>
    <w:p>
      <w:pPr>
        <w:spacing w:after="120"/>
      </w:pPr>
      <w:r>
        <w:rPr>
          <w:rFonts w:ascii="Arial" w:cs="Arial" w:eastAsia="Arial" w:hAnsi="Arial"/>
          <w:i/>
          <w:iCs/>
          <w:color w:val="999999"/>
          <w:sz w:val="18"/>
          <w:szCs w:val="18"/>
        </w:rPr>
        <w:t xml:space="preserve">(Update this field in Word: right-click → Update Field → Update Entire Table)</w:t>
      </w:r>
    </w:p>
    <w:p>
      <w:pPr>
        <w:sectPr>
          <w:pgSz w:w="12240" w:h="15840" w:orient="portrait"/>
          <w:pgMar w:top="1440" w:right="1440" w:bottom="1440" w:left="1440" w:header="708" w:footer="708" w:gutter="0"/>
          <w:pgNumType/>
          <w:docGrid w:linePitch="360"/>
        </w:sectPr>
      </w:pPr>
    </w:p>
    <w:p>
      <w:pPr>
        <w:pStyle w:val="Heading1"/>
        <w:spacing w:after="120"/>
        <w:jc w:val="left"/>
      </w:pPr>
      <w:r>
        <w:rPr>
          <w:rFonts w:ascii="Arial" w:cs="Arial" w:eastAsia="Arial" w:hAnsi="Arial"/>
          <w:b w:val="false"/>
          <w:bCs w:val="false"/>
          <w:i w:val="false"/>
          <w:iCs w:val="false"/>
          <w:sz w:val="22"/>
          <w:szCs w:val="22"/>
        </w:rPr>
        <w:t xml:space="preserve">1. Executive Summary</w:t>
      </w:r>
    </w:p>
    <w:p>
      <w:pPr>
        <w:spacing w:after="200"/>
      </w:pPr>
      <w:r>
        <w:rPr>
          <w:rFonts w:ascii="Arial" w:cs="Arial" w:eastAsia="Arial" w:hAnsi="Arial"/>
          <w:sz w:val="22"/>
          <w:szCs w:val="22"/>
        </w:rPr>
        <w:t xml:space="preserve">British Muslims currently have no reliable, centralised way to find Muslim-friendly legal help. This paper proposes that MCB launches the UK’s first searchable directory of Muslim solicitors and legal professionals through its AskAdil platform, leveraging MCB’s trusted brand and extensive community reach. The AskAdil team has already researched over 50 firms across key practice areas, built the core technology platform, and deployed the supporting infrastructure. We are now seeking executive sign-off to begin formal outreach to solicitors on behalf of MCB. The investment required is minimal — the technology is built, infrastructure is live, and the primary cost is staff time for email review. At maturity, the directory has the potential to generate £250–350K per year in revenue while providing an essential community service that addresses a genuine, unmet need.</w:t>
      </w:r>
    </w:p>
    <w:p>
      <w:pPr>
        <w:pStyle w:val="Heading1"/>
        <w:spacing w:after="120"/>
        <w:jc w:val="left"/>
      </w:pPr>
      <w:r>
        <w:rPr>
          <w:rFonts w:ascii="Arial" w:cs="Arial" w:eastAsia="Arial" w:hAnsi="Arial"/>
          <w:b w:val="false"/>
          <w:bCs w:val="false"/>
          <w:i w:val="false"/>
          <w:iCs w:val="false"/>
          <w:sz w:val="22"/>
          <w:szCs w:val="22"/>
        </w:rPr>
        <w:t xml:space="preserve">2. Background &amp; Problem Statement</w:t>
      </w:r>
    </w:p>
    <w:p>
      <w:pPr>
        <w:spacing w:after="160"/>
        <w:jc w:val="left"/>
      </w:pPr>
      <w:r>
        <w:rPr>
          <w:rFonts w:ascii="Arial" w:cs="Arial" w:eastAsia="Arial" w:hAnsi="Arial"/>
          <w:b w:val="false"/>
          <w:bCs w:val="false"/>
          <w:i w:val="false"/>
          <w:iCs w:val="false"/>
          <w:sz w:val="22"/>
          <w:szCs w:val="22"/>
        </w:rPr>
        <w:t xml:space="preserve">The need for a dedicated Muslim solicitor directory is driven by several converging factors:</w:t>
      </w:r>
    </w:p>
    <w:p>
      <w:pPr>
        <w:pStyle w:val="ListParagraph"/>
        <w:numPr>
          <w:ilvl w:val="0"/>
          <w:numId w:val="1"/>
        </w:numPr>
        <w:spacing w:after="60"/>
      </w:pPr>
      <w:r>
        <w:rPr>
          <w:rFonts w:ascii="Arial" w:cs="Arial" w:eastAsia="Arial" w:hAnsi="Arial"/>
          <w:sz w:val="22"/>
          <w:szCs w:val="22"/>
        </w:rPr>
        <w:t xml:space="preserve">377% surge in Islamophobic hate crimes recorded between 2023 and 2024, creating unprecedented demand for legal support in the Muslim community.</w:t>
      </w:r>
    </w:p>
    <w:p>
      <w:pPr>
        <w:pStyle w:val="ListParagraph"/>
        <w:numPr>
          <w:ilvl w:val="0"/>
          <w:numId w:val="1"/>
        </w:numPr>
        <w:spacing w:after="60"/>
      </w:pPr>
      <w:r>
        <w:rPr>
          <w:rFonts w:ascii="Arial" w:cs="Arial" w:eastAsia="Arial" w:hAnsi="Arial"/>
          <w:sz w:val="22"/>
          <w:szCs w:val="22"/>
        </w:rPr>
        <w:t xml:space="preserve">45% of all religious hate crimes in the UK target Muslims, making them the most disproportionately affected faith group.</w:t>
      </w:r>
    </w:p>
    <w:p>
      <w:pPr>
        <w:pStyle w:val="ListParagraph"/>
        <w:numPr>
          <w:ilvl w:val="0"/>
          <w:numId w:val="1"/>
        </w:numPr>
        <w:spacing w:after="60"/>
      </w:pPr>
      <w:r>
        <w:rPr>
          <w:rFonts w:ascii="Arial" w:cs="Arial" w:eastAsia="Arial" w:hAnsi="Arial"/>
          <w:sz w:val="22"/>
          <w:szCs w:val="22"/>
        </w:rPr>
        <w:t xml:space="preserve">An estimated 12,000 Muslim solicitors practise in England and Wales, yet there is no dedicated directory or discovery mechanism to connect them with the community they serve.</w:t>
      </w:r>
    </w:p>
    <w:p>
      <w:pPr>
        <w:pStyle w:val="ListParagraph"/>
        <w:numPr>
          <w:ilvl w:val="0"/>
          <w:numId w:val="1"/>
        </w:numPr>
        <w:spacing w:after="60"/>
      </w:pPr>
      <w:r>
        <w:rPr>
          <w:rFonts w:ascii="Arial" w:cs="Arial" w:eastAsia="Arial" w:hAnsi="Arial"/>
          <w:sz w:val="22"/>
          <w:szCs w:val="22"/>
        </w:rPr>
        <w:t xml:space="preserve">Existing resources such as the Muslim Lawyers Directory and similar initiatives are dormant, outdated, or ineffective, leaving a significant gap.</w:t>
      </w:r>
    </w:p>
    <w:p>
      <w:pPr>
        <w:pStyle w:val="ListParagraph"/>
        <w:numPr>
          <w:ilvl w:val="0"/>
          <w:numId w:val="1"/>
        </w:numPr>
        <w:spacing w:after="60"/>
      </w:pPr>
      <w:r>
        <w:rPr>
          <w:rFonts w:ascii="Arial" w:cs="Arial" w:eastAsia="Arial" w:hAnsi="Arial"/>
          <w:sz w:val="22"/>
          <w:szCs w:val="22"/>
        </w:rPr>
        <w:t xml:space="preserve">Community members frequently ask AskAdil questions such as “How do I find a Muslim solicitor?” or “Can you recommend a lawyer who understands Islamic law?” — demonstrating clear, organic demand.</w:t>
      </w:r>
    </w:p>
    <w:p>
      <w:pPr>
        <w:pStyle w:val="ListParagraph"/>
        <w:numPr>
          <w:ilvl w:val="0"/>
          <w:numId w:val="1"/>
        </w:numPr>
        <w:spacing w:after="60"/>
      </w:pPr>
      <w:r>
        <w:rPr>
          <w:rFonts w:ascii="Arial" w:cs="Arial" w:eastAsia="Arial" w:hAnsi="Arial"/>
          <w:sz w:val="22"/>
          <w:szCs w:val="22"/>
        </w:rPr>
        <w:t xml:space="preserve">Legal needs span multiple specialisms: Islamic family law (including Sharia divorce), Islamic wills and inheritance, halal conveyancing and Islamic finance, and discrimination/Islamophobia cases.</w:t>
      </w:r>
    </w:p>
    <w:p>
      <w:pPr>
        <w:spacing w:after="60"/>
      </w:pPr>
    </w:p>
    <w:p>
      <w:pPr>
        <w:spacing w:after="120"/>
        <w:jc w:val="left"/>
      </w:pPr>
      <w:r>
        <w:rPr>
          <w:rFonts w:ascii="Arial" w:cs="Arial" w:eastAsia="Arial" w:hAnsi="Arial"/>
          <w:b w:val="false"/>
          <w:bCs w:val="false"/>
          <w:i/>
          <w:iCs/>
          <w:color w:val="555555"/>
          <w:sz w:val="22"/>
          <w:szCs w:val="22"/>
        </w:rPr>
        <w:t xml:space="preserve">Without a centralised, trusted platform, Muslim individuals and families are left navigating a fragmented landscape at precisely the moment they need reliable legal support the most.</w:t>
      </w:r>
    </w:p>
    <w:p>
      <w:pPr>
        <w:pStyle w:val="Heading1"/>
        <w:pageBreakBefore/>
        <w:spacing w:after="120"/>
        <w:jc w:val="left"/>
      </w:pPr>
      <w:r>
        <w:rPr>
          <w:rFonts w:ascii="Arial" w:cs="Arial" w:eastAsia="Arial" w:hAnsi="Arial"/>
          <w:b w:val="false"/>
          <w:bCs w:val="false"/>
          <w:i w:val="false"/>
          <w:iCs w:val="false"/>
          <w:sz w:val="22"/>
          <w:szCs w:val="22"/>
        </w:rPr>
        <w:t xml:space="preserve">3. Proposed Solution</w:t>
      </w:r>
    </w:p>
    <w:p>
      <w:pPr>
        <w:spacing w:after="160"/>
        <w:jc w:val="left"/>
      </w:pPr>
      <w:r>
        <w:rPr>
          <w:rFonts w:ascii="Arial" w:cs="Arial" w:eastAsia="Arial" w:hAnsi="Arial"/>
          <w:b w:val="false"/>
          <w:bCs w:val="false"/>
          <w:i w:val="false"/>
          <w:iCs w:val="false"/>
          <w:sz w:val="22"/>
          <w:szCs w:val="22"/>
        </w:rPr>
        <w:t xml:space="preserve">AskAdil will build and maintain the UK’s first curated, searchable directory of Muslim solicitors and legal professionals, integrated directly into the AskAdil AI chatbot platform.</w:t>
      </w:r>
    </w:p>
    <w:p>
      <w:pPr>
        <w:spacing w:after="60"/>
      </w:pPr>
    </w:p>
    <w:p>
      <w:pPr>
        <w:pStyle w:val="Heading2"/>
        <w:spacing w:after="120"/>
        <w:jc w:val="left"/>
      </w:pPr>
      <w:r>
        <w:rPr>
          <w:rFonts w:ascii="Arial" w:cs="Arial" w:eastAsia="Arial" w:hAnsi="Arial"/>
          <w:b w:val="false"/>
          <w:bCs w:val="false"/>
          <w:i w:val="false"/>
          <w:iCs w:val="false"/>
          <w:sz w:val="22"/>
          <w:szCs w:val="22"/>
        </w:rPr>
        <w:t xml:space="preserve">3.1 Core Features</w:t>
      </w:r>
    </w:p>
    <w:p>
      <w:pPr>
        <w:pStyle w:val="ListParagraph"/>
        <w:numPr>
          <w:ilvl w:val="0"/>
          <w:numId w:val="1"/>
        </w:numPr>
        <w:spacing w:after="60"/>
      </w:pPr>
      <w:r>
        <w:rPr>
          <w:rFonts w:ascii="Arial" w:cs="Arial" w:eastAsia="Arial" w:hAnsi="Arial"/>
          <w:sz w:val="22"/>
          <w:szCs w:val="22"/>
        </w:rPr>
        <w:t xml:space="preserve">Curated directory of verified Muslim solicitors, searchable by specialism, location, and language.</w:t>
      </w:r>
    </w:p>
    <w:p>
      <w:pPr>
        <w:pStyle w:val="ListParagraph"/>
        <w:numPr>
          <w:ilvl w:val="0"/>
          <w:numId w:val="1"/>
        </w:numPr>
        <w:spacing w:after="60"/>
      </w:pPr>
      <w:r>
        <w:rPr>
          <w:rFonts w:ascii="Arial" w:cs="Arial" w:eastAsia="Arial" w:hAnsi="Arial"/>
          <w:sz w:val="22"/>
          <w:szCs w:val="22"/>
        </w:rPr>
        <w:t xml:space="preserve">AI-powered matching: AskAdil’s chatbot intelligently matches users to the most relevant solicitors based on their legal need, geographic area, and language preference.</w:t>
      </w:r>
    </w:p>
    <w:p>
      <w:pPr>
        <w:pStyle w:val="ListParagraph"/>
        <w:numPr>
          <w:ilvl w:val="0"/>
          <w:numId w:val="1"/>
        </w:numPr>
        <w:spacing w:after="60"/>
      </w:pPr>
      <w:r>
        <w:rPr>
          <w:rFonts w:ascii="Arial" w:cs="Arial" w:eastAsia="Arial" w:hAnsi="Arial"/>
          <w:sz w:val="22"/>
          <w:szCs w:val="22"/>
        </w:rPr>
        <w:t xml:space="preserve">Consent-based onboarding: All solicitors are contacted via a professional outreach campaign and must explicitly opt in to be listed.</w:t>
      </w:r>
    </w:p>
    <w:p>
      <w:pPr>
        <w:pStyle w:val="ListParagraph"/>
        <w:numPr>
          <w:ilvl w:val="0"/>
          <w:numId w:val="1"/>
        </w:numPr>
        <w:spacing w:after="60"/>
      </w:pPr>
      <w:r>
        <w:rPr>
          <w:rFonts w:ascii="Arial" w:cs="Arial" w:eastAsia="Arial" w:hAnsi="Arial"/>
          <w:sz w:val="22"/>
          <w:szCs w:val="22"/>
        </w:rPr>
        <w:t xml:space="preserve">MCB ownership: MCB’s direct ownership provides inherent trust and credibility that no third-party platform could replicate.</w:t>
      </w:r>
    </w:p>
    <w:p>
      <w:pPr>
        <w:spacing w:after="60"/>
      </w:pPr>
    </w:p>
    <w:p>
      <w:pPr>
        <w:pStyle w:val="Heading2"/>
        <w:spacing w:after="120"/>
        <w:jc w:val="left"/>
      </w:pPr>
      <w:r>
        <w:rPr>
          <w:rFonts w:ascii="Arial" w:cs="Arial" w:eastAsia="Arial" w:hAnsi="Arial"/>
          <w:b w:val="false"/>
          <w:bCs w:val="false"/>
          <w:i w:val="false"/>
          <w:iCs w:val="false"/>
          <w:sz w:val="22"/>
          <w:szCs w:val="22"/>
        </w:rPr>
        <w:t xml:space="preserve">3.2 How It Works</w:t>
      </w:r>
    </w:p>
    <w:p>
      <w:pPr>
        <w:pStyle w:val="ListParagraph"/>
        <w:numPr>
          <w:ilvl w:val="0"/>
          <w:numId w:val="1"/>
        </w:numPr>
        <w:spacing w:after="60"/>
      </w:pPr>
      <w:r>
        <w:rPr>
          <w:rFonts w:ascii="Arial" w:cs="Arial" w:eastAsia="Arial" w:hAnsi="Arial"/>
          <w:sz w:val="22"/>
          <w:szCs w:val="22"/>
        </w:rPr>
        <w:t xml:space="preserve">User asks AskAdil a legal question (e.g., “I need help with an Islamic will”).</w:t>
      </w:r>
    </w:p>
    <w:p>
      <w:pPr>
        <w:pStyle w:val="ListParagraph"/>
        <w:numPr>
          <w:ilvl w:val="0"/>
          <w:numId w:val="1"/>
        </w:numPr>
        <w:spacing w:after="60"/>
      </w:pPr>
      <w:r>
        <w:rPr>
          <w:rFonts w:ascii="Arial" w:cs="Arial" w:eastAsia="Arial" w:hAnsi="Arial"/>
          <w:sz w:val="22"/>
          <w:szCs w:val="22"/>
        </w:rPr>
        <w:t xml:space="preserve">AskAdil provides general legal information and guidance from its knowledge base.</w:t>
      </w:r>
    </w:p>
    <w:p>
      <w:pPr>
        <w:pStyle w:val="ListParagraph"/>
        <w:numPr>
          <w:ilvl w:val="0"/>
          <w:numId w:val="1"/>
        </w:numPr>
        <w:spacing w:after="60"/>
      </w:pPr>
      <w:r>
        <w:rPr>
          <w:rFonts w:ascii="Arial" w:cs="Arial" w:eastAsia="Arial" w:hAnsi="Arial"/>
          <w:sz w:val="22"/>
          <w:szCs w:val="22"/>
        </w:rPr>
        <w:t xml:space="preserve">AskAdil recommends relevant solicitors from the directory, with profile summaries.</w:t>
      </w:r>
    </w:p>
    <w:p>
      <w:pPr>
        <w:pStyle w:val="ListParagraph"/>
        <w:numPr>
          <w:ilvl w:val="0"/>
          <w:numId w:val="1"/>
        </w:numPr>
        <w:spacing w:after="60"/>
      </w:pPr>
      <w:r>
        <w:rPr>
          <w:rFonts w:ascii="Arial" w:cs="Arial" w:eastAsia="Arial" w:hAnsi="Arial"/>
          <w:sz w:val="22"/>
          <w:szCs w:val="22"/>
        </w:rPr>
        <w:t xml:space="preserve">User contacts the solicitor directly (AskAdil facilitates the connection, not the legal advice).</w:t>
      </w:r>
    </w:p>
    <w:p>
      <w:pPr>
        <w:spacing w:after="60"/>
      </w:pPr>
    </w:p>
    <w:p>
      <w:pPr>
        <w:pStyle w:val="Heading2"/>
        <w:spacing w:after="120"/>
        <w:jc w:val="left"/>
      </w:pPr>
      <w:r>
        <w:rPr>
          <w:rFonts w:ascii="Arial" w:cs="Arial" w:eastAsia="Arial" w:hAnsi="Arial"/>
          <w:b w:val="false"/>
          <w:bCs w:val="false"/>
          <w:i w:val="false"/>
          <w:iCs w:val="false"/>
          <w:sz w:val="22"/>
          <w:szCs w:val="22"/>
        </w:rPr>
        <w:t xml:space="preserve">3.3 Outreach Approach</w:t>
      </w:r>
    </w:p>
    <w:p>
      <w:pPr>
        <w:pStyle w:val="ListParagraph"/>
        <w:numPr>
          <w:ilvl w:val="0"/>
          <w:numId w:val="1"/>
        </w:numPr>
        <w:spacing w:after="60"/>
      </w:pPr>
      <w:r>
        <w:rPr>
          <w:rFonts w:ascii="Arial" w:cs="Arial" w:eastAsia="Arial" w:hAnsi="Arial"/>
          <w:sz w:val="22"/>
          <w:szCs w:val="22"/>
        </w:rPr>
        <w:t xml:space="preserve">AI-generated, human-reviewed personalised outreach emails sent via SendGrid.</w:t>
      </w:r>
    </w:p>
    <w:p>
      <w:pPr>
        <w:pStyle w:val="ListParagraph"/>
        <w:numPr>
          <w:ilvl w:val="0"/>
          <w:numId w:val="1"/>
        </w:numPr>
        <w:spacing w:after="60"/>
      </w:pPr>
      <w:r>
        <w:rPr>
          <w:rFonts w:ascii="Arial" w:cs="Arial" w:eastAsia="Arial" w:hAnsi="Arial"/>
          <w:sz w:val="22"/>
          <w:szCs w:val="22"/>
        </w:rPr>
        <w:t xml:space="preserve">Each email is tailored to the firm’s specialism and explains MCB’s AskAdil initiative.</w:t>
      </w:r>
    </w:p>
    <w:p>
      <w:pPr>
        <w:pStyle w:val="ListParagraph"/>
        <w:numPr>
          <w:ilvl w:val="0"/>
          <w:numId w:val="1"/>
        </w:numPr>
        <w:spacing w:after="60"/>
      </w:pPr>
      <w:r>
        <w:rPr>
          <w:rFonts w:ascii="Arial" w:cs="Arial" w:eastAsia="Arial" w:hAnsi="Arial"/>
          <w:sz w:val="22"/>
          <w:szCs w:val="22"/>
        </w:rPr>
        <w:t xml:space="preserve">Dry-run tested and validated — the outreach engine is built and ready for deployment.</w:t>
      </w:r>
    </w:p>
    <w:p>
      <w:pPr>
        <w:pStyle w:val="ListParagraph"/>
        <w:numPr>
          <w:ilvl w:val="0"/>
          <w:numId w:val="1"/>
        </w:numPr>
        <w:spacing w:after="60"/>
      </w:pPr>
      <w:r>
        <w:rPr>
          <w:rFonts w:ascii="Arial" w:cs="Arial" w:eastAsia="Arial" w:hAnsi="Arial"/>
          <w:sz w:val="22"/>
          <w:szCs w:val="22"/>
        </w:rPr>
        <w:t xml:space="preserve">Follow-up sequences for non-responders (max 2 follow-ups per firm).</w:t>
      </w:r>
    </w:p>
    <w:p>
      <w:pPr>
        <w:pStyle w:val="Heading1"/>
        <w:pageBreakBefore/>
        <w:spacing w:after="120"/>
        <w:jc w:val="left"/>
      </w:pPr>
      <w:r>
        <w:rPr>
          <w:rFonts w:ascii="Arial" w:cs="Arial" w:eastAsia="Arial" w:hAnsi="Arial"/>
          <w:b w:val="false"/>
          <w:bCs w:val="false"/>
          <w:i w:val="false"/>
          <w:iCs w:val="false"/>
          <w:sz w:val="22"/>
          <w:szCs w:val="22"/>
        </w:rPr>
        <w:t xml:space="preserve">4. Revenue Model &amp; Financial Projections</w:t>
      </w:r>
    </w:p>
    <w:p>
      <w:pPr>
        <w:spacing w:after="160"/>
        <w:jc w:val="left"/>
      </w:pPr>
      <w:r>
        <w:rPr>
          <w:rFonts w:ascii="Arial" w:cs="Arial" w:eastAsia="Arial" w:hAnsi="Arial"/>
          <w:b w:val="false"/>
          <w:bCs w:val="false"/>
          <w:i w:val="false"/>
          <w:iCs w:val="false"/>
          <w:sz w:val="22"/>
          <w:szCs w:val="22"/>
        </w:rPr>
        <w:t xml:space="preserve">The directory follows a phased monetisation strategy designed to build scale before introducing revenue streams.</w:t>
      </w:r>
    </w:p>
    <w:p>
      <w:pPr>
        <w:spacing w:after="60"/>
      </w:pPr>
    </w:p>
    <w:p>
      <w:pPr>
        <w:pStyle w:val="Heading2"/>
        <w:spacing w:after="120"/>
        <w:jc w:val="left"/>
      </w:pPr>
      <w:r>
        <w:rPr>
          <w:rFonts w:ascii="Arial" w:cs="Arial" w:eastAsia="Arial" w:hAnsi="Arial"/>
          <w:b w:val="false"/>
          <w:bCs w:val="false"/>
          <w:i w:val="false"/>
          <w:iCs w:val="false"/>
          <w:sz w:val="22"/>
          <w:szCs w:val="22"/>
        </w:rPr>
        <w:t xml:space="preserve">4.1 Phased Growth Plan</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gridCol w:w="100"/>
        <w:gridCol w:w="100"/>
      </w:tblGrid>
      <w:tr>
        <w:trPr>
          <w:tblHeader/>
        </w:trPr>
        <w:tc>
          <w:tcPr>
            <w:tcW w:type="pct" w:w="15%"/>
            <w:shd w:fill="14532D" w:val="clear"/>
            <w:vAlign w:val="center"/>
          </w:tcPr>
          <w:p>
            <w:pPr>
              <w:spacing w:after="40" w:before="40"/>
              <w:jc w:val="left"/>
            </w:pPr>
            <w:r>
              <w:rPr>
                <w:rFonts w:ascii="Arial" w:cs="Arial" w:eastAsia="Arial" w:hAnsi="Arial"/>
                <w:b/>
                <w:bCs/>
                <w:color w:val="FFFFFF"/>
                <w:sz w:val="20"/>
                <w:szCs w:val="20"/>
              </w:rPr>
              <w:t xml:space="preserve">Phase</w:t>
            </w:r>
          </w:p>
        </w:tc>
        <w:tc>
          <w:tcPr>
            <w:tcW w:type="pct" w:w="20%"/>
            <w:shd w:fill="14532D" w:val="clear"/>
            <w:vAlign w:val="center"/>
          </w:tcPr>
          <w:p>
            <w:pPr>
              <w:spacing w:after="40" w:before="40"/>
              <w:jc w:val="left"/>
            </w:pPr>
            <w:r>
              <w:rPr>
                <w:rFonts w:ascii="Arial" w:cs="Arial" w:eastAsia="Arial" w:hAnsi="Arial"/>
                <w:b/>
                <w:bCs/>
                <w:color w:val="FFFFFF"/>
                <w:sz w:val="20"/>
                <w:szCs w:val="20"/>
              </w:rPr>
              <w:t xml:space="preserve">Timeline</w:t>
            </w:r>
          </w:p>
        </w:tc>
        <w:tc>
          <w:tcPr>
            <w:tcW w:type="pct" w:w="15%"/>
            <w:shd w:fill="14532D" w:val="clear"/>
            <w:vAlign w:val="center"/>
          </w:tcPr>
          <w:p>
            <w:pPr>
              <w:spacing w:after="40" w:before="40"/>
              <w:jc w:val="left"/>
            </w:pPr>
            <w:r>
              <w:rPr>
                <w:rFonts w:ascii="Arial" w:cs="Arial" w:eastAsia="Arial" w:hAnsi="Arial"/>
                <w:b/>
                <w:bCs/>
                <w:color w:val="FFFFFF"/>
                <w:sz w:val="20"/>
                <w:szCs w:val="20"/>
              </w:rPr>
              <w:t xml:space="preserve">Listed Firms</w:t>
            </w:r>
          </w:p>
        </w:tc>
        <w:tc>
          <w:tcPr>
            <w:tcW w:type="pct" w:w="15%"/>
            <w:shd w:fill="14532D" w:val="clear"/>
            <w:vAlign w:val="center"/>
          </w:tcPr>
          <w:p>
            <w:pPr>
              <w:spacing w:after="40" w:before="40"/>
              <w:jc w:val="left"/>
            </w:pPr>
            <w:r>
              <w:rPr>
                <w:rFonts w:ascii="Arial" w:cs="Arial" w:eastAsia="Arial" w:hAnsi="Arial"/>
                <w:b/>
                <w:bCs/>
                <w:color w:val="FFFFFF"/>
                <w:sz w:val="20"/>
                <w:szCs w:val="20"/>
              </w:rPr>
              <w:t xml:space="preserve">Revenue</w:t>
            </w:r>
          </w:p>
        </w:tc>
        <w:tc>
          <w:tcPr>
            <w:tcW w:type="pct" w:w="35%"/>
            <w:shd w:fill="14532D" w:val="clear"/>
            <w:vAlign w:val="center"/>
          </w:tcPr>
          <w:p>
            <w:pPr>
              <w:spacing w:after="40" w:before="40"/>
              <w:jc w:val="left"/>
            </w:pPr>
            <w:r>
              <w:rPr>
                <w:rFonts w:ascii="Arial" w:cs="Arial" w:eastAsia="Arial" w:hAnsi="Arial"/>
                <w:b/>
                <w:bCs/>
                <w:color w:val="FFFFFF"/>
                <w:sz w:val="20"/>
                <w:szCs w:val="20"/>
              </w:rPr>
              <w:t xml:space="preserve">Strategy</w:t>
            </w:r>
          </w:p>
        </w:tc>
      </w:tr>
      <w:tr>
        <w:tc>
          <w:tcPr>
            <w:tcW w:type="pct" w:w="15%"/>
            <w:vAlign w:val="center"/>
          </w:tcPr>
          <w:p>
            <w:pPr>
              <w:spacing w:after="40" w:before="40"/>
              <w:jc w:val="left"/>
            </w:pPr>
            <w:r>
              <w:rPr>
                <w:rFonts w:ascii="Arial" w:cs="Arial" w:eastAsia="Arial" w:hAnsi="Arial"/>
                <w:b w:val="false"/>
                <w:bCs w:val="false"/>
                <w:sz w:val="20"/>
                <w:szCs w:val="20"/>
              </w:rPr>
              <w:t xml:space="preserve">Free</w:t>
            </w:r>
          </w:p>
        </w:tc>
        <w:tc>
          <w:tcPr>
            <w:tcW w:type="pct" w:w="20%"/>
            <w:vAlign w:val="center"/>
          </w:tcPr>
          <w:p>
            <w:pPr>
              <w:spacing w:after="40" w:before="40"/>
              <w:jc w:val="left"/>
            </w:pPr>
            <w:r>
              <w:rPr>
                <w:rFonts w:ascii="Arial" w:cs="Arial" w:eastAsia="Arial" w:hAnsi="Arial"/>
                <w:b w:val="false"/>
                <w:bCs w:val="false"/>
                <w:sz w:val="20"/>
                <w:szCs w:val="20"/>
              </w:rPr>
              <w:t xml:space="preserve">Now – Q3 2026</w:t>
            </w:r>
          </w:p>
        </w:tc>
        <w:tc>
          <w:tcPr>
            <w:tcW w:type="pct" w:w="15%"/>
            <w:vAlign w:val="center"/>
          </w:tcPr>
          <w:p>
            <w:pPr>
              <w:spacing w:after="40" w:before="40"/>
              <w:jc w:val="left"/>
            </w:pPr>
            <w:r>
              <w:rPr>
                <w:rFonts w:ascii="Arial" w:cs="Arial" w:eastAsia="Arial" w:hAnsi="Arial"/>
                <w:b w:val="false"/>
                <w:bCs w:val="false"/>
                <w:sz w:val="20"/>
                <w:szCs w:val="20"/>
              </w:rPr>
              <w:t xml:space="preserve">25–50</w:t>
            </w:r>
          </w:p>
        </w:tc>
        <w:tc>
          <w:tcPr>
            <w:tcW w:type="pct" w:w="15%"/>
            <w:vAlign w:val="center"/>
          </w:tcPr>
          <w:p>
            <w:pPr>
              <w:spacing w:after="40" w:before="40"/>
              <w:jc w:val="left"/>
            </w:pPr>
            <w:r>
              <w:rPr>
                <w:rFonts w:ascii="Arial" w:cs="Arial" w:eastAsia="Arial" w:hAnsi="Arial"/>
                <w:b w:val="false"/>
                <w:bCs w:val="false"/>
                <w:sz w:val="20"/>
                <w:szCs w:val="20"/>
              </w:rPr>
              <w:t xml:space="preserve">£0</w:t>
            </w:r>
          </w:p>
        </w:tc>
        <w:tc>
          <w:tcPr>
            <w:tcW w:type="pct" w:w="35%"/>
            <w:vAlign w:val="center"/>
          </w:tcPr>
          <w:p>
            <w:pPr>
              <w:spacing w:after="40" w:before="40"/>
              <w:jc w:val="left"/>
            </w:pPr>
            <w:r>
              <w:rPr>
                <w:rFonts w:ascii="Arial" w:cs="Arial" w:eastAsia="Arial" w:hAnsi="Arial"/>
                <w:b w:val="false"/>
                <w:bCs w:val="false"/>
                <w:sz w:val="20"/>
                <w:szCs w:val="20"/>
              </w:rPr>
              <w:t xml:space="preserve">Build scale and trust</w:t>
            </w:r>
          </w:p>
        </w:tc>
      </w:tr>
      <w:tr>
        <w:tc>
          <w:tcPr>
            <w:tcW w:type="pct" w:w="15%"/>
            <w:shd w:fill="F2F2F2" w:val="clear"/>
            <w:vAlign w:val="center"/>
          </w:tcPr>
          <w:p>
            <w:pPr>
              <w:spacing w:after="40" w:before="40"/>
              <w:jc w:val="left"/>
            </w:pPr>
            <w:r>
              <w:rPr>
                <w:rFonts w:ascii="Arial" w:cs="Arial" w:eastAsia="Arial" w:hAnsi="Arial"/>
                <w:b w:val="false"/>
                <w:bCs w:val="false"/>
                <w:sz w:val="20"/>
                <w:szCs w:val="20"/>
              </w:rPr>
              <w:t xml:space="preserve">Freemium</w:t>
            </w:r>
          </w:p>
        </w:tc>
        <w:tc>
          <w:tcPr>
            <w:tcW w:type="pct" w:w="20%"/>
            <w:shd w:fill="F2F2F2" w:val="clear"/>
            <w:vAlign w:val="center"/>
          </w:tcPr>
          <w:p>
            <w:pPr>
              <w:spacing w:after="40" w:before="40"/>
              <w:jc w:val="left"/>
            </w:pPr>
            <w:r>
              <w:rPr>
                <w:rFonts w:ascii="Arial" w:cs="Arial" w:eastAsia="Arial" w:hAnsi="Arial"/>
                <w:b w:val="false"/>
                <w:bCs w:val="false"/>
                <w:sz w:val="20"/>
                <w:szCs w:val="20"/>
              </w:rPr>
              <w:t xml:space="preserve">Q3 2026 – Q1 2027</w:t>
            </w:r>
          </w:p>
        </w:tc>
        <w:tc>
          <w:tcPr>
            <w:tcW w:type="pct" w:w="15%"/>
            <w:shd w:fill="F2F2F2" w:val="clear"/>
            <w:vAlign w:val="center"/>
          </w:tcPr>
          <w:p>
            <w:pPr>
              <w:spacing w:after="40" w:before="40"/>
              <w:jc w:val="left"/>
            </w:pPr>
            <w:r>
              <w:rPr>
                <w:rFonts w:ascii="Arial" w:cs="Arial" w:eastAsia="Arial" w:hAnsi="Arial"/>
                <w:b w:val="false"/>
                <w:bCs w:val="false"/>
                <w:sz w:val="20"/>
                <w:szCs w:val="20"/>
              </w:rPr>
              <w:t xml:space="preserve">50–150</w:t>
            </w:r>
          </w:p>
        </w:tc>
        <w:tc>
          <w:tcPr>
            <w:tcW w:type="pct" w:w="15%"/>
            <w:shd w:fill="F2F2F2" w:val="clear"/>
            <w:vAlign w:val="center"/>
          </w:tcPr>
          <w:p>
            <w:pPr>
              <w:spacing w:after="40" w:before="40"/>
              <w:jc w:val="left"/>
            </w:pPr>
            <w:r>
              <w:rPr>
                <w:rFonts w:ascii="Arial" w:cs="Arial" w:eastAsia="Arial" w:hAnsi="Arial"/>
                <w:b w:val="false"/>
                <w:bCs w:val="false"/>
                <w:sz w:val="20"/>
                <w:szCs w:val="20"/>
              </w:rPr>
              <w:t xml:space="preserve">£23K/yr</w:t>
            </w:r>
          </w:p>
        </w:tc>
        <w:tc>
          <w:tcPr>
            <w:tcW w:type="pct" w:w="35%"/>
            <w:shd w:fill="F2F2F2" w:val="clear"/>
            <w:vAlign w:val="center"/>
          </w:tcPr>
          <w:p>
            <w:pPr>
              <w:spacing w:after="40" w:before="40"/>
              <w:jc w:val="left"/>
            </w:pPr>
            <w:r>
              <w:rPr>
                <w:rFonts w:ascii="Arial" w:cs="Arial" w:eastAsia="Arial" w:hAnsi="Arial"/>
                <w:b w:val="false"/>
                <w:bCs w:val="false"/>
                <w:sz w:val="20"/>
                <w:szCs w:val="20"/>
              </w:rPr>
              <w:t xml:space="preserve">Premium listings £49–149/mo</w:t>
            </w:r>
          </w:p>
        </w:tc>
      </w:tr>
      <w:tr>
        <w:tc>
          <w:tcPr>
            <w:tcW w:type="pct" w:w="15%"/>
            <w:vAlign w:val="center"/>
          </w:tcPr>
          <w:p>
            <w:pPr>
              <w:spacing w:after="40" w:before="40"/>
              <w:jc w:val="left"/>
            </w:pPr>
            <w:r>
              <w:rPr>
                <w:rFonts w:ascii="Arial" w:cs="Arial" w:eastAsia="Arial" w:hAnsi="Arial"/>
                <w:b w:val="false"/>
                <w:bCs w:val="false"/>
                <w:sz w:val="20"/>
                <w:szCs w:val="20"/>
              </w:rPr>
              <w:t xml:space="preserve">Growth</w:t>
            </w:r>
          </w:p>
        </w:tc>
        <w:tc>
          <w:tcPr>
            <w:tcW w:type="pct" w:w="20%"/>
            <w:vAlign w:val="center"/>
          </w:tcPr>
          <w:p>
            <w:pPr>
              <w:spacing w:after="40" w:before="40"/>
              <w:jc w:val="left"/>
            </w:pPr>
            <w:r>
              <w:rPr>
                <w:rFonts w:ascii="Arial" w:cs="Arial" w:eastAsia="Arial" w:hAnsi="Arial"/>
                <w:b w:val="false"/>
                <w:bCs w:val="false"/>
                <w:sz w:val="20"/>
                <w:szCs w:val="20"/>
              </w:rPr>
              <w:t xml:space="preserve">Q1 2027 – Q3 2027</w:t>
            </w:r>
          </w:p>
        </w:tc>
        <w:tc>
          <w:tcPr>
            <w:tcW w:type="pct" w:w="15%"/>
            <w:vAlign w:val="center"/>
          </w:tcPr>
          <w:p>
            <w:pPr>
              <w:spacing w:after="40" w:before="40"/>
              <w:jc w:val="left"/>
            </w:pPr>
            <w:r>
              <w:rPr>
                <w:rFonts w:ascii="Arial" w:cs="Arial" w:eastAsia="Arial" w:hAnsi="Arial"/>
                <w:b w:val="false"/>
                <w:bCs w:val="false"/>
                <w:sz w:val="20"/>
                <w:szCs w:val="20"/>
              </w:rPr>
              <w:t xml:space="preserve">150–400</w:t>
            </w:r>
          </w:p>
        </w:tc>
        <w:tc>
          <w:tcPr>
            <w:tcW w:type="pct" w:w="15%"/>
            <w:vAlign w:val="center"/>
          </w:tcPr>
          <w:p>
            <w:pPr>
              <w:spacing w:after="40" w:before="40"/>
              <w:jc w:val="left"/>
            </w:pPr>
            <w:r>
              <w:rPr>
                <w:rFonts w:ascii="Arial" w:cs="Arial" w:eastAsia="Arial" w:hAnsi="Arial"/>
                <w:b w:val="false"/>
                <w:bCs w:val="false"/>
                <w:sz w:val="20"/>
                <w:szCs w:val="20"/>
              </w:rPr>
              <w:t xml:space="preserve">£91K/yr</w:t>
            </w:r>
          </w:p>
        </w:tc>
        <w:tc>
          <w:tcPr>
            <w:tcW w:type="pct" w:w="35%"/>
            <w:vAlign w:val="center"/>
          </w:tcPr>
          <w:p>
            <w:pPr>
              <w:spacing w:after="40" w:before="40"/>
              <w:jc w:val="left"/>
            </w:pPr>
            <w:r>
              <w:rPr>
                <w:rFonts w:ascii="Arial" w:cs="Arial" w:eastAsia="Arial" w:hAnsi="Arial"/>
                <w:b w:val="false"/>
                <w:bCs w:val="false"/>
                <w:sz w:val="20"/>
                <w:szCs w:val="20"/>
              </w:rPr>
              <w:t xml:space="preserve">Subscriptions + lead gen</w:t>
            </w:r>
          </w:p>
        </w:tc>
      </w:tr>
      <w:tr>
        <w:tc>
          <w:tcPr>
            <w:tcW w:type="pct" w:w="15%"/>
            <w:shd w:fill="F2F2F2" w:val="clear"/>
            <w:vAlign w:val="center"/>
          </w:tcPr>
          <w:p>
            <w:pPr>
              <w:spacing w:after="40" w:before="40"/>
              <w:jc w:val="left"/>
            </w:pPr>
            <w:r>
              <w:rPr>
                <w:rFonts w:ascii="Arial" w:cs="Arial" w:eastAsia="Arial" w:hAnsi="Arial"/>
                <w:b w:val="false"/>
                <w:bCs w:val="false"/>
                <w:sz w:val="20"/>
                <w:szCs w:val="20"/>
              </w:rPr>
              <w:t xml:space="preserve">Maturity</w:t>
            </w:r>
          </w:p>
        </w:tc>
        <w:tc>
          <w:tcPr>
            <w:tcW w:type="pct" w:w="20%"/>
            <w:shd w:fill="F2F2F2" w:val="clear"/>
            <w:vAlign w:val="center"/>
          </w:tcPr>
          <w:p>
            <w:pPr>
              <w:spacing w:after="40" w:before="40"/>
              <w:jc w:val="left"/>
            </w:pPr>
            <w:r>
              <w:rPr>
                <w:rFonts w:ascii="Arial" w:cs="Arial" w:eastAsia="Arial" w:hAnsi="Arial"/>
                <w:b w:val="false"/>
                <w:bCs w:val="false"/>
                <w:sz w:val="20"/>
                <w:szCs w:val="20"/>
              </w:rPr>
              <w:t xml:space="preserve">2028+</w:t>
            </w:r>
          </w:p>
        </w:tc>
        <w:tc>
          <w:tcPr>
            <w:tcW w:type="pct" w:w="15%"/>
            <w:shd w:fill="F2F2F2" w:val="clear"/>
            <w:vAlign w:val="center"/>
          </w:tcPr>
          <w:p>
            <w:pPr>
              <w:spacing w:after="40" w:before="40"/>
              <w:jc w:val="left"/>
            </w:pPr>
            <w:r>
              <w:rPr>
                <w:rFonts w:ascii="Arial" w:cs="Arial" w:eastAsia="Arial" w:hAnsi="Arial"/>
                <w:b w:val="false"/>
                <w:bCs w:val="false"/>
                <w:sz w:val="20"/>
                <w:szCs w:val="20"/>
              </w:rPr>
              <w:t xml:space="preserve">1,000+</w:t>
            </w:r>
          </w:p>
        </w:tc>
        <w:tc>
          <w:tcPr>
            <w:tcW w:type="pct" w:w="15%"/>
            <w:shd w:fill="F2F2F2" w:val="clear"/>
            <w:vAlign w:val="center"/>
          </w:tcPr>
          <w:p>
            <w:pPr>
              <w:spacing w:after="40" w:before="40"/>
              <w:jc w:val="left"/>
            </w:pPr>
            <w:r>
              <w:rPr>
                <w:rFonts w:ascii="Arial" w:cs="Arial" w:eastAsia="Arial" w:hAnsi="Arial"/>
                <w:b w:val="false"/>
                <w:bCs w:val="false"/>
                <w:sz w:val="20"/>
                <w:szCs w:val="20"/>
              </w:rPr>
              <w:t xml:space="preserve">£250–350K/yr</w:t>
            </w:r>
          </w:p>
        </w:tc>
        <w:tc>
          <w:tcPr>
            <w:tcW w:type="pct" w:w="35%"/>
            <w:shd w:fill="F2F2F2" w:val="clear"/>
            <w:vAlign w:val="center"/>
          </w:tcPr>
          <w:p>
            <w:pPr>
              <w:spacing w:after="40" w:before="40"/>
              <w:jc w:val="left"/>
            </w:pPr>
            <w:r>
              <w:rPr>
                <w:rFonts w:ascii="Arial" w:cs="Arial" w:eastAsia="Arial" w:hAnsi="Arial"/>
                <w:b w:val="false"/>
                <w:bCs w:val="false"/>
                <w:sz w:val="20"/>
                <w:szCs w:val="20"/>
              </w:rPr>
              <w:t xml:space="preserve">All revenue streams</w:t>
            </w:r>
          </w:p>
        </w:tc>
      </w:tr>
    </w:tbl>
    <w:p>
      <w:pPr>
        <w:spacing w:after="60"/>
      </w:pPr>
    </w:p>
    <w:p>
      <w:pPr>
        <w:spacing w:after="60"/>
      </w:pPr>
    </w:p>
    <w:p>
      <w:pPr>
        <w:pStyle w:val="Heading2"/>
        <w:spacing w:after="120"/>
        <w:jc w:val="left"/>
      </w:pPr>
      <w:r>
        <w:rPr>
          <w:rFonts w:ascii="Arial" w:cs="Arial" w:eastAsia="Arial" w:hAnsi="Arial"/>
          <w:b w:val="false"/>
          <w:bCs w:val="false"/>
          <w:i w:val="false"/>
          <w:iCs w:val="false"/>
          <w:sz w:val="22"/>
          <w:szCs w:val="22"/>
        </w:rPr>
        <w:t xml:space="preserve">4.2 Revenue Streams Breakdown (at Maturity)</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tblGrid>
      <w:tr>
        <w:trPr>
          <w:tblHeader/>
        </w:trPr>
        <w:tc>
          <w:tcPr>
            <w:tcW w:type="pct" w:w="25%"/>
            <w:shd w:fill="14532D" w:val="clear"/>
            <w:vAlign w:val="center"/>
          </w:tcPr>
          <w:p>
            <w:pPr>
              <w:spacing w:after="40" w:before="40"/>
              <w:jc w:val="left"/>
            </w:pPr>
            <w:r>
              <w:rPr>
                <w:rFonts w:ascii="Arial" w:cs="Arial" w:eastAsia="Arial" w:hAnsi="Arial"/>
                <w:b/>
                <w:bCs/>
                <w:color w:val="FFFFFF"/>
                <w:sz w:val="20"/>
                <w:szCs w:val="20"/>
              </w:rPr>
              <w:t xml:space="preserve">Revenue Stream</w:t>
            </w:r>
          </w:p>
        </w:tc>
        <w:tc>
          <w:tcPr>
            <w:tcW w:type="pct" w:w="15%"/>
            <w:shd w:fill="14532D" w:val="clear"/>
            <w:vAlign w:val="center"/>
          </w:tcPr>
          <w:p>
            <w:pPr>
              <w:spacing w:after="40" w:before="40"/>
              <w:jc w:val="left"/>
            </w:pPr>
            <w:r>
              <w:rPr>
                <w:rFonts w:ascii="Arial" w:cs="Arial" w:eastAsia="Arial" w:hAnsi="Arial"/>
                <w:b/>
                <w:bCs/>
                <w:color w:val="FFFFFF"/>
                <w:sz w:val="20"/>
                <w:szCs w:val="20"/>
              </w:rPr>
              <w:t xml:space="preserve">% of Revenue</w:t>
            </w:r>
          </w:p>
        </w:tc>
        <w:tc>
          <w:tcPr>
            <w:tcW w:type="pct" w:w="60%"/>
            <w:shd w:fill="14532D" w:val="clear"/>
            <w:vAlign w:val="center"/>
          </w:tcPr>
          <w:p>
            <w:pPr>
              <w:spacing w:after="40" w:before="40"/>
              <w:jc w:val="left"/>
            </w:pPr>
            <w:r>
              <w:rPr>
                <w:rFonts w:ascii="Arial" w:cs="Arial" w:eastAsia="Arial" w:hAnsi="Arial"/>
                <w:b/>
                <w:bCs/>
                <w:color w:val="FFFFFF"/>
                <w:sz w:val="20"/>
                <w:szCs w:val="20"/>
              </w:rPr>
              <w:t xml:space="preserve">Description</w:t>
            </w:r>
          </w:p>
        </w:tc>
      </w:tr>
      <w:tr>
        <w:tc>
          <w:tcPr>
            <w:tcW w:type="pct" w:w="25%"/>
            <w:vAlign w:val="center"/>
          </w:tcPr>
          <w:p>
            <w:pPr>
              <w:spacing w:after="40" w:before="40"/>
              <w:jc w:val="left"/>
            </w:pPr>
            <w:r>
              <w:rPr>
                <w:rFonts w:ascii="Arial" w:cs="Arial" w:eastAsia="Arial" w:hAnsi="Arial"/>
                <w:b w:val="false"/>
                <w:bCs w:val="false"/>
                <w:sz w:val="20"/>
                <w:szCs w:val="20"/>
              </w:rPr>
              <w:t xml:space="preserve">Premium Subscriptions</w:t>
            </w:r>
          </w:p>
        </w:tc>
        <w:tc>
          <w:tcPr>
            <w:tcW w:type="pct" w:w="15%"/>
            <w:vAlign w:val="center"/>
          </w:tcPr>
          <w:p>
            <w:pPr>
              <w:spacing w:after="40" w:before="40"/>
              <w:jc w:val="left"/>
            </w:pPr>
            <w:r>
              <w:rPr>
                <w:rFonts w:ascii="Arial" w:cs="Arial" w:eastAsia="Arial" w:hAnsi="Arial"/>
                <w:b w:val="false"/>
                <w:bCs w:val="false"/>
                <w:sz w:val="20"/>
                <w:szCs w:val="20"/>
              </w:rPr>
              <w:t xml:space="preserve">45%</w:t>
            </w:r>
          </w:p>
        </w:tc>
        <w:tc>
          <w:tcPr>
            <w:tcW w:type="pct" w:w="60%"/>
            <w:vAlign w:val="center"/>
          </w:tcPr>
          <w:p>
            <w:pPr>
              <w:spacing w:after="40" w:before="40"/>
              <w:jc w:val="left"/>
            </w:pPr>
            <w:r>
              <w:rPr>
                <w:rFonts w:ascii="Arial" w:cs="Arial" w:eastAsia="Arial" w:hAnsi="Arial"/>
                <w:b w:val="false"/>
                <w:bCs w:val="false"/>
                <w:sz w:val="20"/>
                <w:szCs w:val="20"/>
              </w:rPr>
              <w:t xml:space="preserve">Enhanced profiles, analytics dashboard, MCB Verified badge, priority placement</w:t>
            </w:r>
          </w:p>
        </w:tc>
      </w:tr>
      <w:tr>
        <w:tc>
          <w:tcPr>
            <w:tcW w:type="pct" w:w="25%"/>
            <w:shd w:fill="F2F2F2" w:val="clear"/>
            <w:vAlign w:val="center"/>
          </w:tcPr>
          <w:p>
            <w:pPr>
              <w:spacing w:after="40" w:before="40"/>
              <w:jc w:val="left"/>
            </w:pPr>
            <w:r>
              <w:rPr>
                <w:rFonts w:ascii="Arial" w:cs="Arial" w:eastAsia="Arial" w:hAnsi="Arial"/>
                <w:b w:val="false"/>
                <w:bCs w:val="false"/>
                <w:sz w:val="20"/>
                <w:szCs w:val="20"/>
              </w:rPr>
              <w:t xml:space="preserve">Lead Generation</w:t>
            </w:r>
          </w:p>
        </w:tc>
        <w:tc>
          <w:tcPr>
            <w:tcW w:type="pct" w:w="15%"/>
            <w:shd w:fill="F2F2F2" w:val="clear"/>
            <w:vAlign w:val="center"/>
          </w:tcPr>
          <w:p>
            <w:pPr>
              <w:spacing w:after="40" w:before="40"/>
              <w:jc w:val="left"/>
            </w:pPr>
            <w:r>
              <w:rPr>
                <w:rFonts w:ascii="Arial" w:cs="Arial" w:eastAsia="Arial" w:hAnsi="Arial"/>
                <w:b w:val="false"/>
                <w:bCs w:val="false"/>
                <w:sz w:val="20"/>
                <w:szCs w:val="20"/>
              </w:rPr>
              <w:t xml:space="preserve">25%</w:t>
            </w:r>
          </w:p>
        </w:tc>
        <w:tc>
          <w:tcPr>
            <w:tcW w:type="pct" w:w="60%"/>
            <w:shd w:fill="F2F2F2" w:val="clear"/>
            <w:vAlign w:val="center"/>
          </w:tcPr>
          <w:p>
            <w:pPr>
              <w:spacing w:after="40" w:before="40"/>
              <w:jc w:val="left"/>
            </w:pPr>
            <w:r>
              <w:rPr>
                <w:rFonts w:ascii="Arial" w:cs="Arial" w:eastAsia="Arial" w:hAnsi="Arial"/>
                <w:b w:val="false"/>
                <w:bCs w:val="false"/>
                <w:sz w:val="20"/>
                <w:szCs w:val="20"/>
              </w:rPr>
              <w:t xml:space="preserve">£5–25 per qualified enquiry passed to solicitors (excluding cases with a PI element — see section 7.1)</w:t>
            </w:r>
          </w:p>
        </w:tc>
      </w:tr>
      <w:tr>
        <w:tc>
          <w:tcPr>
            <w:tcW w:type="pct" w:w="25%"/>
            <w:vAlign w:val="center"/>
          </w:tcPr>
          <w:p>
            <w:pPr>
              <w:spacing w:after="40" w:before="40"/>
              <w:jc w:val="left"/>
            </w:pPr>
            <w:r>
              <w:rPr>
                <w:rFonts w:ascii="Arial" w:cs="Arial" w:eastAsia="Arial" w:hAnsi="Arial"/>
                <w:b w:val="false"/>
                <w:bCs w:val="false"/>
                <w:sz w:val="20"/>
                <w:szCs w:val="20"/>
              </w:rPr>
              <w:t xml:space="preserve">Sponsored Content</w:t>
            </w:r>
          </w:p>
        </w:tc>
        <w:tc>
          <w:tcPr>
            <w:tcW w:type="pct" w:w="15%"/>
            <w:vAlign w:val="center"/>
          </w:tcPr>
          <w:p>
            <w:pPr>
              <w:spacing w:after="40" w:before="40"/>
              <w:jc w:val="left"/>
            </w:pPr>
            <w:r>
              <w:rPr>
                <w:rFonts w:ascii="Arial" w:cs="Arial" w:eastAsia="Arial" w:hAnsi="Arial"/>
                <w:b w:val="false"/>
                <w:bCs w:val="false"/>
                <w:sz w:val="20"/>
                <w:szCs w:val="20"/>
              </w:rPr>
              <w:t xml:space="preserve">15%</w:t>
            </w:r>
          </w:p>
        </w:tc>
        <w:tc>
          <w:tcPr>
            <w:tcW w:type="pct" w:w="60%"/>
            <w:vAlign w:val="center"/>
          </w:tcPr>
          <w:p>
            <w:pPr>
              <w:spacing w:after="40" w:before="40"/>
              <w:jc w:val="left"/>
            </w:pPr>
            <w:r>
              <w:rPr>
                <w:rFonts w:ascii="Arial" w:cs="Arial" w:eastAsia="Arial" w:hAnsi="Arial"/>
                <w:b w:val="false"/>
                <w:bCs w:val="false"/>
                <w:sz w:val="20"/>
                <w:szCs w:val="20"/>
              </w:rPr>
              <w:t xml:space="preserve">Sponsored articles, newsletter placements, featured practice area guides</w:t>
            </w:r>
          </w:p>
        </w:tc>
      </w:tr>
      <w:tr>
        <w:tc>
          <w:tcPr>
            <w:tcW w:type="pct" w:w="25%"/>
            <w:shd w:fill="F2F2F2" w:val="clear"/>
            <w:vAlign w:val="center"/>
          </w:tcPr>
          <w:p>
            <w:pPr>
              <w:spacing w:after="40" w:before="40"/>
              <w:jc w:val="left"/>
            </w:pPr>
            <w:r>
              <w:rPr>
                <w:rFonts w:ascii="Arial" w:cs="Arial" w:eastAsia="Arial" w:hAnsi="Arial"/>
                <w:b w:val="false"/>
                <w:bCs w:val="false"/>
                <w:sz w:val="20"/>
                <w:szCs w:val="20"/>
              </w:rPr>
              <w:t xml:space="preserve">Events</w:t>
            </w:r>
          </w:p>
        </w:tc>
        <w:tc>
          <w:tcPr>
            <w:tcW w:type="pct" w:w="15%"/>
            <w:shd w:fill="F2F2F2" w:val="clear"/>
            <w:vAlign w:val="center"/>
          </w:tcPr>
          <w:p>
            <w:pPr>
              <w:spacing w:after="40" w:before="40"/>
              <w:jc w:val="left"/>
            </w:pPr>
            <w:r>
              <w:rPr>
                <w:rFonts w:ascii="Arial" w:cs="Arial" w:eastAsia="Arial" w:hAnsi="Arial"/>
                <w:b w:val="false"/>
                <w:bCs w:val="false"/>
                <w:sz w:val="20"/>
                <w:szCs w:val="20"/>
              </w:rPr>
              <w:t xml:space="preserve">10%</w:t>
            </w:r>
          </w:p>
        </w:tc>
        <w:tc>
          <w:tcPr>
            <w:tcW w:type="pct" w:w="60%"/>
            <w:shd w:fill="F2F2F2" w:val="clear"/>
            <w:vAlign w:val="center"/>
          </w:tcPr>
          <w:p>
            <w:pPr>
              <w:spacing w:after="40" w:before="40"/>
              <w:jc w:val="left"/>
            </w:pPr>
            <w:r>
              <w:rPr>
                <w:rFonts w:ascii="Arial" w:cs="Arial" w:eastAsia="Arial" w:hAnsi="Arial"/>
                <w:b w:val="false"/>
                <w:bCs w:val="false"/>
                <w:sz w:val="20"/>
                <w:szCs w:val="20"/>
              </w:rPr>
              <w:t xml:space="preserve">Webinars, community roadshows, annual Muslim Lawyers Conference</w:t>
            </w:r>
          </w:p>
        </w:tc>
      </w:tr>
      <w:tr>
        <w:tc>
          <w:tcPr>
            <w:tcW w:type="pct" w:w="25%"/>
            <w:vAlign w:val="center"/>
          </w:tcPr>
          <w:p>
            <w:pPr>
              <w:spacing w:after="40" w:before="40"/>
              <w:jc w:val="left"/>
            </w:pPr>
            <w:r>
              <w:rPr>
                <w:rFonts w:ascii="Arial" w:cs="Arial" w:eastAsia="Arial" w:hAnsi="Arial"/>
                <w:b w:val="false"/>
                <w:bCs w:val="false"/>
                <w:sz w:val="20"/>
                <w:szCs w:val="20"/>
              </w:rPr>
              <w:t xml:space="preserve">Data &amp; API</w:t>
            </w:r>
          </w:p>
        </w:tc>
        <w:tc>
          <w:tcPr>
            <w:tcW w:type="pct" w:w="15%"/>
            <w:vAlign w:val="center"/>
          </w:tcPr>
          <w:p>
            <w:pPr>
              <w:spacing w:after="40" w:before="40"/>
              <w:jc w:val="left"/>
            </w:pPr>
            <w:r>
              <w:rPr>
                <w:rFonts w:ascii="Arial" w:cs="Arial" w:eastAsia="Arial" w:hAnsi="Arial"/>
                <w:b w:val="false"/>
                <w:bCs w:val="false"/>
                <w:sz w:val="20"/>
                <w:szCs w:val="20"/>
              </w:rPr>
              <w:t xml:space="preserve">5%</w:t>
            </w:r>
          </w:p>
        </w:tc>
        <w:tc>
          <w:tcPr>
            <w:tcW w:type="pct" w:w="60%"/>
            <w:vAlign w:val="center"/>
          </w:tcPr>
          <w:p>
            <w:pPr>
              <w:spacing w:after="40" w:before="40"/>
              <w:jc w:val="left"/>
            </w:pPr>
            <w:r>
              <w:rPr>
                <w:rFonts w:ascii="Arial" w:cs="Arial" w:eastAsia="Arial" w:hAnsi="Arial"/>
                <w:b w:val="false"/>
                <w:bCs w:val="false"/>
                <w:sz w:val="20"/>
                <w:szCs w:val="20"/>
              </w:rPr>
              <w:t xml:space="preserve">Market intelligence reports, API licensing for third-party platforms</w:t>
            </w:r>
          </w:p>
        </w:tc>
      </w:tr>
    </w:tbl>
    <w:p>
      <w:pPr>
        <w:spacing w:after="60"/>
      </w:pPr>
    </w:p>
    <w:p>
      <w:pPr>
        <w:pStyle w:val="Heading2"/>
        <w:spacing w:after="120"/>
        <w:jc w:val="left"/>
      </w:pPr>
      <w:r>
        <w:rPr>
          <w:rFonts w:ascii="Arial" w:cs="Arial" w:eastAsia="Arial" w:hAnsi="Arial"/>
          <w:b w:val="false"/>
          <w:bCs w:val="false"/>
          <w:i w:val="false"/>
          <w:iCs w:val="false"/>
          <w:sz w:val="22"/>
          <w:szCs w:val="22"/>
        </w:rPr>
        <w:t xml:space="preserve">4.3 Revenue Scenarios (Sensitivity Analysis)</w:t>
      </w:r>
    </w:p>
    <w:p>
      <w:pPr>
        <w:spacing w:after="160"/>
        <w:jc w:val="left"/>
      </w:pPr>
      <w:r>
        <w:rPr>
          <w:rFonts w:ascii="Arial" w:cs="Arial" w:eastAsia="Arial" w:hAnsi="Arial"/>
          <w:b w:val="false"/>
          <w:bCs w:val="false"/>
          <w:i w:val="false"/>
          <w:iCs w:val="false"/>
          <w:sz w:val="22"/>
          <w:szCs w:val="22"/>
        </w:rPr>
        <w:t xml:space="preserve">The maturity-phase projection above represents the optimistic case. The following table presents three scenarios to give a more realistic range of outcomes.</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gridCol w:w="100"/>
      </w:tblGrid>
      <w:tr>
        <w:trPr>
          <w:tblHeader/>
        </w:trPr>
        <w:tc>
          <w:tcPr>
            <w:tcW w:type="pct" w:w="25%"/>
            <w:shd w:fill="14532D" w:val="clear"/>
            <w:vAlign w:val="center"/>
          </w:tcPr>
          <w:p>
            <w:pPr>
              <w:spacing w:after="40" w:before="40"/>
              <w:jc w:val="left"/>
            </w:pPr>
            <w:r>
              <w:rPr>
                <w:rFonts w:ascii="Arial" w:cs="Arial" w:eastAsia="Arial" w:hAnsi="Arial"/>
                <w:b/>
                <w:bCs/>
                <w:color w:val="FFFFFF"/>
                <w:sz w:val="20"/>
                <w:szCs w:val="20"/>
              </w:rPr>
              <w:t xml:space="preserve">Scenario</w:t>
            </w:r>
          </w:p>
        </w:tc>
        <w:tc>
          <w:tcPr>
            <w:tcW w:type="pct" w:w="25%"/>
            <w:shd w:fill="14532D" w:val="clear"/>
            <w:vAlign w:val="center"/>
          </w:tcPr>
          <w:p>
            <w:pPr>
              <w:spacing w:after="40" w:before="40"/>
              <w:jc w:val="left"/>
            </w:pPr>
            <w:r>
              <w:rPr>
                <w:rFonts w:ascii="Arial" w:cs="Arial" w:eastAsia="Arial" w:hAnsi="Arial"/>
                <w:b/>
                <w:bCs/>
                <w:color w:val="FFFFFF"/>
                <w:sz w:val="20"/>
                <w:szCs w:val="20"/>
              </w:rPr>
              <w:t xml:space="preserve">Firms at Maturity</w:t>
            </w:r>
          </w:p>
        </w:tc>
        <w:tc>
          <w:tcPr>
            <w:tcW w:type="pct" w:w="25%"/>
            <w:shd w:fill="14532D" w:val="clear"/>
            <w:vAlign w:val="center"/>
          </w:tcPr>
          <w:p>
            <w:pPr>
              <w:spacing w:after="40" w:before="40"/>
              <w:jc w:val="left"/>
            </w:pPr>
            <w:r>
              <w:rPr>
                <w:rFonts w:ascii="Arial" w:cs="Arial" w:eastAsia="Arial" w:hAnsi="Arial"/>
                <w:b/>
                <w:bCs/>
                <w:color w:val="FFFFFF"/>
                <w:sz w:val="20"/>
                <w:szCs w:val="20"/>
              </w:rPr>
              <w:t xml:space="preserve">Paid Conversion</w:t>
            </w:r>
          </w:p>
        </w:tc>
        <w:tc>
          <w:tcPr>
            <w:tcW w:type="pct" w:w="25%"/>
            <w:shd w:fill="14532D" w:val="clear"/>
            <w:vAlign w:val="center"/>
          </w:tcPr>
          <w:p>
            <w:pPr>
              <w:spacing w:after="40" w:before="40"/>
              <w:jc w:val="left"/>
            </w:pPr>
            <w:r>
              <w:rPr>
                <w:rFonts w:ascii="Arial" w:cs="Arial" w:eastAsia="Arial" w:hAnsi="Arial"/>
                <w:b/>
                <w:bCs/>
                <w:color w:val="FFFFFF"/>
                <w:sz w:val="20"/>
                <w:szCs w:val="20"/>
              </w:rPr>
              <w:t xml:space="preserve">Annual Revenue</w:t>
            </w:r>
          </w:p>
        </w:tc>
      </w:tr>
      <w:tr>
        <w:tc>
          <w:tcPr>
            <w:tcW w:type="pct" w:w="25%"/>
            <w:vAlign w:val="center"/>
          </w:tcPr>
          <w:p>
            <w:pPr>
              <w:spacing w:after="40" w:before="40"/>
              <w:jc w:val="left"/>
            </w:pPr>
            <w:r>
              <w:rPr>
                <w:rFonts w:ascii="Arial" w:cs="Arial" w:eastAsia="Arial" w:hAnsi="Arial"/>
                <w:b w:val="false"/>
                <w:bCs w:val="false"/>
                <w:sz w:val="20"/>
                <w:szCs w:val="20"/>
              </w:rPr>
              <w:t xml:space="preserve">Conservative</w:t>
            </w:r>
          </w:p>
        </w:tc>
        <w:tc>
          <w:tcPr>
            <w:tcW w:type="pct" w:w="25%"/>
            <w:vAlign w:val="center"/>
          </w:tcPr>
          <w:p>
            <w:pPr>
              <w:spacing w:after="40" w:before="40"/>
              <w:jc w:val="left"/>
            </w:pPr>
            <w:r>
              <w:rPr>
                <w:rFonts w:ascii="Arial" w:cs="Arial" w:eastAsia="Arial" w:hAnsi="Arial"/>
                <w:b w:val="false"/>
                <w:bCs w:val="false"/>
                <w:sz w:val="20"/>
                <w:szCs w:val="20"/>
              </w:rPr>
              <w:t xml:space="preserve">200 firms</w:t>
            </w:r>
          </w:p>
        </w:tc>
        <w:tc>
          <w:tcPr>
            <w:tcW w:type="pct" w:w="25%"/>
            <w:vAlign w:val="center"/>
          </w:tcPr>
          <w:p>
            <w:pPr>
              <w:spacing w:after="40" w:before="40"/>
              <w:jc w:val="left"/>
            </w:pPr>
            <w:r>
              <w:rPr>
                <w:rFonts w:ascii="Arial" w:cs="Arial" w:eastAsia="Arial" w:hAnsi="Arial"/>
                <w:b w:val="false"/>
                <w:bCs w:val="false"/>
                <w:sz w:val="20"/>
                <w:szCs w:val="20"/>
              </w:rPr>
              <w:t xml:space="preserve">10% paying (20)</w:t>
            </w:r>
          </w:p>
        </w:tc>
        <w:tc>
          <w:tcPr>
            <w:tcW w:type="pct" w:w="25%"/>
            <w:vAlign w:val="center"/>
          </w:tcPr>
          <w:p>
            <w:pPr>
              <w:spacing w:after="40" w:before="40"/>
              <w:jc w:val="left"/>
            </w:pPr>
            <w:r>
              <w:rPr>
                <w:rFonts w:ascii="Arial" w:cs="Arial" w:eastAsia="Arial" w:hAnsi="Arial"/>
                <w:b w:val="false"/>
                <w:bCs w:val="false"/>
                <w:sz w:val="20"/>
                <w:szCs w:val="20"/>
              </w:rPr>
              <w:t xml:space="preserve">£24K/yr</w:t>
            </w:r>
          </w:p>
        </w:tc>
      </w:tr>
      <w:tr>
        <w:tc>
          <w:tcPr>
            <w:tcW w:type="pct" w:w="25%"/>
            <w:shd w:fill="F2F2F2" w:val="clear"/>
            <w:vAlign w:val="center"/>
          </w:tcPr>
          <w:p>
            <w:pPr>
              <w:spacing w:after="40" w:before="40"/>
              <w:jc w:val="left"/>
            </w:pPr>
            <w:r>
              <w:rPr>
                <w:rFonts w:ascii="Arial" w:cs="Arial" w:eastAsia="Arial" w:hAnsi="Arial"/>
                <w:b w:val="false"/>
                <w:bCs w:val="false"/>
                <w:sz w:val="20"/>
                <w:szCs w:val="20"/>
              </w:rPr>
              <w:t xml:space="preserve">Base case</w:t>
            </w:r>
          </w:p>
        </w:tc>
        <w:tc>
          <w:tcPr>
            <w:tcW w:type="pct" w:w="25%"/>
            <w:shd w:fill="F2F2F2" w:val="clear"/>
            <w:vAlign w:val="center"/>
          </w:tcPr>
          <w:p>
            <w:pPr>
              <w:spacing w:after="40" w:before="40"/>
              <w:jc w:val="left"/>
            </w:pPr>
            <w:r>
              <w:rPr>
                <w:rFonts w:ascii="Arial" w:cs="Arial" w:eastAsia="Arial" w:hAnsi="Arial"/>
                <w:b w:val="false"/>
                <w:bCs w:val="false"/>
                <w:sz w:val="20"/>
                <w:szCs w:val="20"/>
              </w:rPr>
              <w:t xml:space="preserve">500 firms</w:t>
            </w:r>
          </w:p>
        </w:tc>
        <w:tc>
          <w:tcPr>
            <w:tcW w:type="pct" w:w="25%"/>
            <w:shd w:fill="F2F2F2" w:val="clear"/>
            <w:vAlign w:val="center"/>
          </w:tcPr>
          <w:p>
            <w:pPr>
              <w:spacing w:after="40" w:before="40"/>
              <w:jc w:val="left"/>
            </w:pPr>
            <w:r>
              <w:rPr>
                <w:rFonts w:ascii="Arial" w:cs="Arial" w:eastAsia="Arial" w:hAnsi="Arial"/>
                <w:b w:val="false"/>
                <w:bCs w:val="false"/>
                <w:sz w:val="20"/>
                <w:szCs w:val="20"/>
              </w:rPr>
              <w:t xml:space="preserve">15% paying (75)</w:t>
            </w:r>
          </w:p>
        </w:tc>
        <w:tc>
          <w:tcPr>
            <w:tcW w:type="pct" w:w="25%"/>
            <w:shd w:fill="F2F2F2" w:val="clear"/>
            <w:vAlign w:val="center"/>
          </w:tcPr>
          <w:p>
            <w:pPr>
              <w:spacing w:after="40" w:before="40"/>
              <w:jc w:val="left"/>
            </w:pPr>
            <w:r>
              <w:rPr>
                <w:rFonts w:ascii="Arial" w:cs="Arial" w:eastAsia="Arial" w:hAnsi="Arial"/>
                <w:b w:val="false"/>
                <w:bCs w:val="false"/>
                <w:sz w:val="20"/>
                <w:szCs w:val="20"/>
              </w:rPr>
              <w:t xml:space="preserve">£90K/yr</w:t>
            </w:r>
          </w:p>
        </w:tc>
      </w:tr>
      <w:tr>
        <w:tc>
          <w:tcPr>
            <w:tcW w:type="pct" w:w="25%"/>
            <w:vAlign w:val="center"/>
          </w:tcPr>
          <w:p>
            <w:pPr>
              <w:spacing w:after="40" w:before="40"/>
              <w:jc w:val="left"/>
            </w:pPr>
            <w:r>
              <w:rPr>
                <w:rFonts w:ascii="Arial" w:cs="Arial" w:eastAsia="Arial" w:hAnsi="Arial"/>
                <w:b w:val="false"/>
                <w:bCs w:val="false"/>
                <w:sz w:val="20"/>
                <w:szCs w:val="20"/>
              </w:rPr>
              <w:t xml:space="preserve">Optimistic</w:t>
            </w:r>
          </w:p>
        </w:tc>
        <w:tc>
          <w:tcPr>
            <w:tcW w:type="pct" w:w="25%"/>
            <w:vAlign w:val="center"/>
          </w:tcPr>
          <w:p>
            <w:pPr>
              <w:spacing w:after="40" w:before="40"/>
              <w:jc w:val="left"/>
            </w:pPr>
            <w:r>
              <w:rPr>
                <w:rFonts w:ascii="Arial" w:cs="Arial" w:eastAsia="Arial" w:hAnsi="Arial"/>
                <w:b w:val="false"/>
                <w:bCs w:val="false"/>
                <w:sz w:val="20"/>
                <w:szCs w:val="20"/>
              </w:rPr>
              <w:t xml:space="preserve">1,000 firms</w:t>
            </w:r>
          </w:p>
        </w:tc>
        <w:tc>
          <w:tcPr>
            <w:tcW w:type="pct" w:w="25%"/>
            <w:vAlign w:val="center"/>
          </w:tcPr>
          <w:p>
            <w:pPr>
              <w:spacing w:after="40" w:before="40"/>
              <w:jc w:val="left"/>
            </w:pPr>
            <w:r>
              <w:rPr>
                <w:rFonts w:ascii="Arial" w:cs="Arial" w:eastAsia="Arial" w:hAnsi="Arial"/>
                <w:b w:val="false"/>
                <w:bCs w:val="false"/>
                <w:sz w:val="20"/>
                <w:szCs w:val="20"/>
              </w:rPr>
              <w:t xml:space="preserve">20% paying (200)</w:t>
            </w:r>
          </w:p>
        </w:tc>
        <w:tc>
          <w:tcPr>
            <w:tcW w:type="pct" w:w="25%"/>
            <w:vAlign w:val="center"/>
          </w:tcPr>
          <w:p>
            <w:pPr>
              <w:spacing w:after="40" w:before="40"/>
              <w:jc w:val="left"/>
            </w:pPr>
            <w:r>
              <w:rPr>
                <w:rFonts w:ascii="Arial" w:cs="Arial" w:eastAsia="Arial" w:hAnsi="Arial"/>
                <w:b w:val="false"/>
                <w:bCs w:val="false"/>
                <w:sz w:val="20"/>
                <w:szCs w:val="20"/>
              </w:rPr>
              <w:t xml:space="preserve">£238K/yr</w:t>
            </w:r>
          </w:p>
        </w:tc>
      </w:tr>
    </w:tbl>
    <w:p>
      <w:pPr>
        <w:spacing w:after="60"/>
      </w:pPr>
    </w:p>
    <w:p>
      <w:pPr>
        <w:spacing w:after="120"/>
        <w:jc w:val="left"/>
      </w:pPr>
      <w:r>
        <w:rPr>
          <w:rFonts w:ascii="Arial" w:cs="Arial" w:eastAsia="Arial" w:hAnsi="Arial"/>
          <w:b w:val="false"/>
          <w:bCs w:val="false"/>
          <w:i/>
          <w:iCs/>
          <w:color w:val="555555"/>
          <w:sz w:val="22"/>
          <w:szCs w:val="22"/>
        </w:rPr>
        <w:t xml:space="preserve">Important context: The 12,000 Muslim solicitors are distributed across a much smaller number of firms. The total addressable market of firms with dedicated Islamic law desks is narrower than the headline number suggests. Not all 12,000 solicitors run independent practices, and many work in firms that would subscribe once, not per-solicitor.</w:t>
      </w:r>
    </w:p>
    <w:p>
      <w:pPr>
        <w:spacing w:after="60"/>
      </w:pPr>
    </w:p>
    <w:p>
      <w:pPr>
        <w:spacing w:after="120"/>
        <w:jc w:val="left"/>
      </w:pPr>
      <w:r>
        <w:rPr>
          <w:rFonts w:ascii="Arial" w:cs="Arial" w:eastAsia="Arial" w:hAnsi="Arial"/>
          <w:b w:val="false"/>
          <w:bCs w:val="false"/>
          <w:i/>
          <w:iCs/>
          <w:color w:val="555555"/>
          <w:sz w:val="22"/>
          <w:szCs w:val="22"/>
        </w:rPr>
        <w:t xml:space="preserve">Even the conservative case (£24K/yr) covers operational costs. The base case (£90K/yr) is self-sustaining and would fund further product development. The optimistic case remains achievable but depends on significant market penetration and successful monetisation of multiple revenue streams.</w:t>
      </w:r>
    </w:p>
    <w:p>
      <w:pPr>
        <w:pStyle w:val="Heading1"/>
        <w:pageBreakBefore/>
        <w:spacing w:after="120"/>
        <w:jc w:val="left"/>
      </w:pPr>
      <w:r>
        <w:rPr>
          <w:rFonts w:ascii="Arial" w:cs="Arial" w:eastAsia="Arial" w:hAnsi="Arial"/>
          <w:b w:val="false"/>
          <w:bCs w:val="false"/>
          <w:i w:val="false"/>
          <w:iCs w:val="false"/>
          <w:sz w:val="22"/>
          <w:szCs w:val="22"/>
        </w:rPr>
        <w:t xml:space="preserve">5. Known Solicitors &amp; Legal Professionals</w:t>
      </w:r>
    </w:p>
    <w:p>
      <w:pPr>
        <w:spacing w:after="160"/>
        <w:jc w:val="left"/>
      </w:pPr>
      <w:r>
        <w:rPr>
          <w:rFonts w:ascii="Arial" w:cs="Arial" w:eastAsia="Arial" w:hAnsi="Arial"/>
          <w:b w:val="false"/>
          <w:bCs w:val="false"/>
          <w:i w:val="false"/>
          <w:iCs w:val="false"/>
          <w:sz w:val="22"/>
          <w:szCs w:val="22"/>
        </w:rPr>
        <w:t xml:space="preserve">Our research has identified 50+ firms and organisations across four key practice areas, plus six support organisations. The following tables summarise the directory as currently researched.</w:t>
      </w:r>
    </w:p>
    <w:p>
      <w:pPr>
        <w:spacing w:after="60"/>
      </w:pPr>
    </w:p>
    <w:p>
      <w:pPr>
        <w:pStyle w:val="Heading2"/>
        <w:spacing w:after="120"/>
        <w:jc w:val="left"/>
      </w:pPr>
      <w:r>
        <w:rPr>
          <w:rFonts w:ascii="Arial" w:cs="Arial" w:eastAsia="Arial" w:hAnsi="Arial"/>
          <w:b w:val="false"/>
          <w:bCs w:val="false"/>
          <w:i w:val="false"/>
          <w:iCs w:val="false"/>
          <w:sz w:val="22"/>
          <w:szCs w:val="22"/>
        </w:rPr>
        <w:t xml:space="preserve">5.1 Islamic Family Law (15 firms)</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gridCol w:w="100"/>
      </w:tblGrid>
      <w:tr>
        <w:trPr>
          <w:tblHeader/>
        </w:trPr>
        <w:tc>
          <w:tcPr>
            <w:tcW w:type="pct" w:w="25%"/>
            <w:shd w:fill="14532D" w:val="clear"/>
            <w:vAlign w:val="center"/>
          </w:tcPr>
          <w:p>
            <w:pPr>
              <w:spacing w:after="40" w:before="40"/>
              <w:jc w:val="left"/>
            </w:pPr>
            <w:r>
              <w:rPr>
                <w:rFonts w:ascii="Arial" w:cs="Arial" w:eastAsia="Arial" w:hAnsi="Arial"/>
                <w:b/>
                <w:bCs/>
                <w:color w:val="FFFFFF"/>
                <w:sz w:val="20"/>
                <w:szCs w:val="20"/>
              </w:rPr>
              <w:t xml:space="preserve">Firm Name</w:t>
            </w:r>
          </w:p>
        </w:tc>
        <w:tc>
          <w:tcPr>
            <w:tcW w:type="pct" w:w="25%"/>
            <w:shd w:fill="14532D" w:val="clear"/>
            <w:vAlign w:val="center"/>
          </w:tcPr>
          <w:p>
            <w:pPr>
              <w:spacing w:after="40" w:before="40"/>
              <w:jc w:val="left"/>
            </w:pPr>
            <w:r>
              <w:rPr>
                <w:rFonts w:ascii="Arial" w:cs="Arial" w:eastAsia="Arial" w:hAnsi="Arial"/>
                <w:b/>
                <w:bCs/>
                <w:color w:val="FFFFFF"/>
                <w:sz w:val="20"/>
                <w:szCs w:val="20"/>
              </w:rPr>
              <w:t xml:space="preserve">Location</w:t>
            </w:r>
          </w:p>
        </w:tc>
        <w:tc>
          <w:tcPr>
            <w:tcW w:type="pct" w:w="30%"/>
            <w:shd w:fill="14532D" w:val="clear"/>
            <w:vAlign w:val="center"/>
          </w:tcPr>
          <w:p>
            <w:pPr>
              <w:spacing w:after="40" w:before="40"/>
              <w:jc w:val="left"/>
            </w:pPr>
            <w:r>
              <w:rPr>
                <w:rFonts w:ascii="Arial" w:cs="Arial" w:eastAsia="Arial" w:hAnsi="Arial"/>
                <w:b/>
                <w:bCs/>
                <w:color w:val="FFFFFF"/>
                <w:sz w:val="20"/>
                <w:szCs w:val="20"/>
              </w:rPr>
              <w:t xml:space="preserve">Key Specialism</w:t>
            </w:r>
          </w:p>
        </w:tc>
        <w:tc>
          <w:tcPr>
            <w:tcW w:type="pct" w:w="20%"/>
            <w:shd w:fill="14532D" w:val="clear"/>
            <w:vAlign w:val="center"/>
          </w:tcPr>
          <w:p>
            <w:pPr>
              <w:spacing w:after="40" w:before="40"/>
              <w:jc w:val="left"/>
            </w:pPr>
            <w:r>
              <w:rPr>
                <w:rFonts w:ascii="Arial" w:cs="Arial" w:eastAsia="Arial" w:hAnsi="Arial"/>
                <w:b/>
                <w:bCs/>
                <w:color w:val="FFFFFF"/>
                <w:sz w:val="20"/>
                <w:szCs w:val="20"/>
              </w:rPr>
              <w:t xml:space="preserve">Contact</w:t>
            </w:r>
          </w:p>
        </w:tc>
      </w:tr>
      <w:tr>
        <w:tc>
          <w:tcPr>
            <w:tcW w:type="pct" w:w="25%"/>
            <w:vAlign w:val="center"/>
          </w:tcPr>
          <w:p>
            <w:pPr>
              <w:spacing w:after="40" w:before="40"/>
              <w:jc w:val="left"/>
            </w:pPr>
            <w:r>
              <w:rPr>
                <w:rFonts w:ascii="Arial" w:cs="Arial" w:eastAsia="Arial" w:hAnsi="Arial"/>
                <w:b w:val="false"/>
                <w:bCs w:val="false"/>
                <w:sz w:val="20"/>
                <w:szCs w:val="20"/>
              </w:rPr>
              <w:t xml:space="preserve">Aramas Family Law</w:t>
            </w:r>
          </w:p>
        </w:tc>
        <w:tc>
          <w:tcPr>
            <w:tcW w:type="pct" w:w="25%"/>
            <w:vAlign w:val="center"/>
          </w:tcPr>
          <w:p>
            <w:pPr>
              <w:spacing w:after="40" w:before="40"/>
              <w:jc w:val="left"/>
            </w:pPr>
            <w:r>
              <w:rPr>
                <w:rFonts w:ascii="Arial" w:cs="Arial" w:eastAsia="Arial" w:hAnsi="Arial"/>
                <w:b w:val="false"/>
                <w:bCs w:val="false"/>
                <w:sz w:val="20"/>
                <w:szCs w:val="20"/>
              </w:rPr>
              <w:t xml:space="preserve">Manchester</w:t>
            </w:r>
          </w:p>
        </w:tc>
        <w:tc>
          <w:tcPr>
            <w:tcW w:type="pct" w:w="30%"/>
            <w:vAlign w:val="center"/>
          </w:tcPr>
          <w:p>
            <w:pPr>
              <w:spacing w:after="40" w:before="40"/>
              <w:jc w:val="left"/>
            </w:pPr>
            <w:r>
              <w:rPr>
                <w:rFonts w:ascii="Arial" w:cs="Arial" w:eastAsia="Arial" w:hAnsi="Arial"/>
                <w:b w:val="false"/>
                <w:bCs w:val="false"/>
                <w:sz w:val="20"/>
                <w:szCs w:val="20"/>
              </w:rPr>
              <w:t xml:space="preserve">Islamic divorce, custody</w:t>
            </w:r>
          </w:p>
        </w:tc>
        <w:tc>
          <w:tcPr>
            <w:tcW w:type="pct" w:w="20%"/>
            <w:vAlign w:val="center"/>
          </w:tcPr>
          <w:p>
            <w:pPr>
              <w:spacing w:after="40" w:before="40"/>
              <w:jc w:val="left"/>
            </w:pPr>
            <w:r>
              <w:rPr>
                <w:rFonts w:ascii="Arial" w:cs="Arial" w:eastAsia="Arial" w:hAnsi="Arial"/>
                <w:b w:val="false"/>
                <w:bCs w:val="false"/>
                <w:sz w:val="20"/>
                <w:szCs w:val="20"/>
              </w:rPr>
              <w:t xml:space="preserve">Available</w:t>
            </w:r>
          </w:p>
        </w:tc>
      </w:tr>
      <w:tr>
        <w:tc>
          <w:tcPr>
            <w:tcW w:type="pct" w:w="25%"/>
            <w:shd w:fill="F2F2F2" w:val="clear"/>
            <w:vAlign w:val="center"/>
          </w:tcPr>
          <w:p>
            <w:pPr>
              <w:spacing w:after="40" w:before="40"/>
              <w:jc w:val="left"/>
            </w:pPr>
            <w:r>
              <w:rPr>
                <w:rFonts w:ascii="Arial" w:cs="Arial" w:eastAsia="Arial" w:hAnsi="Arial"/>
                <w:b w:val="false"/>
                <w:bCs w:val="false"/>
                <w:sz w:val="20"/>
                <w:szCs w:val="20"/>
              </w:rPr>
              <w:t xml:space="preserve">Duncan Lewis</w:t>
            </w:r>
          </w:p>
        </w:tc>
        <w:tc>
          <w:tcPr>
            <w:tcW w:type="pct" w:w="25%"/>
            <w:shd w:fill="F2F2F2" w:val="clear"/>
            <w:vAlign w:val="center"/>
          </w:tcPr>
          <w:p>
            <w:pPr>
              <w:spacing w:after="40" w:before="40"/>
              <w:jc w:val="left"/>
            </w:pPr>
            <w:r>
              <w:rPr>
                <w:rFonts w:ascii="Arial" w:cs="Arial" w:eastAsia="Arial" w:hAnsi="Arial"/>
                <w:b w:val="false"/>
                <w:bCs w:val="false"/>
                <w:sz w:val="20"/>
                <w:szCs w:val="20"/>
              </w:rPr>
              <w:t xml:space="preserve">London (national)</w:t>
            </w:r>
          </w:p>
        </w:tc>
        <w:tc>
          <w:tcPr>
            <w:tcW w:type="pct" w:w="30%"/>
            <w:shd w:fill="F2F2F2" w:val="clear"/>
            <w:vAlign w:val="center"/>
          </w:tcPr>
          <w:p>
            <w:pPr>
              <w:spacing w:after="40" w:before="40"/>
              <w:jc w:val="left"/>
            </w:pPr>
            <w:r>
              <w:rPr>
                <w:rFonts w:ascii="Arial" w:cs="Arial" w:eastAsia="Arial" w:hAnsi="Arial"/>
                <w:b w:val="false"/>
                <w:bCs w:val="false"/>
                <w:sz w:val="20"/>
                <w:szCs w:val="20"/>
              </w:rPr>
              <w:t xml:space="preserve">Sharia divorce, family mediation</w:t>
            </w:r>
          </w:p>
        </w:tc>
        <w:tc>
          <w:tcPr>
            <w:tcW w:type="pct" w:w="20%"/>
            <w:shd w:fill="F2F2F2" w:val="clear"/>
            <w:vAlign w:val="center"/>
          </w:tcPr>
          <w:p>
            <w:pPr>
              <w:spacing w:after="40" w:before="40"/>
              <w:jc w:val="left"/>
            </w:pPr>
            <w:r>
              <w:rPr>
                <w:rFonts w:ascii="Arial" w:cs="Arial" w:eastAsia="Arial" w:hAnsi="Arial"/>
                <w:b w:val="false"/>
                <w:bCs w:val="false"/>
                <w:sz w:val="20"/>
                <w:szCs w:val="20"/>
              </w:rPr>
              <w:t xml:space="preserve">Available</w:t>
            </w:r>
          </w:p>
        </w:tc>
      </w:tr>
      <w:tr>
        <w:tc>
          <w:tcPr>
            <w:tcW w:type="pct" w:w="25%"/>
            <w:vAlign w:val="center"/>
          </w:tcPr>
          <w:p>
            <w:pPr>
              <w:spacing w:after="40" w:before="40"/>
              <w:jc w:val="left"/>
            </w:pPr>
            <w:r>
              <w:rPr>
                <w:rFonts w:ascii="Arial" w:cs="Arial" w:eastAsia="Arial" w:hAnsi="Arial"/>
                <w:b w:val="false"/>
                <w:bCs w:val="false"/>
                <w:sz w:val="20"/>
                <w:szCs w:val="20"/>
              </w:rPr>
              <w:t xml:space="preserve">gunnercooke (Siddique Patel)</w:t>
            </w:r>
          </w:p>
        </w:tc>
        <w:tc>
          <w:tcPr>
            <w:tcW w:type="pct" w:w="25%"/>
            <w:vAlign w:val="center"/>
          </w:tcPr>
          <w:p>
            <w:pPr>
              <w:spacing w:after="40" w:before="40"/>
              <w:jc w:val="left"/>
            </w:pPr>
            <w:r>
              <w:rPr>
                <w:rFonts w:ascii="Arial" w:cs="Arial" w:eastAsia="Arial" w:hAnsi="Arial"/>
                <w:b w:val="false"/>
                <w:bCs w:val="false"/>
                <w:sz w:val="20"/>
                <w:szCs w:val="20"/>
              </w:rPr>
              <w:t xml:space="preserve">Manchester</w:t>
            </w:r>
          </w:p>
        </w:tc>
        <w:tc>
          <w:tcPr>
            <w:tcW w:type="pct" w:w="30%"/>
            <w:vAlign w:val="center"/>
          </w:tcPr>
          <w:p>
            <w:pPr>
              <w:spacing w:after="40" w:before="40"/>
              <w:jc w:val="left"/>
            </w:pPr>
            <w:r>
              <w:rPr>
                <w:rFonts w:ascii="Arial" w:cs="Arial" w:eastAsia="Arial" w:hAnsi="Arial"/>
                <w:b w:val="false"/>
                <w:bCs w:val="false"/>
                <w:sz w:val="20"/>
                <w:szCs w:val="20"/>
              </w:rPr>
              <w:t xml:space="preserve">Islamic family law, arbitration</w:t>
            </w:r>
          </w:p>
        </w:tc>
        <w:tc>
          <w:tcPr>
            <w:tcW w:type="pct" w:w="20%"/>
            <w:vAlign w:val="center"/>
          </w:tcPr>
          <w:p>
            <w:pPr>
              <w:spacing w:after="40" w:before="40"/>
              <w:jc w:val="left"/>
            </w:pPr>
            <w:r>
              <w:rPr>
                <w:rFonts w:ascii="Arial" w:cs="Arial" w:eastAsia="Arial" w:hAnsi="Arial"/>
                <w:b w:val="false"/>
                <w:bCs w:val="false"/>
                <w:sz w:val="20"/>
                <w:szCs w:val="20"/>
              </w:rPr>
              <w:t xml:space="preserve">Available</w:t>
            </w:r>
          </w:p>
        </w:tc>
      </w:tr>
      <w:tr>
        <w:tc>
          <w:tcPr>
            <w:tcW w:type="pct" w:w="25%"/>
            <w:shd w:fill="F2F2F2" w:val="clear"/>
            <w:vAlign w:val="center"/>
          </w:tcPr>
          <w:p>
            <w:pPr>
              <w:spacing w:after="40" w:before="40"/>
              <w:jc w:val="left"/>
            </w:pPr>
            <w:r>
              <w:rPr>
                <w:rFonts w:ascii="Arial" w:cs="Arial" w:eastAsia="Arial" w:hAnsi="Arial"/>
                <w:b w:val="false"/>
                <w:bCs w:val="false"/>
                <w:sz w:val="20"/>
                <w:szCs w:val="20"/>
              </w:rPr>
              <w:t xml:space="preserve">Slater Heelis</w:t>
            </w:r>
          </w:p>
        </w:tc>
        <w:tc>
          <w:tcPr>
            <w:tcW w:type="pct" w:w="25%"/>
            <w:shd w:fill="F2F2F2" w:val="clear"/>
            <w:vAlign w:val="center"/>
          </w:tcPr>
          <w:p>
            <w:pPr>
              <w:spacing w:after="40" w:before="40"/>
              <w:jc w:val="left"/>
            </w:pPr>
            <w:r>
              <w:rPr>
                <w:rFonts w:ascii="Arial" w:cs="Arial" w:eastAsia="Arial" w:hAnsi="Arial"/>
                <w:b w:val="false"/>
                <w:bCs w:val="false"/>
                <w:sz w:val="20"/>
                <w:szCs w:val="20"/>
              </w:rPr>
              <w:t xml:space="preserve">Manchester / Sale</w:t>
            </w:r>
          </w:p>
        </w:tc>
        <w:tc>
          <w:tcPr>
            <w:tcW w:type="pct" w:w="30%"/>
            <w:shd w:fill="F2F2F2" w:val="clear"/>
            <w:vAlign w:val="center"/>
          </w:tcPr>
          <w:p>
            <w:pPr>
              <w:spacing w:after="40" w:before="40"/>
              <w:jc w:val="left"/>
            </w:pPr>
            <w:r>
              <w:rPr>
                <w:rFonts w:ascii="Arial" w:cs="Arial" w:eastAsia="Arial" w:hAnsi="Arial"/>
                <w:b w:val="false"/>
                <w:bCs w:val="false"/>
                <w:sz w:val="20"/>
                <w:szCs w:val="20"/>
              </w:rPr>
              <w:t xml:space="preserve">Family law, Islamic divorce</w:t>
            </w:r>
          </w:p>
        </w:tc>
        <w:tc>
          <w:tcPr>
            <w:tcW w:type="pct" w:w="20%"/>
            <w:shd w:fill="F2F2F2" w:val="clear"/>
            <w:vAlign w:val="center"/>
          </w:tcPr>
          <w:p>
            <w:pPr>
              <w:spacing w:after="40" w:before="40"/>
              <w:jc w:val="left"/>
            </w:pPr>
            <w:r>
              <w:rPr>
                <w:rFonts w:ascii="Arial" w:cs="Arial" w:eastAsia="Arial" w:hAnsi="Arial"/>
                <w:b w:val="false"/>
                <w:bCs w:val="false"/>
                <w:sz w:val="20"/>
                <w:szCs w:val="20"/>
              </w:rPr>
              <w:t xml:space="preserve">Available</w:t>
            </w:r>
          </w:p>
        </w:tc>
      </w:tr>
      <w:tr>
        <w:tc>
          <w:tcPr>
            <w:tcW w:type="pct" w:w="25%"/>
            <w:vAlign w:val="center"/>
          </w:tcPr>
          <w:p>
            <w:pPr>
              <w:spacing w:after="40" w:before="40"/>
              <w:jc w:val="left"/>
            </w:pPr>
            <w:r>
              <w:rPr>
                <w:rFonts w:ascii="Arial" w:cs="Arial" w:eastAsia="Arial" w:hAnsi="Arial"/>
                <w:b w:val="false"/>
                <w:bCs w:val="false"/>
                <w:sz w:val="20"/>
                <w:szCs w:val="20"/>
              </w:rPr>
              <w:t xml:space="preserve">Curtis Law</w:t>
            </w:r>
          </w:p>
        </w:tc>
        <w:tc>
          <w:tcPr>
            <w:tcW w:type="pct" w:w="25%"/>
            <w:vAlign w:val="center"/>
          </w:tcPr>
          <w:p>
            <w:pPr>
              <w:spacing w:after="40" w:before="40"/>
              <w:jc w:val="left"/>
            </w:pPr>
            <w:r>
              <w:rPr>
                <w:rFonts w:ascii="Arial" w:cs="Arial" w:eastAsia="Arial" w:hAnsi="Arial"/>
                <w:b w:val="false"/>
                <w:bCs w:val="false"/>
                <w:sz w:val="20"/>
                <w:szCs w:val="20"/>
              </w:rPr>
              <w:t xml:space="preserve">Bradford</w:t>
            </w:r>
          </w:p>
        </w:tc>
        <w:tc>
          <w:tcPr>
            <w:tcW w:type="pct" w:w="30%"/>
            <w:vAlign w:val="center"/>
          </w:tcPr>
          <w:p>
            <w:pPr>
              <w:spacing w:after="40" w:before="40"/>
              <w:jc w:val="left"/>
            </w:pPr>
            <w:r>
              <w:rPr>
                <w:rFonts w:ascii="Arial" w:cs="Arial" w:eastAsia="Arial" w:hAnsi="Arial"/>
                <w:b w:val="false"/>
                <w:bCs w:val="false"/>
                <w:sz w:val="20"/>
                <w:szCs w:val="20"/>
              </w:rPr>
              <w:t xml:space="preserve">Islamic family law, children matters</w:t>
            </w:r>
          </w:p>
        </w:tc>
        <w:tc>
          <w:tcPr>
            <w:tcW w:type="pct" w:w="20%"/>
            <w:vAlign w:val="center"/>
          </w:tcPr>
          <w:p>
            <w:pPr>
              <w:spacing w:after="40" w:before="40"/>
              <w:jc w:val="left"/>
            </w:pPr>
            <w:r>
              <w:rPr>
                <w:rFonts w:ascii="Arial" w:cs="Arial" w:eastAsia="Arial" w:hAnsi="Arial"/>
                <w:b w:val="false"/>
                <w:bCs w:val="false"/>
                <w:sz w:val="20"/>
                <w:szCs w:val="20"/>
              </w:rPr>
              <w:t xml:space="preserve">Available</w:t>
            </w:r>
          </w:p>
        </w:tc>
      </w:tr>
      <w:tr>
        <w:tc>
          <w:tcPr>
            <w:tcW w:type="pct" w:w="25%"/>
            <w:shd w:fill="F2F2F2" w:val="clear"/>
            <w:vAlign w:val="center"/>
          </w:tcPr>
          <w:p>
            <w:pPr>
              <w:spacing w:after="40" w:before="40"/>
              <w:jc w:val="left"/>
            </w:pPr>
            <w:r>
              <w:rPr>
                <w:rFonts w:ascii="Arial" w:cs="Arial" w:eastAsia="Arial" w:hAnsi="Arial"/>
                <w:b w:val="false"/>
                <w:bCs w:val="false"/>
                <w:sz w:val="20"/>
                <w:szCs w:val="20"/>
              </w:rPr>
              <w:t xml:space="preserve">O’Donnell Solicitors</w:t>
            </w:r>
          </w:p>
        </w:tc>
        <w:tc>
          <w:tcPr>
            <w:tcW w:type="pct" w:w="25%"/>
            <w:shd w:fill="F2F2F2" w:val="clear"/>
            <w:vAlign w:val="center"/>
          </w:tcPr>
          <w:p>
            <w:pPr>
              <w:spacing w:after="40" w:before="40"/>
              <w:jc w:val="left"/>
            </w:pPr>
            <w:r>
              <w:rPr>
                <w:rFonts w:ascii="Arial" w:cs="Arial" w:eastAsia="Arial" w:hAnsi="Arial"/>
                <w:b w:val="false"/>
                <w:bCs w:val="false"/>
                <w:sz w:val="20"/>
                <w:szCs w:val="20"/>
              </w:rPr>
              <w:t xml:space="preserve">London</w:t>
            </w:r>
          </w:p>
        </w:tc>
        <w:tc>
          <w:tcPr>
            <w:tcW w:type="pct" w:w="30%"/>
            <w:shd w:fill="F2F2F2" w:val="clear"/>
            <w:vAlign w:val="center"/>
          </w:tcPr>
          <w:p>
            <w:pPr>
              <w:spacing w:after="40" w:before="40"/>
              <w:jc w:val="left"/>
            </w:pPr>
            <w:r>
              <w:rPr>
                <w:rFonts w:ascii="Arial" w:cs="Arial" w:eastAsia="Arial" w:hAnsi="Arial"/>
                <w:b w:val="false"/>
                <w:bCs w:val="false"/>
                <w:sz w:val="20"/>
                <w:szCs w:val="20"/>
              </w:rPr>
              <w:t xml:space="preserve">Sharia divorce, financial settlements</w:t>
            </w:r>
          </w:p>
        </w:tc>
        <w:tc>
          <w:tcPr>
            <w:tcW w:type="pct" w:w="20%"/>
            <w:shd w:fill="F2F2F2" w:val="clear"/>
            <w:vAlign w:val="center"/>
          </w:tcPr>
          <w:p>
            <w:pPr>
              <w:spacing w:after="40" w:before="40"/>
              <w:jc w:val="left"/>
            </w:pPr>
            <w:r>
              <w:rPr>
                <w:rFonts w:ascii="Arial" w:cs="Arial" w:eastAsia="Arial" w:hAnsi="Arial"/>
                <w:b w:val="false"/>
                <w:bCs w:val="false"/>
                <w:sz w:val="20"/>
                <w:szCs w:val="20"/>
              </w:rPr>
              <w:t xml:space="preserve">Available</w:t>
            </w:r>
          </w:p>
        </w:tc>
      </w:tr>
      <w:tr>
        <w:tc>
          <w:tcPr>
            <w:tcW w:type="pct" w:w="25%"/>
            <w:vAlign w:val="center"/>
          </w:tcPr>
          <w:p>
            <w:pPr>
              <w:spacing w:after="40" w:before="40"/>
              <w:jc w:val="left"/>
            </w:pPr>
            <w:r>
              <w:rPr>
                <w:rFonts w:ascii="Arial" w:cs="Arial" w:eastAsia="Arial" w:hAnsi="Arial"/>
                <w:b w:val="false"/>
                <w:bCs w:val="false"/>
                <w:sz w:val="20"/>
                <w:szCs w:val="20"/>
              </w:rPr>
              <w:t xml:space="preserve">Stowe Family Law</w:t>
            </w:r>
          </w:p>
        </w:tc>
        <w:tc>
          <w:tcPr>
            <w:tcW w:type="pct" w:w="25%"/>
            <w:vAlign w:val="center"/>
          </w:tcPr>
          <w:p>
            <w:pPr>
              <w:spacing w:after="40" w:before="40"/>
              <w:jc w:val="left"/>
            </w:pPr>
            <w:r>
              <w:rPr>
                <w:rFonts w:ascii="Arial" w:cs="Arial" w:eastAsia="Arial" w:hAnsi="Arial"/>
                <w:b w:val="false"/>
                <w:bCs w:val="false"/>
                <w:sz w:val="20"/>
                <w:szCs w:val="20"/>
              </w:rPr>
              <w:t xml:space="preserve">National (multiple offices)</w:t>
            </w:r>
          </w:p>
        </w:tc>
        <w:tc>
          <w:tcPr>
            <w:tcW w:type="pct" w:w="30%"/>
            <w:vAlign w:val="center"/>
          </w:tcPr>
          <w:p>
            <w:pPr>
              <w:spacing w:after="40" w:before="40"/>
              <w:jc w:val="left"/>
            </w:pPr>
            <w:r>
              <w:rPr>
                <w:rFonts w:ascii="Arial" w:cs="Arial" w:eastAsia="Arial" w:hAnsi="Arial"/>
                <w:b w:val="false"/>
                <w:bCs w:val="false"/>
                <w:sz w:val="20"/>
                <w:szCs w:val="20"/>
              </w:rPr>
              <w:t xml:space="preserve">High-net-worth Islamic divorce</w:t>
            </w:r>
          </w:p>
        </w:tc>
        <w:tc>
          <w:tcPr>
            <w:tcW w:type="pct" w:w="20%"/>
            <w:vAlign w:val="center"/>
          </w:tcPr>
          <w:p>
            <w:pPr>
              <w:spacing w:after="40" w:before="40"/>
              <w:jc w:val="left"/>
            </w:pPr>
            <w:r>
              <w:rPr>
                <w:rFonts w:ascii="Arial" w:cs="Arial" w:eastAsia="Arial" w:hAnsi="Arial"/>
                <w:b w:val="false"/>
                <w:bCs w:val="false"/>
                <w:sz w:val="20"/>
                <w:szCs w:val="20"/>
              </w:rPr>
              <w:t xml:space="preserve">Available</w:t>
            </w:r>
          </w:p>
        </w:tc>
      </w:tr>
      <w:tr>
        <w:tc>
          <w:tcPr>
            <w:tcW w:type="pct" w:w="25%"/>
            <w:shd w:fill="F2F2F2" w:val="clear"/>
            <w:vAlign w:val="center"/>
          </w:tcPr>
          <w:p>
            <w:pPr>
              <w:spacing w:after="40" w:before="40"/>
              <w:jc w:val="left"/>
            </w:pPr>
            <w:r>
              <w:rPr>
                <w:rFonts w:ascii="Arial" w:cs="Arial" w:eastAsia="Arial" w:hAnsi="Arial"/>
                <w:b w:val="false"/>
                <w:bCs w:val="false"/>
                <w:sz w:val="20"/>
                <w:szCs w:val="20"/>
              </w:rPr>
              <w:t xml:space="preserve">Irwin Mitchell</w:t>
            </w:r>
          </w:p>
        </w:tc>
        <w:tc>
          <w:tcPr>
            <w:tcW w:type="pct" w:w="25%"/>
            <w:shd w:fill="F2F2F2" w:val="clear"/>
            <w:vAlign w:val="center"/>
          </w:tcPr>
          <w:p>
            <w:pPr>
              <w:spacing w:after="40" w:before="40"/>
              <w:jc w:val="left"/>
            </w:pPr>
            <w:r>
              <w:rPr>
                <w:rFonts w:ascii="Arial" w:cs="Arial" w:eastAsia="Arial" w:hAnsi="Arial"/>
                <w:b w:val="false"/>
                <w:bCs w:val="false"/>
                <w:sz w:val="20"/>
                <w:szCs w:val="20"/>
              </w:rPr>
              <w:t xml:space="preserve">National</w:t>
            </w:r>
          </w:p>
        </w:tc>
        <w:tc>
          <w:tcPr>
            <w:tcW w:type="pct" w:w="30%"/>
            <w:shd w:fill="F2F2F2" w:val="clear"/>
            <w:vAlign w:val="center"/>
          </w:tcPr>
          <w:p>
            <w:pPr>
              <w:spacing w:after="40" w:before="40"/>
              <w:jc w:val="left"/>
            </w:pPr>
            <w:r>
              <w:rPr>
                <w:rFonts w:ascii="Arial" w:cs="Arial" w:eastAsia="Arial" w:hAnsi="Arial"/>
                <w:b w:val="false"/>
                <w:bCs w:val="false"/>
                <w:sz w:val="20"/>
                <w:szCs w:val="20"/>
              </w:rPr>
              <w:t xml:space="preserve">Family law, Islamic prenuptials</w:t>
            </w:r>
          </w:p>
        </w:tc>
        <w:tc>
          <w:tcPr>
            <w:tcW w:type="pct" w:w="20%"/>
            <w:shd w:fill="F2F2F2" w:val="clear"/>
            <w:vAlign w:val="center"/>
          </w:tcPr>
          <w:p>
            <w:pPr>
              <w:spacing w:after="40" w:before="40"/>
              <w:jc w:val="left"/>
            </w:pPr>
            <w:r>
              <w:rPr>
                <w:rFonts w:ascii="Arial" w:cs="Arial" w:eastAsia="Arial" w:hAnsi="Arial"/>
                <w:b w:val="false"/>
                <w:bCs w:val="false"/>
                <w:sz w:val="20"/>
                <w:szCs w:val="20"/>
              </w:rPr>
              <w:t xml:space="preserve">Available</w:t>
            </w:r>
          </w:p>
        </w:tc>
      </w:tr>
      <w:tr>
        <w:tc>
          <w:tcPr>
            <w:tcW w:type="pct" w:w="25%"/>
            <w:vAlign w:val="center"/>
          </w:tcPr>
          <w:p>
            <w:pPr>
              <w:spacing w:after="40" w:before="40"/>
              <w:jc w:val="left"/>
            </w:pPr>
            <w:r>
              <w:rPr>
                <w:rFonts w:ascii="Arial" w:cs="Arial" w:eastAsia="Arial" w:hAnsi="Arial"/>
                <w:b w:val="false"/>
                <w:bCs w:val="false"/>
                <w:sz w:val="20"/>
                <w:szCs w:val="20"/>
              </w:rPr>
              <w:t xml:space="preserve">Reeds Solicitors</w:t>
            </w:r>
          </w:p>
        </w:tc>
        <w:tc>
          <w:tcPr>
            <w:tcW w:type="pct" w:w="25%"/>
            <w:vAlign w:val="center"/>
          </w:tcPr>
          <w:p>
            <w:pPr>
              <w:spacing w:after="40" w:before="40"/>
              <w:jc w:val="left"/>
            </w:pPr>
            <w:r>
              <w:rPr>
                <w:rFonts w:ascii="Arial" w:cs="Arial" w:eastAsia="Arial" w:hAnsi="Arial"/>
                <w:b w:val="false"/>
                <w:bCs w:val="false"/>
                <w:sz w:val="20"/>
                <w:szCs w:val="20"/>
              </w:rPr>
              <w:t xml:space="preserve">London</w:t>
            </w:r>
          </w:p>
        </w:tc>
        <w:tc>
          <w:tcPr>
            <w:tcW w:type="pct" w:w="30%"/>
            <w:vAlign w:val="center"/>
          </w:tcPr>
          <w:p>
            <w:pPr>
              <w:spacing w:after="40" w:before="40"/>
              <w:jc w:val="left"/>
            </w:pPr>
            <w:r>
              <w:rPr>
                <w:rFonts w:ascii="Arial" w:cs="Arial" w:eastAsia="Arial" w:hAnsi="Arial"/>
                <w:b w:val="false"/>
                <w:bCs w:val="false"/>
                <w:sz w:val="20"/>
                <w:szCs w:val="20"/>
              </w:rPr>
              <w:t xml:space="preserve">Family law, forced marriage</w:t>
            </w:r>
          </w:p>
        </w:tc>
        <w:tc>
          <w:tcPr>
            <w:tcW w:type="pct" w:w="20%"/>
            <w:vAlign w:val="center"/>
          </w:tcPr>
          <w:p>
            <w:pPr>
              <w:spacing w:after="40" w:before="40"/>
              <w:jc w:val="left"/>
            </w:pPr>
            <w:r>
              <w:rPr>
                <w:rFonts w:ascii="Arial" w:cs="Arial" w:eastAsia="Arial" w:hAnsi="Arial"/>
                <w:b w:val="false"/>
                <w:bCs w:val="false"/>
                <w:sz w:val="20"/>
                <w:szCs w:val="20"/>
              </w:rPr>
              <w:t xml:space="preserve">Available</w:t>
            </w:r>
          </w:p>
        </w:tc>
      </w:tr>
      <w:tr>
        <w:tc>
          <w:tcPr>
            <w:tcW w:type="pct" w:w="25%"/>
            <w:shd w:fill="F2F2F2" w:val="clear"/>
            <w:vAlign w:val="center"/>
          </w:tcPr>
          <w:p>
            <w:pPr>
              <w:spacing w:after="40" w:before="40"/>
              <w:jc w:val="left"/>
            </w:pPr>
            <w:r>
              <w:rPr>
                <w:rFonts w:ascii="Arial" w:cs="Arial" w:eastAsia="Arial" w:hAnsi="Arial"/>
                <w:b w:val="false"/>
                <w:bCs w:val="false"/>
                <w:sz w:val="20"/>
                <w:szCs w:val="20"/>
              </w:rPr>
              <w:t xml:space="preserve">Witan Solicitors</w:t>
            </w:r>
          </w:p>
        </w:tc>
        <w:tc>
          <w:tcPr>
            <w:tcW w:type="pct" w:w="25%"/>
            <w:shd w:fill="F2F2F2" w:val="clear"/>
            <w:vAlign w:val="center"/>
          </w:tcPr>
          <w:p>
            <w:pPr>
              <w:spacing w:after="40" w:before="40"/>
              <w:jc w:val="left"/>
            </w:pPr>
            <w:r>
              <w:rPr>
                <w:rFonts w:ascii="Arial" w:cs="Arial" w:eastAsia="Arial" w:hAnsi="Arial"/>
                <w:b w:val="false"/>
                <w:bCs w:val="false"/>
                <w:sz w:val="20"/>
                <w:szCs w:val="20"/>
              </w:rPr>
              <w:t xml:space="preserve">London / Midlands</w:t>
            </w:r>
          </w:p>
        </w:tc>
        <w:tc>
          <w:tcPr>
            <w:tcW w:type="pct" w:w="30%"/>
            <w:shd w:fill="F2F2F2" w:val="clear"/>
            <w:vAlign w:val="center"/>
          </w:tcPr>
          <w:p>
            <w:pPr>
              <w:spacing w:after="40" w:before="40"/>
              <w:jc w:val="left"/>
            </w:pPr>
            <w:r>
              <w:rPr>
                <w:rFonts w:ascii="Arial" w:cs="Arial" w:eastAsia="Arial" w:hAnsi="Arial"/>
                <w:b w:val="false"/>
                <w:bCs w:val="false"/>
                <w:sz w:val="20"/>
                <w:szCs w:val="20"/>
              </w:rPr>
              <w:t xml:space="preserve">Islamic family law, custody</w:t>
            </w:r>
          </w:p>
        </w:tc>
        <w:tc>
          <w:tcPr>
            <w:tcW w:type="pct" w:w="20%"/>
            <w:shd w:fill="F2F2F2" w:val="clear"/>
            <w:vAlign w:val="center"/>
          </w:tcPr>
          <w:p>
            <w:pPr>
              <w:spacing w:after="40" w:before="40"/>
              <w:jc w:val="left"/>
            </w:pPr>
            <w:r>
              <w:rPr>
                <w:rFonts w:ascii="Arial" w:cs="Arial" w:eastAsia="Arial" w:hAnsi="Arial"/>
                <w:b w:val="false"/>
                <w:bCs w:val="false"/>
                <w:sz w:val="20"/>
                <w:szCs w:val="20"/>
              </w:rPr>
              <w:t xml:space="preserve">Available</w:t>
            </w:r>
          </w:p>
        </w:tc>
      </w:tr>
      <w:tr>
        <w:tc>
          <w:tcPr>
            <w:tcW w:type="pct" w:w="25%"/>
            <w:vAlign w:val="center"/>
          </w:tcPr>
          <w:p>
            <w:pPr>
              <w:spacing w:after="40" w:before="40"/>
              <w:jc w:val="left"/>
            </w:pPr>
            <w:r>
              <w:rPr>
                <w:rFonts w:ascii="Arial" w:cs="Arial" w:eastAsia="Arial" w:hAnsi="Arial"/>
                <w:b w:val="false"/>
                <w:bCs w:val="false"/>
                <w:sz w:val="20"/>
                <w:szCs w:val="20"/>
              </w:rPr>
              <w:t xml:space="preserve">Makin Dixon</w:t>
            </w:r>
          </w:p>
        </w:tc>
        <w:tc>
          <w:tcPr>
            <w:tcW w:type="pct" w:w="25%"/>
            <w:vAlign w:val="center"/>
          </w:tcPr>
          <w:p>
            <w:pPr>
              <w:spacing w:after="40" w:before="40"/>
              <w:jc w:val="left"/>
            </w:pPr>
            <w:r>
              <w:rPr>
                <w:rFonts w:ascii="Arial" w:cs="Arial" w:eastAsia="Arial" w:hAnsi="Arial"/>
                <w:b w:val="false"/>
                <w:bCs w:val="false"/>
                <w:sz w:val="20"/>
                <w:szCs w:val="20"/>
              </w:rPr>
              <w:t xml:space="preserve">Birmingham</w:t>
            </w:r>
          </w:p>
        </w:tc>
        <w:tc>
          <w:tcPr>
            <w:tcW w:type="pct" w:w="30%"/>
            <w:vAlign w:val="center"/>
          </w:tcPr>
          <w:p>
            <w:pPr>
              <w:spacing w:after="40" w:before="40"/>
              <w:jc w:val="left"/>
            </w:pPr>
            <w:r>
              <w:rPr>
                <w:rFonts w:ascii="Arial" w:cs="Arial" w:eastAsia="Arial" w:hAnsi="Arial"/>
                <w:b w:val="false"/>
                <w:bCs w:val="false"/>
                <w:sz w:val="20"/>
                <w:szCs w:val="20"/>
              </w:rPr>
              <w:t xml:space="preserve">Family law, Islamic divorce</w:t>
            </w:r>
          </w:p>
        </w:tc>
        <w:tc>
          <w:tcPr>
            <w:tcW w:type="pct" w:w="20%"/>
            <w:vAlign w:val="center"/>
          </w:tcPr>
          <w:p>
            <w:pPr>
              <w:spacing w:after="40" w:before="40"/>
              <w:jc w:val="left"/>
            </w:pPr>
            <w:r>
              <w:rPr>
                <w:rFonts w:ascii="Arial" w:cs="Arial" w:eastAsia="Arial" w:hAnsi="Arial"/>
                <w:b w:val="false"/>
                <w:bCs w:val="false"/>
                <w:sz w:val="20"/>
                <w:szCs w:val="20"/>
              </w:rPr>
              <w:t xml:space="preserve">Available</w:t>
            </w:r>
          </w:p>
        </w:tc>
      </w:tr>
      <w:tr>
        <w:tc>
          <w:tcPr>
            <w:tcW w:type="pct" w:w="25%"/>
            <w:shd w:fill="F2F2F2" w:val="clear"/>
            <w:vAlign w:val="center"/>
          </w:tcPr>
          <w:p>
            <w:pPr>
              <w:spacing w:after="40" w:before="40"/>
              <w:jc w:val="left"/>
            </w:pPr>
            <w:r>
              <w:rPr>
                <w:rFonts w:ascii="Arial" w:cs="Arial" w:eastAsia="Arial" w:hAnsi="Arial"/>
                <w:b w:val="false"/>
                <w:bCs w:val="false"/>
                <w:sz w:val="20"/>
                <w:szCs w:val="20"/>
              </w:rPr>
              <w:t xml:space="preserve">Fitz Solicitors</w:t>
            </w:r>
          </w:p>
        </w:tc>
        <w:tc>
          <w:tcPr>
            <w:tcW w:type="pct" w:w="25%"/>
            <w:shd w:fill="F2F2F2" w:val="clear"/>
            <w:vAlign w:val="center"/>
          </w:tcPr>
          <w:p>
            <w:pPr>
              <w:spacing w:after="40" w:before="40"/>
              <w:jc w:val="left"/>
            </w:pPr>
            <w:r>
              <w:rPr>
                <w:rFonts w:ascii="Arial" w:cs="Arial" w:eastAsia="Arial" w:hAnsi="Arial"/>
                <w:b w:val="false"/>
                <w:bCs w:val="false"/>
                <w:sz w:val="20"/>
                <w:szCs w:val="20"/>
              </w:rPr>
              <w:t xml:space="preserve">London</w:t>
            </w:r>
          </w:p>
        </w:tc>
        <w:tc>
          <w:tcPr>
            <w:tcW w:type="pct" w:w="30%"/>
            <w:shd w:fill="F2F2F2" w:val="clear"/>
            <w:vAlign w:val="center"/>
          </w:tcPr>
          <w:p>
            <w:pPr>
              <w:spacing w:after="40" w:before="40"/>
              <w:jc w:val="left"/>
            </w:pPr>
            <w:r>
              <w:rPr>
                <w:rFonts w:ascii="Arial" w:cs="Arial" w:eastAsia="Arial" w:hAnsi="Arial"/>
                <w:b w:val="false"/>
                <w:bCs w:val="false"/>
                <w:sz w:val="20"/>
                <w:szCs w:val="20"/>
              </w:rPr>
              <w:t xml:space="preserve">Family law, Sharia councils</w:t>
            </w:r>
          </w:p>
        </w:tc>
        <w:tc>
          <w:tcPr>
            <w:tcW w:type="pct" w:w="20%"/>
            <w:shd w:fill="F2F2F2" w:val="clear"/>
            <w:vAlign w:val="center"/>
          </w:tcPr>
          <w:p>
            <w:pPr>
              <w:spacing w:after="40" w:before="40"/>
              <w:jc w:val="left"/>
            </w:pPr>
            <w:r>
              <w:rPr>
                <w:rFonts w:ascii="Arial" w:cs="Arial" w:eastAsia="Arial" w:hAnsi="Arial"/>
                <w:b w:val="false"/>
                <w:bCs w:val="false"/>
                <w:sz w:val="20"/>
                <w:szCs w:val="20"/>
              </w:rPr>
              <w:t xml:space="preserve">Available</w:t>
            </w:r>
          </w:p>
        </w:tc>
      </w:tr>
      <w:tr>
        <w:tc>
          <w:tcPr>
            <w:tcW w:type="pct" w:w="25%"/>
            <w:vAlign w:val="center"/>
          </w:tcPr>
          <w:p>
            <w:pPr>
              <w:spacing w:after="40" w:before="40"/>
              <w:jc w:val="left"/>
            </w:pPr>
            <w:r>
              <w:rPr>
                <w:rFonts w:ascii="Arial" w:cs="Arial" w:eastAsia="Arial" w:hAnsi="Arial"/>
                <w:b w:val="false"/>
                <w:bCs w:val="false"/>
                <w:sz w:val="20"/>
                <w:szCs w:val="20"/>
              </w:rPr>
              <w:t xml:space="preserve">Paradigm Family Law</w:t>
            </w:r>
          </w:p>
        </w:tc>
        <w:tc>
          <w:tcPr>
            <w:tcW w:type="pct" w:w="25%"/>
            <w:vAlign w:val="center"/>
          </w:tcPr>
          <w:p>
            <w:pPr>
              <w:spacing w:after="40" w:before="40"/>
              <w:jc w:val="left"/>
            </w:pPr>
            <w:r>
              <w:rPr>
                <w:rFonts w:ascii="Arial" w:cs="Arial" w:eastAsia="Arial" w:hAnsi="Arial"/>
                <w:b w:val="false"/>
                <w:bCs w:val="false"/>
                <w:sz w:val="20"/>
                <w:szCs w:val="20"/>
              </w:rPr>
              <w:t xml:space="preserve">National</w:t>
            </w:r>
          </w:p>
        </w:tc>
        <w:tc>
          <w:tcPr>
            <w:tcW w:type="pct" w:w="30%"/>
            <w:vAlign w:val="center"/>
          </w:tcPr>
          <w:p>
            <w:pPr>
              <w:spacing w:after="40" w:before="40"/>
              <w:jc w:val="left"/>
            </w:pPr>
            <w:r>
              <w:rPr>
                <w:rFonts w:ascii="Arial" w:cs="Arial" w:eastAsia="Arial" w:hAnsi="Arial"/>
                <w:b w:val="false"/>
                <w:bCs w:val="false"/>
                <w:sz w:val="20"/>
                <w:szCs w:val="20"/>
              </w:rPr>
              <w:t xml:space="preserve">Islamic divorce, co-parenting</w:t>
            </w:r>
          </w:p>
        </w:tc>
        <w:tc>
          <w:tcPr>
            <w:tcW w:type="pct" w:w="20%"/>
            <w:vAlign w:val="center"/>
          </w:tcPr>
          <w:p>
            <w:pPr>
              <w:spacing w:after="40" w:before="40"/>
              <w:jc w:val="left"/>
            </w:pPr>
            <w:r>
              <w:rPr>
                <w:rFonts w:ascii="Arial" w:cs="Arial" w:eastAsia="Arial" w:hAnsi="Arial"/>
                <w:b w:val="false"/>
                <w:bCs w:val="false"/>
                <w:sz w:val="20"/>
                <w:szCs w:val="20"/>
              </w:rPr>
              <w:t xml:space="preserve">Available</w:t>
            </w:r>
          </w:p>
        </w:tc>
      </w:tr>
      <w:tr>
        <w:tc>
          <w:tcPr>
            <w:tcW w:type="pct" w:w="25%"/>
            <w:shd w:fill="F2F2F2" w:val="clear"/>
            <w:vAlign w:val="center"/>
          </w:tcPr>
          <w:p>
            <w:pPr>
              <w:spacing w:after="40" w:before="40"/>
              <w:jc w:val="left"/>
            </w:pPr>
            <w:r>
              <w:rPr>
                <w:rFonts w:ascii="Arial" w:cs="Arial" w:eastAsia="Arial" w:hAnsi="Arial"/>
                <w:b w:val="false"/>
                <w:bCs w:val="false"/>
                <w:sz w:val="20"/>
                <w:szCs w:val="20"/>
              </w:rPr>
              <w:t xml:space="preserve">Woolley &amp; Co</w:t>
            </w:r>
          </w:p>
        </w:tc>
        <w:tc>
          <w:tcPr>
            <w:tcW w:type="pct" w:w="25%"/>
            <w:shd w:fill="F2F2F2" w:val="clear"/>
            <w:vAlign w:val="center"/>
          </w:tcPr>
          <w:p>
            <w:pPr>
              <w:spacing w:after="40" w:before="40"/>
              <w:jc w:val="left"/>
            </w:pPr>
            <w:r>
              <w:rPr>
                <w:rFonts w:ascii="Arial" w:cs="Arial" w:eastAsia="Arial" w:hAnsi="Arial"/>
                <w:b w:val="false"/>
                <w:bCs w:val="false"/>
                <w:sz w:val="20"/>
                <w:szCs w:val="20"/>
              </w:rPr>
              <w:t xml:space="preserve">National (remote)</w:t>
            </w:r>
          </w:p>
        </w:tc>
        <w:tc>
          <w:tcPr>
            <w:tcW w:type="pct" w:w="30%"/>
            <w:shd w:fill="F2F2F2" w:val="clear"/>
            <w:vAlign w:val="center"/>
          </w:tcPr>
          <w:p>
            <w:pPr>
              <w:spacing w:after="40" w:before="40"/>
              <w:jc w:val="left"/>
            </w:pPr>
            <w:r>
              <w:rPr>
                <w:rFonts w:ascii="Arial" w:cs="Arial" w:eastAsia="Arial" w:hAnsi="Arial"/>
                <w:b w:val="false"/>
                <w:bCs w:val="false"/>
                <w:sz w:val="20"/>
                <w:szCs w:val="20"/>
              </w:rPr>
              <w:t xml:space="preserve">Islamic family law</w:t>
            </w:r>
          </w:p>
        </w:tc>
        <w:tc>
          <w:tcPr>
            <w:tcW w:type="pct" w:w="20%"/>
            <w:shd w:fill="F2F2F2" w:val="clear"/>
            <w:vAlign w:val="center"/>
          </w:tcPr>
          <w:p>
            <w:pPr>
              <w:spacing w:after="40" w:before="40"/>
              <w:jc w:val="left"/>
            </w:pPr>
            <w:r>
              <w:rPr>
                <w:rFonts w:ascii="Arial" w:cs="Arial" w:eastAsia="Arial" w:hAnsi="Arial"/>
                <w:b w:val="false"/>
                <w:bCs w:val="false"/>
                <w:sz w:val="20"/>
                <w:szCs w:val="20"/>
              </w:rPr>
              <w:t xml:space="preserve">Available</w:t>
            </w:r>
          </w:p>
        </w:tc>
      </w:tr>
      <w:tr>
        <w:tc>
          <w:tcPr>
            <w:tcW w:type="pct" w:w="25%"/>
            <w:vAlign w:val="center"/>
          </w:tcPr>
          <w:p>
            <w:pPr>
              <w:spacing w:after="40" w:before="40"/>
              <w:jc w:val="left"/>
            </w:pPr>
            <w:r>
              <w:rPr>
                <w:rFonts w:ascii="Arial" w:cs="Arial" w:eastAsia="Arial" w:hAnsi="Arial"/>
                <w:b w:val="false"/>
                <w:bCs w:val="false"/>
                <w:sz w:val="20"/>
                <w:szCs w:val="20"/>
              </w:rPr>
              <w:t xml:space="preserve">Anthony Gold</w:t>
            </w:r>
          </w:p>
        </w:tc>
        <w:tc>
          <w:tcPr>
            <w:tcW w:type="pct" w:w="25%"/>
            <w:vAlign w:val="center"/>
          </w:tcPr>
          <w:p>
            <w:pPr>
              <w:spacing w:after="40" w:before="40"/>
              <w:jc w:val="left"/>
            </w:pPr>
            <w:r>
              <w:rPr>
                <w:rFonts w:ascii="Arial" w:cs="Arial" w:eastAsia="Arial" w:hAnsi="Arial"/>
                <w:b w:val="false"/>
                <w:bCs w:val="false"/>
                <w:sz w:val="20"/>
                <w:szCs w:val="20"/>
              </w:rPr>
              <w:t xml:space="preserve">London</w:t>
            </w:r>
          </w:p>
        </w:tc>
        <w:tc>
          <w:tcPr>
            <w:tcW w:type="pct" w:w="30%"/>
            <w:vAlign w:val="center"/>
          </w:tcPr>
          <w:p>
            <w:pPr>
              <w:spacing w:after="40" w:before="40"/>
              <w:jc w:val="left"/>
            </w:pPr>
            <w:r>
              <w:rPr>
                <w:rFonts w:ascii="Arial" w:cs="Arial" w:eastAsia="Arial" w:hAnsi="Arial"/>
                <w:b w:val="false"/>
                <w:bCs w:val="false"/>
                <w:sz w:val="20"/>
                <w:szCs w:val="20"/>
              </w:rPr>
              <w:t xml:space="preserve">Family law, cultural sensitivity</w:t>
            </w:r>
          </w:p>
        </w:tc>
        <w:tc>
          <w:tcPr>
            <w:tcW w:type="pct" w:w="20%"/>
            <w:vAlign w:val="center"/>
          </w:tcPr>
          <w:p>
            <w:pPr>
              <w:spacing w:after="40" w:before="40"/>
              <w:jc w:val="left"/>
            </w:pPr>
            <w:r>
              <w:rPr>
                <w:rFonts w:ascii="Arial" w:cs="Arial" w:eastAsia="Arial" w:hAnsi="Arial"/>
                <w:b w:val="false"/>
                <w:bCs w:val="false"/>
                <w:sz w:val="20"/>
                <w:szCs w:val="20"/>
              </w:rPr>
              <w:t xml:space="preserve">Available</w:t>
            </w:r>
          </w:p>
        </w:tc>
      </w:tr>
    </w:tbl>
    <w:p>
      <w:pPr>
        <w:spacing w:after="60"/>
      </w:pPr>
    </w:p>
    <w:p>
      <w:pPr>
        <w:pStyle w:val="Heading2"/>
        <w:pageBreakBefore/>
        <w:spacing w:after="120"/>
        <w:jc w:val="left"/>
      </w:pPr>
      <w:r>
        <w:rPr>
          <w:rFonts w:ascii="Arial" w:cs="Arial" w:eastAsia="Arial" w:hAnsi="Arial"/>
          <w:b w:val="false"/>
          <w:bCs w:val="false"/>
          <w:i w:val="false"/>
          <w:iCs w:val="false"/>
          <w:sz w:val="22"/>
          <w:szCs w:val="22"/>
        </w:rPr>
        <w:t xml:space="preserve">5.2 Islamic Wills &amp; Inheritance (12 firms)</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gridCol w:w="100"/>
      </w:tblGrid>
      <w:tr>
        <w:trPr>
          <w:tblHeader/>
        </w:trPr>
        <w:tc>
          <w:tcPr>
            <w:tcW w:type="pct" w:w="25%"/>
            <w:shd w:fill="14532D" w:val="clear"/>
            <w:vAlign w:val="center"/>
          </w:tcPr>
          <w:p>
            <w:pPr>
              <w:spacing w:after="40" w:before="40"/>
              <w:jc w:val="left"/>
            </w:pPr>
            <w:r>
              <w:rPr>
                <w:rFonts w:ascii="Arial" w:cs="Arial" w:eastAsia="Arial" w:hAnsi="Arial"/>
                <w:b/>
                <w:bCs/>
                <w:color w:val="FFFFFF"/>
                <w:sz w:val="20"/>
                <w:szCs w:val="20"/>
              </w:rPr>
              <w:t xml:space="preserve">Firm Name</w:t>
            </w:r>
          </w:p>
        </w:tc>
        <w:tc>
          <w:tcPr>
            <w:tcW w:type="pct" w:w="25%"/>
            <w:shd w:fill="14532D" w:val="clear"/>
            <w:vAlign w:val="center"/>
          </w:tcPr>
          <w:p>
            <w:pPr>
              <w:spacing w:after="40" w:before="40"/>
              <w:jc w:val="left"/>
            </w:pPr>
            <w:r>
              <w:rPr>
                <w:rFonts w:ascii="Arial" w:cs="Arial" w:eastAsia="Arial" w:hAnsi="Arial"/>
                <w:b/>
                <w:bCs/>
                <w:color w:val="FFFFFF"/>
                <w:sz w:val="20"/>
                <w:szCs w:val="20"/>
              </w:rPr>
              <w:t xml:space="preserve">Location</w:t>
            </w:r>
          </w:p>
        </w:tc>
        <w:tc>
          <w:tcPr>
            <w:tcW w:type="pct" w:w="30%"/>
            <w:shd w:fill="14532D" w:val="clear"/>
            <w:vAlign w:val="center"/>
          </w:tcPr>
          <w:p>
            <w:pPr>
              <w:spacing w:after="40" w:before="40"/>
              <w:jc w:val="left"/>
            </w:pPr>
            <w:r>
              <w:rPr>
                <w:rFonts w:ascii="Arial" w:cs="Arial" w:eastAsia="Arial" w:hAnsi="Arial"/>
                <w:b/>
                <w:bCs/>
                <w:color w:val="FFFFFF"/>
                <w:sz w:val="20"/>
                <w:szCs w:val="20"/>
              </w:rPr>
              <w:t xml:space="preserve">Key Specialism</w:t>
            </w:r>
          </w:p>
        </w:tc>
        <w:tc>
          <w:tcPr>
            <w:tcW w:type="pct" w:w="20%"/>
            <w:shd w:fill="14532D" w:val="clear"/>
            <w:vAlign w:val="center"/>
          </w:tcPr>
          <w:p>
            <w:pPr>
              <w:spacing w:after="40" w:before="40"/>
              <w:jc w:val="left"/>
            </w:pPr>
            <w:r>
              <w:rPr>
                <w:rFonts w:ascii="Arial" w:cs="Arial" w:eastAsia="Arial" w:hAnsi="Arial"/>
                <w:b/>
                <w:bCs/>
                <w:color w:val="FFFFFF"/>
                <w:sz w:val="20"/>
                <w:szCs w:val="20"/>
              </w:rPr>
              <w:t xml:space="preserve">Contact</w:t>
            </w:r>
          </w:p>
        </w:tc>
      </w:tr>
      <w:tr>
        <w:tc>
          <w:tcPr>
            <w:tcW w:type="pct" w:w="25%"/>
            <w:vAlign w:val="center"/>
          </w:tcPr>
          <w:p>
            <w:pPr>
              <w:spacing w:after="40" w:before="40"/>
              <w:jc w:val="left"/>
            </w:pPr>
            <w:r>
              <w:rPr>
                <w:rFonts w:ascii="Arial" w:cs="Arial" w:eastAsia="Arial" w:hAnsi="Arial"/>
                <w:b w:val="false"/>
                <w:bCs w:val="false"/>
                <w:sz w:val="20"/>
                <w:szCs w:val="20"/>
              </w:rPr>
              <w:t xml:space="preserve">I Will Solicitors</w:t>
            </w:r>
          </w:p>
        </w:tc>
        <w:tc>
          <w:tcPr>
            <w:tcW w:type="pct" w:w="25%"/>
            <w:vAlign w:val="center"/>
          </w:tcPr>
          <w:p>
            <w:pPr>
              <w:spacing w:after="40" w:before="40"/>
              <w:jc w:val="left"/>
            </w:pPr>
            <w:r>
              <w:rPr>
                <w:rFonts w:ascii="Arial" w:cs="Arial" w:eastAsia="Arial" w:hAnsi="Arial"/>
                <w:b w:val="false"/>
                <w:bCs w:val="false"/>
                <w:sz w:val="20"/>
                <w:szCs w:val="20"/>
              </w:rPr>
              <w:t xml:space="preserve">Birmingham</w:t>
            </w:r>
          </w:p>
        </w:tc>
        <w:tc>
          <w:tcPr>
            <w:tcW w:type="pct" w:w="30%"/>
            <w:vAlign w:val="center"/>
          </w:tcPr>
          <w:p>
            <w:pPr>
              <w:spacing w:after="40" w:before="40"/>
              <w:jc w:val="left"/>
            </w:pPr>
            <w:r>
              <w:rPr>
                <w:rFonts w:ascii="Arial" w:cs="Arial" w:eastAsia="Arial" w:hAnsi="Arial"/>
                <w:b w:val="false"/>
                <w:bCs w:val="false"/>
                <w:sz w:val="20"/>
                <w:szCs w:val="20"/>
              </w:rPr>
              <w:t xml:space="preserve">Islamic wills, Sharia-compliant estates</w:t>
            </w:r>
          </w:p>
        </w:tc>
        <w:tc>
          <w:tcPr>
            <w:tcW w:type="pct" w:w="20%"/>
            <w:vAlign w:val="center"/>
          </w:tcPr>
          <w:p>
            <w:pPr>
              <w:spacing w:after="40" w:before="40"/>
              <w:jc w:val="left"/>
            </w:pPr>
            <w:r>
              <w:rPr>
                <w:rFonts w:ascii="Arial" w:cs="Arial" w:eastAsia="Arial" w:hAnsi="Arial"/>
                <w:b w:val="false"/>
                <w:bCs w:val="false"/>
                <w:sz w:val="20"/>
                <w:szCs w:val="20"/>
              </w:rPr>
              <w:t xml:space="preserve">Available</w:t>
            </w:r>
          </w:p>
        </w:tc>
      </w:tr>
      <w:tr>
        <w:tc>
          <w:tcPr>
            <w:tcW w:type="pct" w:w="25%"/>
            <w:shd w:fill="F2F2F2" w:val="clear"/>
            <w:vAlign w:val="center"/>
          </w:tcPr>
          <w:p>
            <w:pPr>
              <w:spacing w:after="40" w:before="40"/>
              <w:jc w:val="left"/>
            </w:pPr>
            <w:r>
              <w:rPr>
                <w:rFonts w:ascii="Arial" w:cs="Arial" w:eastAsia="Arial" w:hAnsi="Arial"/>
                <w:b w:val="false"/>
                <w:bCs w:val="false"/>
                <w:sz w:val="20"/>
                <w:szCs w:val="20"/>
              </w:rPr>
              <w:t xml:space="preserve">MWG Solicitors</w:t>
            </w:r>
          </w:p>
        </w:tc>
        <w:tc>
          <w:tcPr>
            <w:tcW w:type="pct" w:w="25%"/>
            <w:shd w:fill="F2F2F2" w:val="clear"/>
            <w:vAlign w:val="center"/>
          </w:tcPr>
          <w:p>
            <w:pPr>
              <w:spacing w:after="40" w:before="40"/>
              <w:jc w:val="left"/>
            </w:pPr>
            <w:r>
              <w:rPr>
                <w:rFonts w:ascii="Arial" w:cs="Arial" w:eastAsia="Arial" w:hAnsi="Arial"/>
                <w:b w:val="false"/>
                <w:bCs w:val="false"/>
                <w:sz w:val="20"/>
                <w:szCs w:val="20"/>
              </w:rPr>
              <w:t xml:space="preserve">London</w:t>
            </w:r>
          </w:p>
        </w:tc>
        <w:tc>
          <w:tcPr>
            <w:tcW w:type="pct" w:w="30%"/>
            <w:shd w:fill="F2F2F2" w:val="clear"/>
            <w:vAlign w:val="center"/>
          </w:tcPr>
          <w:p>
            <w:pPr>
              <w:spacing w:after="40" w:before="40"/>
              <w:jc w:val="left"/>
            </w:pPr>
            <w:r>
              <w:rPr>
                <w:rFonts w:ascii="Arial" w:cs="Arial" w:eastAsia="Arial" w:hAnsi="Arial"/>
                <w:b w:val="false"/>
                <w:bCs w:val="false"/>
                <w:sz w:val="20"/>
                <w:szCs w:val="20"/>
              </w:rPr>
              <w:t xml:space="preserve">Islamic wills, probate</w:t>
            </w:r>
          </w:p>
        </w:tc>
        <w:tc>
          <w:tcPr>
            <w:tcW w:type="pct" w:w="20%"/>
            <w:shd w:fill="F2F2F2" w:val="clear"/>
            <w:vAlign w:val="center"/>
          </w:tcPr>
          <w:p>
            <w:pPr>
              <w:spacing w:after="40" w:before="40"/>
              <w:jc w:val="left"/>
            </w:pPr>
            <w:r>
              <w:rPr>
                <w:rFonts w:ascii="Arial" w:cs="Arial" w:eastAsia="Arial" w:hAnsi="Arial"/>
                <w:b w:val="false"/>
                <w:bCs w:val="false"/>
                <w:sz w:val="20"/>
                <w:szCs w:val="20"/>
              </w:rPr>
              <w:t xml:space="preserve">Available</w:t>
            </w:r>
          </w:p>
        </w:tc>
      </w:tr>
      <w:tr>
        <w:tc>
          <w:tcPr>
            <w:tcW w:type="pct" w:w="25%"/>
            <w:vAlign w:val="center"/>
          </w:tcPr>
          <w:p>
            <w:pPr>
              <w:spacing w:after="40" w:before="40"/>
              <w:jc w:val="left"/>
            </w:pPr>
            <w:r>
              <w:rPr>
                <w:rFonts w:ascii="Arial" w:cs="Arial" w:eastAsia="Arial" w:hAnsi="Arial"/>
                <w:b w:val="false"/>
                <w:bCs w:val="false"/>
                <w:sz w:val="20"/>
                <w:szCs w:val="20"/>
              </w:rPr>
              <w:t xml:space="preserve">AM Law</w:t>
            </w:r>
          </w:p>
        </w:tc>
        <w:tc>
          <w:tcPr>
            <w:tcW w:type="pct" w:w="25%"/>
            <w:vAlign w:val="center"/>
          </w:tcPr>
          <w:p>
            <w:pPr>
              <w:spacing w:after="40" w:before="40"/>
              <w:jc w:val="left"/>
            </w:pPr>
            <w:r>
              <w:rPr>
                <w:rFonts w:ascii="Arial" w:cs="Arial" w:eastAsia="Arial" w:hAnsi="Arial"/>
                <w:b w:val="false"/>
                <w:bCs w:val="false"/>
                <w:sz w:val="20"/>
                <w:szCs w:val="20"/>
              </w:rPr>
              <w:t xml:space="preserve">London</w:t>
            </w:r>
          </w:p>
        </w:tc>
        <w:tc>
          <w:tcPr>
            <w:tcW w:type="pct" w:w="30%"/>
            <w:vAlign w:val="center"/>
          </w:tcPr>
          <w:p>
            <w:pPr>
              <w:spacing w:after="40" w:before="40"/>
              <w:jc w:val="left"/>
            </w:pPr>
            <w:r>
              <w:rPr>
                <w:rFonts w:ascii="Arial" w:cs="Arial" w:eastAsia="Arial" w:hAnsi="Arial"/>
                <w:b w:val="false"/>
                <w:bCs w:val="false"/>
                <w:sz w:val="20"/>
                <w:szCs w:val="20"/>
              </w:rPr>
              <w:t xml:space="preserve">Islamic inheritance, trust structures</w:t>
            </w:r>
          </w:p>
        </w:tc>
        <w:tc>
          <w:tcPr>
            <w:tcW w:type="pct" w:w="20%"/>
            <w:vAlign w:val="center"/>
          </w:tcPr>
          <w:p>
            <w:pPr>
              <w:spacing w:after="40" w:before="40"/>
              <w:jc w:val="left"/>
            </w:pPr>
            <w:r>
              <w:rPr>
                <w:rFonts w:ascii="Arial" w:cs="Arial" w:eastAsia="Arial" w:hAnsi="Arial"/>
                <w:b w:val="false"/>
                <w:bCs w:val="false"/>
                <w:sz w:val="20"/>
                <w:szCs w:val="20"/>
              </w:rPr>
              <w:t xml:space="preserve">Available</w:t>
            </w:r>
          </w:p>
        </w:tc>
      </w:tr>
      <w:tr>
        <w:tc>
          <w:tcPr>
            <w:tcW w:type="pct" w:w="25%"/>
            <w:shd w:fill="F2F2F2" w:val="clear"/>
            <w:vAlign w:val="center"/>
          </w:tcPr>
          <w:p>
            <w:pPr>
              <w:spacing w:after="40" w:before="40"/>
              <w:jc w:val="left"/>
            </w:pPr>
            <w:r>
              <w:rPr>
                <w:rFonts w:ascii="Arial" w:cs="Arial" w:eastAsia="Arial" w:hAnsi="Arial"/>
                <w:b w:val="false"/>
                <w:bCs w:val="false"/>
                <w:sz w:val="20"/>
                <w:szCs w:val="20"/>
              </w:rPr>
              <w:t xml:space="preserve">Aman Solicitors</w:t>
            </w:r>
          </w:p>
        </w:tc>
        <w:tc>
          <w:tcPr>
            <w:tcW w:type="pct" w:w="25%"/>
            <w:shd w:fill="F2F2F2" w:val="clear"/>
            <w:vAlign w:val="center"/>
          </w:tcPr>
          <w:p>
            <w:pPr>
              <w:spacing w:after="40" w:before="40"/>
              <w:jc w:val="left"/>
            </w:pPr>
            <w:r>
              <w:rPr>
                <w:rFonts w:ascii="Arial" w:cs="Arial" w:eastAsia="Arial" w:hAnsi="Arial"/>
                <w:b w:val="false"/>
                <w:bCs w:val="false"/>
                <w:sz w:val="20"/>
                <w:szCs w:val="20"/>
              </w:rPr>
              <w:t xml:space="preserve">London / Birmingham</w:t>
            </w:r>
          </w:p>
        </w:tc>
        <w:tc>
          <w:tcPr>
            <w:tcW w:type="pct" w:w="30%"/>
            <w:shd w:fill="F2F2F2" w:val="clear"/>
            <w:vAlign w:val="center"/>
          </w:tcPr>
          <w:p>
            <w:pPr>
              <w:spacing w:after="40" w:before="40"/>
              <w:jc w:val="left"/>
            </w:pPr>
            <w:r>
              <w:rPr>
                <w:rFonts w:ascii="Arial" w:cs="Arial" w:eastAsia="Arial" w:hAnsi="Arial"/>
                <w:b w:val="false"/>
                <w:bCs w:val="false"/>
                <w:sz w:val="20"/>
                <w:szCs w:val="20"/>
              </w:rPr>
              <w:t xml:space="preserve">Islamic wills, estate planning</w:t>
            </w:r>
          </w:p>
        </w:tc>
        <w:tc>
          <w:tcPr>
            <w:tcW w:type="pct" w:w="20%"/>
            <w:shd w:fill="F2F2F2" w:val="clear"/>
            <w:vAlign w:val="center"/>
          </w:tcPr>
          <w:p>
            <w:pPr>
              <w:spacing w:after="40" w:before="40"/>
              <w:jc w:val="left"/>
            </w:pPr>
            <w:r>
              <w:rPr>
                <w:rFonts w:ascii="Arial" w:cs="Arial" w:eastAsia="Arial" w:hAnsi="Arial"/>
                <w:b w:val="false"/>
                <w:bCs w:val="false"/>
                <w:sz w:val="20"/>
                <w:szCs w:val="20"/>
              </w:rPr>
              <w:t xml:space="preserve">Available</w:t>
            </w:r>
          </w:p>
        </w:tc>
      </w:tr>
      <w:tr>
        <w:tc>
          <w:tcPr>
            <w:tcW w:type="pct" w:w="25%"/>
            <w:vAlign w:val="center"/>
          </w:tcPr>
          <w:p>
            <w:pPr>
              <w:spacing w:after="40" w:before="40"/>
              <w:jc w:val="left"/>
            </w:pPr>
            <w:r>
              <w:rPr>
                <w:rFonts w:ascii="Arial" w:cs="Arial" w:eastAsia="Arial" w:hAnsi="Arial"/>
                <w:b w:val="false"/>
                <w:bCs w:val="false"/>
                <w:sz w:val="20"/>
                <w:szCs w:val="20"/>
              </w:rPr>
              <w:t xml:space="preserve">Farani Taylor</w:t>
            </w:r>
          </w:p>
        </w:tc>
        <w:tc>
          <w:tcPr>
            <w:tcW w:type="pct" w:w="25%"/>
            <w:vAlign w:val="center"/>
          </w:tcPr>
          <w:p>
            <w:pPr>
              <w:spacing w:after="40" w:before="40"/>
              <w:jc w:val="left"/>
            </w:pPr>
            <w:r>
              <w:rPr>
                <w:rFonts w:ascii="Arial" w:cs="Arial" w:eastAsia="Arial" w:hAnsi="Arial"/>
                <w:b w:val="false"/>
                <w:bCs w:val="false"/>
                <w:sz w:val="20"/>
                <w:szCs w:val="20"/>
              </w:rPr>
              <w:t xml:space="preserve">London</w:t>
            </w:r>
          </w:p>
        </w:tc>
        <w:tc>
          <w:tcPr>
            <w:tcW w:type="pct" w:w="30%"/>
            <w:vAlign w:val="center"/>
          </w:tcPr>
          <w:p>
            <w:pPr>
              <w:spacing w:after="40" w:before="40"/>
              <w:jc w:val="left"/>
            </w:pPr>
            <w:r>
              <w:rPr>
                <w:rFonts w:ascii="Arial" w:cs="Arial" w:eastAsia="Arial" w:hAnsi="Arial"/>
                <w:b w:val="false"/>
                <w:bCs w:val="false"/>
                <w:sz w:val="20"/>
                <w:szCs w:val="20"/>
              </w:rPr>
              <w:t xml:space="preserve">Islamic wills, immigration-linked estates</w:t>
            </w:r>
          </w:p>
        </w:tc>
        <w:tc>
          <w:tcPr>
            <w:tcW w:type="pct" w:w="20%"/>
            <w:vAlign w:val="center"/>
          </w:tcPr>
          <w:p>
            <w:pPr>
              <w:spacing w:after="40" w:before="40"/>
              <w:jc w:val="left"/>
            </w:pPr>
            <w:r>
              <w:rPr>
                <w:rFonts w:ascii="Arial" w:cs="Arial" w:eastAsia="Arial" w:hAnsi="Arial"/>
                <w:b w:val="false"/>
                <w:bCs w:val="false"/>
                <w:sz w:val="20"/>
                <w:szCs w:val="20"/>
              </w:rPr>
              <w:t xml:space="preserve">Available</w:t>
            </w:r>
          </w:p>
        </w:tc>
      </w:tr>
      <w:tr>
        <w:tc>
          <w:tcPr>
            <w:tcW w:type="pct" w:w="25%"/>
            <w:shd w:fill="F2F2F2" w:val="clear"/>
            <w:vAlign w:val="center"/>
          </w:tcPr>
          <w:p>
            <w:pPr>
              <w:spacing w:after="40" w:before="40"/>
              <w:jc w:val="left"/>
            </w:pPr>
            <w:r>
              <w:rPr>
                <w:rFonts w:ascii="Arial" w:cs="Arial" w:eastAsia="Arial" w:hAnsi="Arial"/>
                <w:b w:val="false"/>
                <w:bCs w:val="false"/>
                <w:sz w:val="20"/>
                <w:szCs w:val="20"/>
              </w:rPr>
              <w:t xml:space="preserve">Greystone Solicitors</w:t>
            </w:r>
          </w:p>
        </w:tc>
        <w:tc>
          <w:tcPr>
            <w:tcW w:type="pct" w:w="25%"/>
            <w:shd w:fill="F2F2F2" w:val="clear"/>
            <w:vAlign w:val="center"/>
          </w:tcPr>
          <w:p>
            <w:pPr>
              <w:spacing w:after="40" w:before="40"/>
              <w:jc w:val="left"/>
            </w:pPr>
            <w:r>
              <w:rPr>
                <w:rFonts w:ascii="Arial" w:cs="Arial" w:eastAsia="Arial" w:hAnsi="Arial"/>
                <w:b w:val="false"/>
                <w:bCs w:val="false"/>
                <w:sz w:val="20"/>
                <w:szCs w:val="20"/>
              </w:rPr>
              <w:t xml:space="preserve">London</w:t>
            </w:r>
          </w:p>
        </w:tc>
        <w:tc>
          <w:tcPr>
            <w:tcW w:type="pct" w:w="30%"/>
            <w:shd w:fill="F2F2F2" w:val="clear"/>
            <w:vAlign w:val="center"/>
          </w:tcPr>
          <w:p>
            <w:pPr>
              <w:spacing w:after="40" w:before="40"/>
              <w:jc w:val="left"/>
            </w:pPr>
            <w:r>
              <w:rPr>
                <w:rFonts w:ascii="Arial" w:cs="Arial" w:eastAsia="Arial" w:hAnsi="Arial"/>
                <w:b w:val="false"/>
                <w:bCs w:val="false"/>
                <w:sz w:val="20"/>
                <w:szCs w:val="20"/>
              </w:rPr>
              <w:t xml:space="preserve">Sharia-compliant wills, trusts</w:t>
            </w:r>
          </w:p>
        </w:tc>
        <w:tc>
          <w:tcPr>
            <w:tcW w:type="pct" w:w="20%"/>
            <w:shd w:fill="F2F2F2" w:val="clear"/>
            <w:vAlign w:val="center"/>
          </w:tcPr>
          <w:p>
            <w:pPr>
              <w:spacing w:after="40" w:before="40"/>
              <w:jc w:val="left"/>
            </w:pPr>
            <w:r>
              <w:rPr>
                <w:rFonts w:ascii="Arial" w:cs="Arial" w:eastAsia="Arial" w:hAnsi="Arial"/>
                <w:b w:val="false"/>
                <w:bCs w:val="false"/>
                <w:sz w:val="20"/>
                <w:szCs w:val="20"/>
              </w:rPr>
              <w:t xml:space="preserve">Available</w:t>
            </w:r>
          </w:p>
        </w:tc>
      </w:tr>
      <w:tr>
        <w:tc>
          <w:tcPr>
            <w:tcW w:type="pct" w:w="25%"/>
            <w:vAlign w:val="center"/>
          </w:tcPr>
          <w:p>
            <w:pPr>
              <w:spacing w:after="40" w:before="40"/>
              <w:jc w:val="left"/>
            </w:pPr>
            <w:r>
              <w:rPr>
                <w:rFonts w:ascii="Arial" w:cs="Arial" w:eastAsia="Arial" w:hAnsi="Arial"/>
                <w:b w:val="false"/>
                <w:bCs w:val="false"/>
                <w:sz w:val="20"/>
                <w:szCs w:val="20"/>
              </w:rPr>
              <w:t xml:space="preserve">YHM Solicitors</w:t>
            </w:r>
          </w:p>
        </w:tc>
        <w:tc>
          <w:tcPr>
            <w:tcW w:type="pct" w:w="25%"/>
            <w:vAlign w:val="center"/>
          </w:tcPr>
          <w:p>
            <w:pPr>
              <w:spacing w:after="40" w:before="40"/>
              <w:jc w:val="left"/>
            </w:pPr>
            <w:r>
              <w:rPr>
                <w:rFonts w:ascii="Arial" w:cs="Arial" w:eastAsia="Arial" w:hAnsi="Arial"/>
                <w:b w:val="false"/>
                <w:bCs w:val="false"/>
                <w:sz w:val="20"/>
                <w:szCs w:val="20"/>
              </w:rPr>
              <w:t xml:space="preserve">Birmingham</w:t>
            </w:r>
          </w:p>
        </w:tc>
        <w:tc>
          <w:tcPr>
            <w:tcW w:type="pct" w:w="30%"/>
            <w:vAlign w:val="center"/>
          </w:tcPr>
          <w:p>
            <w:pPr>
              <w:spacing w:after="40" w:before="40"/>
              <w:jc w:val="left"/>
            </w:pPr>
            <w:r>
              <w:rPr>
                <w:rFonts w:ascii="Arial" w:cs="Arial" w:eastAsia="Arial" w:hAnsi="Arial"/>
                <w:b w:val="false"/>
                <w:bCs w:val="false"/>
                <w:sz w:val="20"/>
                <w:szCs w:val="20"/>
              </w:rPr>
              <w:t xml:space="preserve">Islamic wills, probate</w:t>
            </w:r>
          </w:p>
        </w:tc>
        <w:tc>
          <w:tcPr>
            <w:tcW w:type="pct" w:w="20%"/>
            <w:vAlign w:val="center"/>
          </w:tcPr>
          <w:p>
            <w:pPr>
              <w:spacing w:after="40" w:before="40"/>
              <w:jc w:val="left"/>
            </w:pPr>
            <w:r>
              <w:rPr>
                <w:rFonts w:ascii="Arial" w:cs="Arial" w:eastAsia="Arial" w:hAnsi="Arial"/>
                <w:b w:val="false"/>
                <w:bCs w:val="false"/>
                <w:sz w:val="20"/>
                <w:szCs w:val="20"/>
              </w:rPr>
              <w:t xml:space="preserve">Available</w:t>
            </w:r>
          </w:p>
        </w:tc>
      </w:tr>
      <w:tr>
        <w:tc>
          <w:tcPr>
            <w:tcW w:type="pct" w:w="25%"/>
            <w:shd w:fill="F2F2F2" w:val="clear"/>
            <w:vAlign w:val="center"/>
          </w:tcPr>
          <w:p>
            <w:pPr>
              <w:spacing w:after="40" w:before="40"/>
              <w:jc w:val="left"/>
            </w:pPr>
            <w:r>
              <w:rPr>
                <w:rFonts w:ascii="Arial" w:cs="Arial" w:eastAsia="Arial" w:hAnsi="Arial"/>
                <w:b w:val="false"/>
                <w:bCs w:val="false"/>
                <w:sz w:val="20"/>
                <w:szCs w:val="20"/>
              </w:rPr>
              <w:t xml:space="preserve">Myerson Solicitors</w:t>
            </w:r>
          </w:p>
        </w:tc>
        <w:tc>
          <w:tcPr>
            <w:tcW w:type="pct" w:w="25%"/>
            <w:shd w:fill="F2F2F2" w:val="clear"/>
            <w:vAlign w:val="center"/>
          </w:tcPr>
          <w:p>
            <w:pPr>
              <w:spacing w:after="40" w:before="40"/>
              <w:jc w:val="left"/>
            </w:pPr>
            <w:r>
              <w:rPr>
                <w:rFonts w:ascii="Arial" w:cs="Arial" w:eastAsia="Arial" w:hAnsi="Arial"/>
                <w:b w:val="false"/>
                <w:bCs w:val="false"/>
                <w:sz w:val="20"/>
                <w:szCs w:val="20"/>
              </w:rPr>
              <w:t xml:space="preserve">Manchester / Altrincham</w:t>
            </w:r>
          </w:p>
        </w:tc>
        <w:tc>
          <w:tcPr>
            <w:tcW w:type="pct" w:w="30%"/>
            <w:shd w:fill="F2F2F2" w:val="clear"/>
            <w:vAlign w:val="center"/>
          </w:tcPr>
          <w:p>
            <w:pPr>
              <w:spacing w:after="40" w:before="40"/>
              <w:jc w:val="left"/>
            </w:pPr>
            <w:r>
              <w:rPr>
                <w:rFonts w:ascii="Arial" w:cs="Arial" w:eastAsia="Arial" w:hAnsi="Arial"/>
                <w:b w:val="false"/>
                <w:bCs w:val="false"/>
                <w:sz w:val="20"/>
                <w:szCs w:val="20"/>
              </w:rPr>
              <w:t xml:space="preserve">Private client, Islamic estate planning</w:t>
            </w:r>
          </w:p>
        </w:tc>
        <w:tc>
          <w:tcPr>
            <w:tcW w:type="pct" w:w="20%"/>
            <w:shd w:fill="F2F2F2" w:val="clear"/>
            <w:vAlign w:val="center"/>
          </w:tcPr>
          <w:p>
            <w:pPr>
              <w:spacing w:after="40" w:before="40"/>
              <w:jc w:val="left"/>
            </w:pPr>
            <w:r>
              <w:rPr>
                <w:rFonts w:ascii="Arial" w:cs="Arial" w:eastAsia="Arial" w:hAnsi="Arial"/>
                <w:b w:val="false"/>
                <w:bCs w:val="false"/>
                <w:sz w:val="20"/>
                <w:szCs w:val="20"/>
              </w:rPr>
              <w:t xml:space="preserve">Available</w:t>
            </w:r>
          </w:p>
        </w:tc>
      </w:tr>
      <w:tr>
        <w:tc>
          <w:tcPr>
            <w:tcW w:type="pct" w:w="25%"/>
            <w:vAlign w:val="center"/>
          </w:tcPr>
          <w:p>
            <w:pPr>
              <w:spacing w:after="40" w:before="40"/>
              <w:jc w:val="left"/>
            </w:pPr>
            <w:r>
              <w:rPr>
                <w:rFonts w:ascii="Arial" w:cs="Arial" w:eastAsia="Arial" w:hAnsi="Arial"/>
                <w:b w:val="false"/>
                <w:bCs w:val="false"/>
                <w:sz w:val="20"/>
                <w:szCs w:val="20"/>
              </w:rPr>
              <w:t xml:space="preserve">Oasis Legal</w:t>
            </w:r>
          </w:p>
        </w:tc>
        <w:tc>
          <w:tcPr>
            <w:tcW w:type="pct" w:w="25%"/>
            <w:vAlign w:val="center"/>
          </w:tcPr>
          <w:p>
            <w:pPr>
              <w:spacing w:after="40" w:before="40"/>
              <w:jc w:val="left"/>
            </w:pPr>
            <w:r>
              <w:rPr>
                <w:rFonts w:ascii="Arial" w:cs="Arial" w:eastAsia="Arial" w:hAnsi="Arial"/>
                <w:b w:val="false"/>
                <w:bCs w:val="false"/>
                <w:sz w:val="20"/>
                <w:szCs w:val="20"/>
              </w:rPr>
              <w:t xml:space="preserve">London</w:t>
            </w:r>
          </w:p>
        </w:tc>
        <w:tc>
          <w:tcPr>
            <w:tcW w:type="pct" w:w="30%"/>
            <w:vAlign w:val="center"/>
          </w:tcPr>
          <w:p>
            <w:pPr>
              <w:spacing w:after="40" w:before="40"/>
              <w:jc w:val="left"/>
            </w:pPr>
            <w:r>
              <w:rPr>
                <w:rFonts w:ascii="Arial" w:cs="Arial" w:eastAsia="Arial" w:hAnsi="Arial"/>
                <w:b w:val="false"/>
                <w:bCs w:val="false"/>
                <w:sz w:val="20"/>
                <w:szCs w:val="20"/>
              </w:rPr>
              <w:t xml:space="preserve">Islamic wills, Wasiyyah</w:t>
            </w:r>
          </w:p>
        </w:tc>
        <w:tc>
          <w:tcPr>
            <w:tcW w:type="pct" w:w="20%"/>
            <w:vAlign w:val="center"/>
          </w:tcPr>
          <w:p>
            <w:pPr>
              <w:spacing w:after="40" w:before="40"/>
              <w:jc w:val="left"/>
            </w:pPr>
            <w:r>
              <w:rPr>
                <w:rFonts w:ascii="Arial" w:cs="Arial" w:eastAsia="Arial" w:hAnsi="Arial"/>
                <w:b w:val="false"/>
                <w:bCs w:val="false"/>
                <w:sz w:val="20"/>
                <w:szCs w:val="20"/>
              </w:rPr>
              <w:t xml:space="preserve">Available</w:t>
            </w:r>
          </w:p>
        </w:tc>
      </w:tr>
      <w:tr>
        <w:tc>
          <w:tcPr>
            <w:tcW w:type="pct" w:w="25%"/>
            <w:shd w:fill="F2F2F2" w:val="clear"/>
            <w:vAlign w:val="center"/>
          </w:tcPr>
          <w:p>
            <w:pPr>
              <w:spacing w:after="40" w:before="40"/>
              <w:jc w:val="left"/>
            </w:pPr>
            <w:r>
              <w:rPr>
                <w:rFonts w:ascii="Arial" w:cs="Arial" w:eastAsia="Arial" w:hAnsi="Arial"/>
                <w:b w:val="false"/>
                <w:bCs w:val="false"/>
                <w:sz w:val="20"/>
                <w:szCs w:val="20"/>
              </w:rPr>
              <w:t xml:space="preserve">Greengate Solicitors</w:t>
            </w:r>
          </w:p>
        </w:tc>
        <w:tc>
          <w:tcPr>
            <w:tcW w:type="pct" w:w="25%"/>
            <w:shd w:fill="F2F2F2" w:val="clear"/>
            <w:vAlign w:val="center"/>
          </w:tcPr>
          <w:p>
            <w:pPr>
              <w:spacing w:after="40" w:before="40"/>
              <w:jc w:val="left"/>
            </w:pPr>
            <w:r>
              <w:rPr>
                <w:rFonts w:ascii="Arial" w:cs="Arial" w:eastAsia="Arial" w:hAnsi="Arial"/>
                <w:b w:val="false"/>
                <w:bCs w:val="false"/>
                <w:sz w:val="20"/>
                <w:szCs w:val="20"/>
              </w:rPr>
              <w:t xml:space="preserve">Manchester</w:t>
            </w:r>
          </w:p>
        </w:tc>
        <w:tc>
          <w:tcPr>
            <w:tcW w:type="pct" w:w="30%"/>
            <w:shd w:fill="F2F2F2" w:val="clear"/>
            <w:vAlign w:val="center"/>
          </w:tcPr>
          <w:p>
            <w:pPr>
              <w:spacing w:after="40" w:before="40"/>
              <w:jc w:val="left"/>
            </w:pPr>
            <w:r>
              <w:rPr>
                <w:rFonts w:ascii="Arial" w:cs="Arial" w:eastAsia="Arial" w:hAnsi="Arial"/>
                <w:b w:val="false"/>
                <w:bCs w:val="false"/>
                <w:sz w:val="20"/>
                <w:szCs w:val="20"/>
              </w:rPr>
              <w:t xml:space="preserve">Islamic wills, succession planning</w:t>
            </w:r>
          </w:p>
        </w:tc>
        <w:tc>
          <w:tcPr>
            <w:tcW w:type="pct" w:w="20%"/>
            <w:shd w:fill="F2F2F2" w:val="clear"/>
            <w:vAlign w:val="center"/>
          </w:tcPr>
          <w:p>
            <w:pPr>
              <w:spacing w:after="40" w:before="40"/>
              <w:jc w:val="left"/>
            </w:pPr>
            <w:r>
              <w:rPr>
                <w:rFonts w:ascii="Arial" w:cs="Arial" w:eastAsia="Arial" w:hAnsi="Arial"/>
                <w:b w:val="false"/>
                <w:bCs w:val="false"/>
                <w:sz w:val="20"/>
                <w:szCs w:val="20"/>
              </w:rPr>
              <w:t xml:space="preserve">Available</w:t>
            </w:r>
          </w:p>
        </w:tc>
      </w:tr>
      <w:tr>
        <w:tc>
          <w:tcPr>
            <w:tcW w:type="pct" w:w="25%"/>
            <w:vAlign w:val="center"/>
          </w:tcPr>
          <w:p>
            <w:pPr>
              <w:spacing w:after="40" w:before="40"/>
              <w:jc w:val="left"/>
            </w:pPr>
            <w:r>
              <w:rPr>
                <w:rFonts w:ascii="Arial" w:cs="Arial" w:eastAsia="Arial" w:hAnsi="Arial"/>
                <w:b w:val="false"/>
                <w:bCs w:val="false"/>
                <w:sz w:val="20"/>
                <w:szCs w:val="20"/>
              </w:rPr>
              <w:t xml:space="preserve">SA Law</w:t>
            </w:r>
          </w:p>
        </w:tc>
        <w:tc>
          <w:tcPr>
            <w:tcW w:type="pct" w:w="25%"/>
            <w:vAlign w:val="center"/>
          </w:tcPr>
          <w:p>
            <w:pPr>
              <w:spacing w:after="40" w:before="40"/>
              <w:jc w:val="left"/>
            </w:pPr>
            <w:r>
              <w:rPr>
                <w:rFonts w:ascii="Arial" w:cs="Arial" w:eastAsia="Arial" w:hAnsi="Arial"/>
                <w:b w:val="false"/>
                <w:bCs w:val="false"/>
                <w:sz w:val="20"/>
                <w:szCs w:val="20"/>
              </w:rPr>
              <w:t xml:space="preserve">Hertfordshire</w:t>
            </w:r>
          </w:p>
        </w:tc>
        <w:tc>
          <w:tcPr>
            <w:tcW w:type="pct" w:w="30%"/>
            <w:vAlign w:val="center"/>
          </w:tcPr>
          <w:p>
            <w:pPr>
              <w:spacing w:after="40" w:before="40"/>
              <w:jc w:val="left"/>
            </w:pPr>
            <w:r>
              <w:rPr>
                <w:rFonts w:ascii="Arial" w:cs="Arial" w:eastAsia="Arial" w:hAnsi="Arial"/>
                <w:b w:val="false"/>
                <w:bCs w:val="false"/>
                <w:sz w:val="20"/>
                <w:szCs w:val="20"/>
              </w:rPr>
              <w:t xml:space="preserve">Wills, trusts, Islamic compliance</w:t>
            </w:r>
          </w:p>
        </w:tc>
        <w:tc>
          <w:tcPr>
            <w:tcW w:type="pct" w:w="20%"/>
            <w:vAlign w:val="center"/>
          </w:tcPr>
          <w:p>
            <w:pPr>
              <w:spacing w:after="40" w:before="40"/>
              <w:jc w:val="left"/>
            </w:pPr>
            <w:r>
              <w:rPr>
                <w:rFonts w:ascii="Arial" w:cs="Arial" w:eastAsia="Arial" w:hAnsi="Arial"/>
                <w:b w:val="false"/>
                <w:bCs w:val="false"/>
                <w:sz w:val="20"/>
                <w:szCs w:val="20"/>
              </w:rPr>
              <w:t xml:space="preserve">Available</w:t>
            </w:r>
          </w:p>
        </w:tc>
      </w:tr>
      <w:tr>
        <w:tc>
          <w:tcPr>
            <w:tcW w:type="pct" w:w="25%"/>
            <w:shd w:fill="F2F2F2" w:val="clear"/>
            <w:vAlign w:val="center"/>
          </w:tcPr>
          <w:p>
            <w:pPr>
              <w:spacing w:after="40" w:before="40"/>
              <w:jc w:val="left"/>
            </w:pPr>
            <w:r>
              <w:rPr>
                <w:rFonts w:ascii="Arial" w:cs="Arial" w:eastAsia="Arial" w:hAnsi="Arial"/>
                <w:b w:val="false"/>
                <w:bCs w:val="false"/>
                <w:sz w:val="20"/>
                <w:szCs w:val="20"/>
              </w:rPr>
              <w:t xml:space="preserve">Nelsons Solicitors</w:t>
            </w:r>
          </w:p>
        </w:tc>
        <w:tc>
          <w:tcPr>
            <w:tcW w:type="pct" w:w="25%"/>
            <w:shd w:fill="F2F2F2" w:val="clear"/>
            <w:vAlign w:val="center"/>
          </w:tcPr>
          <w:p>
            <w:pPr>
              <w:spacing w:after="40" w:before="40"/>
              <w:jc w:val="left"/>
            </w:pPr>
            <w:r>
              <w:rPr>
                <w:rFonts w:ascii="Arial" w:cs="Arial" w:eastAsia="Arial" w:hAnsi="Arial"/>
                <w:b w:val="false"/>
                <w:bCs w:val="false"/>
                <w:sz w:val="20"/>
                <w:szCs w:val="20"/>
              </w:rPr>
              <w:t xml:space="preserve">East Midlands</w:t>
            </w:r>
          </w:p>
        </w:tc>
        <w:tc>
          <w:tcPr>
            <w:tcW w:type="pct" w:w="30%"/>
            <w:shd w:fill="F2F2F2" w:val="clear"/>
            <w:vAlign w:val="center"/>
          </w:tcPr>
          <w:p>
            <w:pPr>
              <w:spacing w:after="40" w:before="40"/>
              <w:jc w:val="left"/>
            </w:pPr>
            <w:r>
              <w:rPr>
                <w:rFonts w:ascii="Arial" w:cs="Arial" w:eastAsia="Arial" w:hAnsi="Arial"/>
                <w:b w:val="false"/>
                <w:bCs w:val="false"/>
                <w:sz w:val="20"/>
                <w:szCs w:val="20"/>
              </w:rPr>
              <w:t xml:space="preserve">Islamic wills, probate disputes</w:t>
            </w:r>
          </w:p>
        </w:tc>
        <w:tc>
          <w:tcPr>
            <w:tcW w:type="pct" w:w="20%"/>
            <w:shd w:fill="F2F2F2" w:val="clear"/>
            <w:vAlign w:val="center"/>
          </w:tcPr>
          <w:p>
            <w:pPr>
              <w:spacing w:after="40" w:before="40"/>
              <w:jc w:val="left"/>
            </w:pPr>
            <w:r>
              <w:rPr>
                <w:rFonts w:ascii="Arial" w:cs="Arial" w:eastAsia="Arial" w:hAnsi="Arial"/>
                <w:b w:val="false"/>
                <w:bCs w:val="false"/>
                <w:sz w:val="20"/>
                <w:szCs w:val="20"/>
              </w:rPr>
              <w:t xml:space="preserve">Available</w:t>
            </w:r>
          </w:p>
        </w:tc>
      </w:tr>
    </w:tbl>
    <w:p>
      <w:pPr>
        <w:spacing w:after="60"/>
      </w:pPr>
    </w:p>
    <w:p>
      <w:pPr>
        <w:pStyle w:val="Heading2"/>
        <w:pageBreakBefore/>
        <w:spacing w:after="120"/>
        <w:jc w:val="left"/>
      </w:pPr>
      <w:r>
        <w:rPr>
          <w:rFonts w:ascii="Arial" w:cs="Arial" w:eastAsia="Arial" w:hAnsi="Arial"/>
          <w:b w:val="false"/>
          <w:bCs w:val="false"/>
          <w:i w:val="false"/>
          <w:iCs w:val="false"/>
          <w:sz w:val="22"/>
          <w:szCs w:val="22"/>
        </w:rPr>
        <w:t xml:space="preserve">5.3 Islamic Finance &amp; Conveyancing (14 firms)</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gridCol w:w="100"/>
      </w:tblGrid>
      <w:tr>
        <w:trPr>
          <w:tblHeader/>
        </w:trPr>
        <w:tc>
          <w:tcPr>
            <w:tcW w:type="pct" w:w="25%"/>
            <w:shd w:fill="14532D" w:val="clear"/>
            <w:vAlign w:val="center"/>
          </w:tcPr>
          <w:p>
            <w:pPr>
              <w:spacing w:after="40" w:before="40"/>
              <w:jc w:val="left"/>
            </w:pPr>
            <w:r>
              <w:rPr>
                <w:rFonts w:ascii="Arial" w:cs="Arial" w:eastAsia="Arial" w:hAnsi="Arial"/>
                <w:b/>
                <w:bCs/>
                <w:color w:val="FFFFFF"/>
                <w:sz w:val="20"/>
                <w:szCs w:val="20"/>
              </w:rPr>
              <w:t xml:space="preserve">Firm Name</w:t>
            </w:r>
          </w:p>
        </w:tc>
        <w:tc>
          <w:tcPr>
            <w:tcW w:type="pct" w:w="25%"/>
            <w:shd w:fill="14532D" w:val="clear"/>
            <w:vAlign w:val="center"/>
          </w:tcPr>
          <w:p>
            <w:pPr>
              <w:spacing w:after="40" w:before="40"/>
              <w:jc w:val="left"/>
            </w:pPr>
            <w:r>
              <w:rPr>
                <w:rFonts w:ascii="Arial" w:cs="Arial" w:eastAsia="Arial" w:hAnsi="Arial"/>
                <w:b/>
                <w:bCs/>
                <w:color w:val="FFFFFF"/>
                <w:sz w:val="20"/>
                <w:szCs w:val="20"/>
              </w:rPr>
              <w:t xml:space="preserve">Location</w:t>
            </w:r>
          </w:p>
        </w:tc>
        <w:tc>
          <w:tcPr>
            <w:tcW w:type="pct" w:w="30%"/>
            <w:shd w:fill="14532D" w:val="clear"/>
            <w:vAlign w:val="center"/>
          </w:tcPr>
          <w:p>
            <w:pPr>
              <w:spacing w:after="40" w:before="40"/>
              <w:jc w:val="left"/>
            </w:pPr>
            <w:r>
              <w:rPr>
                <w:rFonts w:ascii="Arial" w:cs="Arial" w:eastAsia="Arial" w:hAnsi="Arial"/>
                <w:b/>
                <w:bCs/>
                <w:color w:val="FFFFFF"/>
                <w:sz w:val="20"/>
                <w:szCs w:val="20"/>
              </w:rPr>
              <w:t xml:space="preserve">Key Specialism</w:t>
            </w:r>
          </w:p>
        </w:tc>
        <w:tc>
          <w:tcPr>
            <w:tcW w:type="pct" w:w="20%"/>
            <w:shd w:fill="14532D" w:val="clear"/>
            <w:vAlign w:val="center"/>
          </w:tcPr>
          <w:p>
            <w:pPr>
              <w:spacing w:after="40" w:before="40"/>
              <w:jc w:val="left"/>
            </w:pPr>
            <w:r>
              <w:rPr>
                <w:rFonts w:ascii="Arial" w:cs="Arial" w:eastAsia="Arial" w:hAnsi="Arial"/>
                <w:b/>
                <w:bCs/>
                <w:color w:val="FFFFFF"/>
                <w:sz w:val="20"/>
                <w:szCs w:val="20"/>
              </w:rPr>
              <w:t xml:space="preserve">Contact</w:t>
            </w:r>
          </w:p>
        </w:tc>
      </w:tr>
      <w:tr>
        <w:tc>
          <w:tcPr>
            <w:tcW w:type="pct" w:w="25%"/>
            <w:vAlign w:val="center"/>
          </w:tcPr>
          <w:p>
            <w:pPr>
              <w:spacing w:after="40" w:before="40"/>
              <w:jc w:val="left"/>
            </w:pPr>
            <w:r>
              <w:rPr>
                <w:rFonts w:ascii="Arial" w:cs="Arial" w:eastAsia="Arial" w:hAnsi="Arial"/>
                <w:b w:val="false"/>
                <w:bCs w:val="false"/>
                <w:sz w:val="20"/>
                <w:szCs w:val="20"/>
              </w:rPr>
              <w:t xml:space="preserve">White Horse Solicitors</w:t>
            </w:r>
          </w:p>
        </w:tc>
        <w:tc>
          <w:tcPr>
            <w:tcW w:type="pct" w:w="25%"/>
            <w:vAlign w:val="center"/>
          </w:tcPr>
          <w:p>
            <w:pPr>
              <w:spacing w:after="40" w:before="40"/>
              <w:jc w:val="left"/>
            </w:pPr>
            <w:r>
              <w:rPr>
                <w:rFonts w:ascii="Arial" w:cs="Arial" w:eastAsia="Arial" w:hAnsi="Arial"/>
                <w:b w:val="false"/>
                <w:bCs w:val="false"/>
                <w:sz w:val="20"/>
                <w:szCs w:val="20"/>
              </w:rPr>
              <w:t xml:space="preserve">London</w:t>
            </w:r>
          </w:p>
        </w:tc>
        <w:tc>
          <w:tcPr>
            <w:tcW w:type="pct" w:w="30%"/>
            <w:vAlign w:val="center"/>
          </w:tcPr>
          <w:p>
            <w:pPr>
              <w:spacing w:after="40" w:before="40"/>
              <w:jc w:val="left"/>
            </w:pPr>
            <w:r>
              <w:rPr>
                <w:rFonts w:ascii="Arial" w:cs="Arial" w:eastAsia="Arial" w:hAnsi="Arial"/>
                <w:b w:val="false"/>
                <w:bCs w:val="false"/>
                <w:sz w:val="20"/>
                <w:szCs w:val="20"/>
              </w:rPr>
              <w:t xml:space="preserve">Islamic mortgages, halal conveyancing</w:t>
            </w:r>
          </w:p>
        </w:tc>
        <w:tc>
          <w:tcPr>
            <w:tcW w:type="pct" w:w="20%"/>
            <w:vAlign w:val="center"/>
          </w:tcPr>
          <w:p>
            <w:pPr>
              <w:spacing w:after="40" w:before="40"/>
              <w:jc w:val="left"/>
            </w:pPr>
            <w:r>
              <w:rPr>
                <w:rFonts w:ascii="Arial" w:cs="Arial" w:eastAsia="Arial" w:hAnsi="Arial"/>
                <w:b w:val="false"/>
                <w:bCs w:val="false"/>
                <w:sz w:val="20"/>
                <w:szCs w:val="20"/>
              </w:rPr>
              <w:t xml:space="preserve">Available</w:t>
            </w:r>
          </w:p>
        </w:tc>
      </w:tr>
      <w:tr>
        <w:tc>
          <w:tcPr>
            <w:tcW w:type="pct" w:w="25%"/>
            <w:shd w:fill="F2F2F2" w:val="clear"/>
            <w:vAlign w:val="center"/>
          </w:tcPr>
          <w:p>
            <w:pPr>
              <w:spacing w:after="40" w:before="40"/>
              <w:jc w:val="left"/>
            </w:pPr>
            <w:r>
              <w:rPr>
                <w:rFonts w:ascii="Arial" w:cs="Arial" w:eastAsia="Arial" w:hAnsi="Arial"/>
                <w:b w:val="false"/>
                <w:bCs w:val="false"/>
                <w:sz w:val="20"/>
                <w:szCs w:val="20"/>
              </w:rPr>
              <w:t xml:space="preserve">Batley Law</w:t>
            </w:r>
          </w:p>
        </w:tc>
        <w:tc>
          <w:tcPr>
            <w:tcW w:type="pct" w:w="25%"/>
            <w:shd w:fill="F2F2F2" w:val="clear"/>
            <w:vAlign w:val="center"/>
          </w:tcPr>
          <w:p>
            <w:pPr>
              <w:spacing w:after="40" w:before="40"/>
              <w:jc w:val="left"/>
            </w:pPr>
            <w:r>
              <w:rPr>
                <w:rFonts w:ascii="Arial" w:cs="Arial" w:eastAsia="Arial" w:hAnsi="Arial"/>
                <w:b w:val="false"/>
                <w:bCs w:val="false"/>
                <w:sz w:val="20"/>
                <w:szCs w:val="20"/>
              </w:rPr>
              <w:t xml:space="preserve">West Yorkshire</w:t>
            </w:r>
          </w:p>
        </w:tc>
        <w:tc>
          <w:tcPr>
            <w:tcW w:type="pct" w:w="30%"/>
            <w:shd w:fill="F2F2F2" w:val="clear"/>
            <w:vAlign w:val="center"/>
          </w:tcPr>
          <w:p>
            <w:pPr>
              <w:spacing w:after="40" w:before="40"/>
              <w:jc w:val="left"/>
            </w:pPr>
            <w:r>
              <w:rPr>
                <w:rFonts w:ascii="Arial" w:cs="Arial" w:eastAsia="Arial" w:hAnsi="Arial"/>
                <w:b w:val="false"/>
                <w:bCs w:val="false"/>
                <w:sz w:val="20"/>
                <w:szCs w:val="20"/>
              </w:rPr>
              <w:t xml:space="preserve">Islamic finance, conveyancing</w:t>
            </w:r>
          </w:p>
        </w:tc>
        <w:tc>
          <w:tcPr>
            <w:tcW w:type="pct" w:w="20%"/>
            <w:shd w:fill="F2F2F2" w:val="clear"/>
            <w:vAlign w:val="center"/>
          </w:tcPr>
          <w:p>
            <w:pPr>
              <w:spacing w:after="40" w:before="40"/>
              <w:jc w:val="left"/>
            </w:pPr>
            <w:r>
              <w:rPr>
                <w:rFonts w:ascii="Arial" w:cs="Arial" w:eastAsia="Arial" w:hAnsi="Arial"/>
                <w:b w:val="false"/>
                <w:bCs w:val="false"/>
                <w:sz w:val="20"/>
                <w:szCs w:val="20"/>
              </w:rPr>
              <w:t xml:space="preserve">Available</w:t>
            </w:r>
          </w:p>
        </w:tc>
      </w:tr>
      <w:tr>
        <w:tc>
          <w:tcPr>
            <w:tcW w:type="pct" w:w="25%"/>
            <w:vAlign w:val="center"/>
          </w:tcPr>
          <w:p>
            <w:pPr>
              <w:spacing w:after="40" w:before="40"/>
              <w:jc w:val="left"/>
            </w:pPr>
            <w:r>
              <w:rPr>
                <w:rFonts w:ascii="Arial" w:cs="Arial" w:eastAsia="Arial" w:hAnsi="Arial"/>
                <w:b w:val="false"/>
                <w:bCs w:val="false"/>
                <w:sz w:val="20"/>
                <w:szCs w:val="20"/>
              </w:rPr>
              <w:t xml:space="preserve">ASL Solicitors</w:t>
            </w:r>
          </w:p>
        </w:tc>
        <w:tc>
          <w:tcPr>
            <w:tcW w:type="pct" w:w="25%"/>
            <w:vAlign w:val="center"/>
          </w:tcPr>
          <w:p>
            <w:pPr>
              <w:spacing w:after="40" w:before="40"/>
              <w:jc w:val="left"/>
            </w:pPr>
            <w:r>
              <w:rPr>
                <w:rFonts w:ascii="Arial" w:cs="Arial" w:eastAsia="Arial" w:hAnsi="Arial"/>
                <w:b w:val="false"/>
                <w:bCs w:val="false"/>
                <w:sz w:val="20"/>
                <w:szCs w:val="20"/>
              </w:rPr>
              <w:t xml:space="preserve">Birmingham</w:t>
            </w:r>
          </w:p>
        </w:tc>
        <w:tc>
          <w:tcPr>
            <w:tcW w:type="pct" w:w="30%"/>
            <w:vAlign w:val="center"/>
          </w:tcPr>
          <w:p>
            <w:pPr>
              <w:spacing w:after="40" w:before="40"/>
              <w:jc w:val="left"/>
            </w:pPr>
            <w:r>
              <w:rPr>
                <w:rFonts w:ascii="Arial" w:cs="Arial" w:eastAsia="Arial" w:hAnsi="Arial"/>
                <w:b w:val="false"/>
                <w:bCs w:val="false"/>
                <w:sz w:val="20"/>
                <w:szCs w:val="20"/>
              </w:rPr>
              <w:t xml:space="preserve">Halal conveyancing, property</w:t>
            </w:r>
          </w:p>
        </w:tc>
        <w:tc>
          <w:tcPr>
            <w:tcW w:type="pct" w:w="20%"/>
            <w:vAlign w:val="center"/>
          </w:tcPr>
          <w:p>
            <w:pPr>
              <w:spacing w:after="40" w:before="40"/>
              <w:jc w:val="left"/>
            </w:pPr>
            <w:r>
              <w:rPr>
                <w:rFonts w:ascii="Arial" w:cs="Arial" w:eastAsia="Arial" w:hAnsi="Arial"/>
                <w:b w:val="false"/>
                <w:bCs w:val="false"/>
                <w:sz w:val="20"/>
                <w:szCs w:val="20"/>
              </w:rPr>
              <w:t xml:space="preserve">Available</w:t>
            </w:r>
          </w:p>
        </w:tc>
      </w:tr>
      <w:tr>
        <w:tc>
          <w:tcPr>
            <w:tcW w:type="pct" w:w="25%"/>
            <w:shd w:fill="F2F2F2" w:val="clear"/>
            <w:vAlign w:val="center"/>
          </w:tcPr>
          <w:p>
            <w:pPr>
              <w:spacing w:after="40" w:before="40"/>
              <w:jc w:val="left"/>
            </w:pPr>
            <w:r>
              <w:rPr>
                <w:rFonts w:ascii="Arial" w:cs="Arial" w:eastAsia="Arial" w:hAnsi="Arial"/>
                <w:b w:val="false"/>
                <w:bCs w:val="false"/>
                <w:sz w:val="20"/>
                <w:szCs w:val="20"/>
              </w:rPr>
              <w:t xml:space="preserve">Blakewater Certus</w:t>
            </w:r>
          </w:p>
        </w:tc>
        <w:tc>
          <w:tcPr>
            <w:tcW w:type="pct" w:w="25%"/>
            <w:shd w:fill="F2F2F2" w:val="clear"/>
            <w:vAlign w:val="center"/>
          </w:tcPr>
          <w:p>
            <w:pPr>
              <w:spacing w:after="40" w:before="40"/>
              <w:jc w:val="left"/>
            </w:pPr>
            <w:r>
              <w:rPr>
                <w:rFonts w:ascii="Arial" w:cs="Arial" w:eastAsia="Arial" w:hAnsi="Arial"/>
                <w:b w:val="false"/>
                <w:bCs w:val="false"/>
                <w:sz w:val="20"/>
                <w:szCs w:val="20"/>
              </w:rPr>
              <w:t xml:space="preserve">Lancashire</w:t>
            </w:r>
          </w:p>
        </w:tc>
        <w:tc>
          <w:tcPr>
            <w:tcW w:type="pct" w:w="30%"/>
            <w:shd w:fill="F2F2F2" w:val="clear"/>
            <w:vAlign w:val="center"/>
          </w:tcPr>
          <w:p>
            <w:pPr>
              <w:spacing w:after="40" w:before="40"/>
              <w:jc w:val="left"/>
            </w:pPr>
            <w:r>
              <w:rPr>
                <w:rFonts w:ascii="Arial" w:cs="Arial" w:eastAsia="Arial" w:hAnsi="Arial"/>
                <w:b w:val="false"/>
                <w:bCs w:val="false"/>
                <w:sz w:val="20"/>
                <w:szCs w:val="20"/>
              </w:rPr>
              <w:t xml:space="preserve">Islamic mortgage conveyancing</w:t>
            </w:r>
          </w:p>
        </w:tc>
        <w:tc>
          <w:tcPr>
            <w:tcW w:type="pct" w:w="20%"/>
            <w:shd w:fill="F2F2F2" w:val="clear"/>
            <w:vAlign w:val="center"/>
          </w:tcPr>
          <w:p>
            <w:pPr>
              <w:spacing w:after="40" w:before="40"/>
              <w:jc w:val="left"/>
            </w:pPr>
            <w:r>
              <w:rPr>
                <w:rFonts w:ascii="Arial" w:cs="Arial" w:eastAsia="Arial" w:hAnsi="Arial"/>
                <w:b w:val="false"/>
                <w:bCs w:val="false"/>
                <w:sz w:val="20"/>
                <w:szCs w:val="20"/>
              </w:rPr>
              <w:t xml:space="preserve">Available</w:t>
            </w:r>
          </w:p>
        </w:tc>
      </w:tr>
      <w:tr>
        <w:tc>
          <w:tcPr>
            <w:tcW w:type="pct" w:w="25%"/>
            <w:vAlign w:val="center"/>
          </w:tcPr>
          <w:p>
            <w:pPr>
              <w:spacing w:after="40" w:before="40"/>
              <w:jc w:val="left"/>
            </w:pPr>
            <w:r>
              <w:rPr>
                <w:rFonts w:ascii="Arial" w:cs="Arial" w:eastAsia="Arial" w:hAnsi="Arial"/>
                <w:b w:val="false"/>
                <w:bCs w:val="false"/>
                <w:sz w:val="20"/>
                <w:szCs w:val="20"/>
              </w:rPr>
              <w:t xml:space="preserve">AFG Law</w:t>
            </w:r>
          </w:p>
        </w:tc>
        <w:tc>
          <w:tcPr>
            <w:tcW w:type="pct" w:w="25%"/>
            <w:vAlign w:val="center"/>
          </w:tcPr>
          <w:p>
            <w:pPr>
              <w:spacing w:after="40" w:before="40"/>
              <w:jc w:val="left"/>
            </w:pPr>
            <w:r>
              <w:rPr>
                <w:rFonts w:ascii="Arial" w:cs="Arial" w:eastAsia="Arial" w:hAnsi="Arial"/>
                <w:b w:val="false"/>
                <w:bCs w:val="false"/>
                <w:sz w:val="20"/>
                <w:szCs w:val="20"/>
              </w:rPr>
              <w:t xml:space="preserve">Bolton / Manchester</w:t>
            </w:r>
          </w:p>
        </w:tc>
        <w:tc>
          <w:tcPr>
            <w:tcW w:type="pct" w:w="30%"/>
            <w:vAlign w:val="center"/>
          </w:tcPr>
          <w:p>
            <w:pPr>
              <w:spacing w:after="40" w:before="40"/>
              <w:jc w:val="left"/>
            </w:pPr>
            <w:r>
              <w:rPr>
                <w:rFonts w:ascii="Arial" w:cs="Arial" w:eastAsia="Arial" w:hAnsi="Arial"/>
                <w:b w:val="false"/>
                <w:bCs w:val="false"/>
                <w:sz w:val="20"/>
                <w:szCs w:val="20"/>
              </w:rPr>
              <w:t xml:space="preserve">Islamic finance, commercial property</w:t>
            </w:r>
          </w:p>
        </w:tc>
        <w:tc>
          <w:tcPr>
            <w:tcW w:type="pct" w:w="20%"/>
            <w:vAlign w:val="center"/>
          </w:tcPr>
          <w:p>
            <w:pPr>
              <w:spacing w:after="40" w:before="40"/>
              <w:jc w:val="left"/>
            </w:pPr>
            <w:r>
              <w:rPr>
                <w:rFonts w:ascii="Arial" w:cs="Arial" w:eastAsia="Arial" w:hAnsi="Arial"/>
                <w:b w:val="false"/>
                <w:bCs w:val="false"/>
                <w:sz w:val="20"/>
                <w:szCs w:val="20"/>
              </w:rPr>
              <w:t xml:space="preserve">Available</w:t>
            </w:r>
          </w:p>
        </w:tc>
      </w:tr>
      <w:tr>
        <w:tc>
          <w:tcPr>
            <w:tcW w:type="pct" w:w="25%"/>
            <w:shd w:fill="F2F2F2" w:val="clear"/>
            <w:vAlign w:val="center"/>
          </w:tcPr>
          <w:p>
            <w:pPr>
              <w:spacing w:after="40" w:before="40"/>
              <w:jc w:val="left"/>
            </w:pPr>
            <w:r>
              <w:rPr>
                <w:rFonts w:ascii="Arial" w:cs="Arial" w:eastAsia="Arial" w:hAnsi="Arial"/>
                <w:b w:val="false"/>
                <w:bCs w:val="false"/>
                <w:sz w:val="20"/>
                <w:szCs w:val="20"/>
              </w:rPr>
              <w:t xml:space="preserve">Kuddus Solicitors</w:t>
            </w:r>
          </w:p>
        </w:tc>
        <w:tc>
          <w:tcPr>
            <w:tcW w:type="pct" w:w="25%"/>
            <w:shd w:fill="F2F2F2" w:val="clear"/>
            <w:vAlign w:val="center"/>
          </w:tcPr>
          <w:p>
            <w:pPr>
              <w:spacing w:after="40" w:before="40"/>
              <w:jc w:val="left"/>
            </w:pPr>
            <w:r>
              <w:rPr>
                <w:rFonts w:ascii="Arial" w:cs="Arial" w:eastAsia="Arial" w:hAnsi="Arial"/>
                <w:b w:val="false"/>
                <w:bCs w:val="false"/>
                <w:sz w:val="20"/>
                <w:szCs w:val="20"/>
              </w:rPr>
              <w:t xml:space="preserve">London</w:t>
            </w:r>
          </w:p>
        </w:tc>
        <w:tc>
          <w:tcPr>
            <w:tcW w:type="pct" w:w="30%"/>
            <w:shd w:fill="F2F2F2" w:val="clear"/>
            <w:vAlign w:val="center"/>
          </w:tcPr>
          <w:p>
            <w:pPr>
              <w:spacing w:after="40" w:before="40"/>
              <w:jc w:val="left"/>
            </w:pPr>
            <w:r>
              <w:rPr>
                <w:rFonts w:ascii="Arial" w:cs="Arial" w:eastAsia="Arial" w:hAnsi="Arial"/>
                <w:b w:val="false"/>
                <w:bCs w:val="false"/>
                <w:sz w:val="20"/>
                <w:szCs w:val="20"/>
              </w:rPr>
              <w:t xml:space="preserve">Islamic mortgage, residential conveyancing</w:t>
            </w:r>
          </w:p>
        </w:tc>
        <w:tc>
          <w:tcPr>
            <w:tcW w:type="pct" w:w="20%"/>
            <w:shd w:fill="F2F2F2" w:val="clear"/>
            <w:vAlign w:val="center"/>
          </w:tcPr>
          <w:p>
            <w:pPr>
              <w:spacing w:after="40" w:before="40"/>
              <w:jc w:val="left"/>
            </w:pPr>
            <w:r>
              <w:rPr>
                <w:rFonts w:ascii="Arial" w:cs="Arial" w:eastAsia="Arial" w:hAnsi="Arial"/>
                <w:b w:val="false"/>
                <w:bCs w:val="false"/>
                <w:sz w:val="20"/>
                <w:szCs w:val="20"/>
              </w:rPr>
              <w:t xml:space="preserve">Available</w:t>
            </w:r>
          </w:p>
        </w:tc>
      </w:tr>
      <w:tr>
        <w:tc>
          <w:tcPr>
            <w:tcW w:type="pct" w:w="25%"/>
            <w:vAlign w:val="center"/>
          </w:tcPr>
          <w:p>
            <w:pPr>
              <w:spacing w:after="40" w:before="40"/>
              <w:jc w:val="left"/>
            </w:pPr>
            <w:r>
              <w:rPr>
                <w:rFonts w:ascii="Arial" w:cs="Arial" w:eastAsia="Arial" w:hAnsi="Arial"/>
                <w:b w:val="false"/>
                <w:bCs w:val="false"/>
                <w:sz w:val="20"/>
                <w:szCs w:val="20"/>
              </w:rPr>
              <w:t xml:space="preserve">Taylor Rose</w:t>
            </w:r>
          </w:p>
        </w:tc>
        <w:tc>
          <w:tcPr>
            <w:tcW w:type="pct" w:w="25%"/>
            <w:vAlign w:val="center"/>
          </w:tcPr>
          <w:p>
            <w:pPr>
              <w:spacing w:after="40" w:before="40"/>
              <w:jc w:val="left"/>
            </w:pPr>
            <w:r>
              <w:rPr>
                <w:rFonts w:ascii="Arial" w:cs="Arial" w:eastAsia="Arial" w:hAnsi="Arial"/>
                <w:b w:val="false"/>
                <w:bCs w:val="false"/>
                <w:sz w:val="20"/>
                <w:szCs w:val="20"/>
              </w:rPr>
              <w:t xml:space="preserve">National</w:t>
            </w:r>
          </w:p>
        </w:tc>
        <w:tc>
          <w:tcPr>
            <w:tcW w:type="pct" w:w="30%"/>
            <w:vAlign w:val="center"/>
          </w:tcPr>
          <w:p>
            <w:pPr>
              <w:spacing w:after="40" w:before="40"/>
              <w:jc w:val="left"/>
            </w:pPr>
            <w:r>
              <w:rPr>
                <w:rFonts w:ascii="Arial" w:cs="Arial" w:eastAsia="Arial" w:hAnsi="Arial"/>
                <w:b w:val="false"/>
                <w:bCs w:val="false"/>
                <w:sz w:val="20"/>
                <w:szCs w:val="20"/>
              </w:rPr>
              <w:t xml:space="preserve">Conveyancing, Islamic finance products</w:t>
            </w:r>
          </w:p>
        </w:tc>
        <w:tc>
          <w:tcPr>
            <w:tcW w:type="pct" w:w="20%"/>
            <w:vAlign w:val="center"/>
          </w:tcPr>
          <w:p>
            <w:pPr>
              <w:spacing w:after="40" w:before="40"/>
              <w:jc w:val="left"/>
            </w:pPr>
            <w:r>
              <w:rPr>
                <w:rFonts w:ascii="Arial" w:cs="Arial" w:eastAsia="Arial" w:hAnsi="Arial"/>
                <w:b w:val="false"/>
                <w:bCs w:val="false"/>
                <w:sz w:val="20"/>
                <w:szCs w:val="20"/>
              </w:rPr>
              <w:t xml:space="preserve">Available</w:t>
            </w:r>
          </w:p>
        </w:tc>
      </w:tr>
      <w:tr>
        <w:tc>
          <w:tcPr>
            <w:tcW w:type="pct" w:w="25%"/>
            <w:shd w:fill="F2F2F2" w:val="clear"/>
            <w:vAlign w:val="center"/>
          </w:tcPr>
          <w:p>
            <w:pPr>
              <w:spacing w:after="40" w:before="40"/>
              <w:jc w:val="left"/>
            </w:pPr>
            <w:r>
              <w:rPr>
                <w:rFonts w:ascii="Arial" w:cs="Arial" w:eastAsia="Arial" w:hAnsi="Arial"/>
                <w:b w:val="false"/>
                <w:bCs w:val="false"/>
                <w:sz w:val="20"/>
                <w:szCs w:val="20"/>
              </w:rPr>
              <w:t xml:space="preserve">Shakespeare Martineau</w:t>
            </w:r>
          </w:p>
        </w:tc>
        <w:tc>
          <w:tcPr>
            <w:tcW w:type="pct" w:w="25%"/>
            <w:shd w:fill="F2F2F2" w:val="clear"/>
            <w:vAlign w:val="center"/>
          </w:tcPr>
          <w:p>
            <w:pPr>
              <w:spacing w:after="40" w:before="40"/>
              <w:jc w:val="left"/>
            </w:pPr>
            <w:r>
              <w:rPr>
                <w:rFonts w:ascii="Arial" w:cs="Arial" w:eastAsia="Arial" w:hAnsi="Arial"/>
                <w:b w:val="false"/>
                <w:bCs w:val="false"/>
                <w:sz w:val="20"/>
                <w:szCs w:val="20"/>
              </w:rPr>
              <w:t xml:space="preserve">National</w:t>
            </w:r>
          </w:p>
        </w:tc>
        <w:tc>
          <w:tcPr>
            <w:tcW w:type="pct" w:w="30%"/>
            <w:shd w:fill="F2F2F2" w:val="clear"/>
            <w:vAlign w:val="center"/>
          </w:tcPr>
          <w:p>
            <w:pPr>
              <w:spacing w:after="40" w:before="40"/>
              <w:jc w:val="left"/>
            </w:pPr>
            <w:r>
              <w:rPr>
                <w:rFonts w:ascii="Arial" w:cs="Arial" w:eastAsia="Arial" w:hAnsi="Arial"/>
                <w:b w:val="false"/>
                <w:bCs w:val="false"/>
                <w:sz w:val="20"/>
                <w:szCs w:val="20"/>
              </w:rPr>
              <w:t xml:space="preserve">Islamic finance, Sukuk, commercial</w:t>
            </w:r>
          </w:p>
        </w:tc>
        <w:tc>
          <w:tcPr>
            <w:tcW w:type="pct" w:w="20%"/>
            <w:shd w:fill="F2F2F2" w:val="clear"/>
            <w:vAlign w:val="center"/>
          </w:tcPr>
          <w:p>
            <w:pPr>
              <w:spacing w:after="40" w:before="40"/>
              <w:jc w:val="left"/>
            </w:pPr>
            <w:r>
              <w:rPr>
                <w:rFonts w:ascii="Arial" w:cs="Arial" w:eastAsia="Arial" w:hAnsi="Arial"/>
                <w:b w:val="false"/>
                <w:bCs w:val="false"/>
                <w:sz w:val="20"/>
                <w:szCs w:val="20"/>
              </w:rPr>
              <w:t xml:space="preserve">Available</w:t>
            </w:r>
          </w:p>
        </w:tc>
      </w:tr>
      <w:tr>
        <w:tc>
          <w:tcPr>
            <w:tcW w:type="pct" w:w="25%"/>
            <w:vAlign w:val="center"/>
          </w:tcPr>
          <w:p>
            <w:pPr>
              <w:spacing w:after="40" w:before="40"/>
              <w:jc w:val="left"/>
            </w:pPr>
            <w:r>
              <w:rPr>
                <w:rFonts w:ascii="Arial" w:cs="Arial" w:eastAsia="Arial" w:hAnsi="Arial"/>
                <w:b w:val="false"/>
                <w:bCs w:val="false"/>
                <w:sz w:val="20"/>
                <w:szCs w:val="20"/>
              </w:rPr>
              <w:t xml:space="preserve">Touchwood Solicitors</w:t>
            </w:r>
          </w:p>
        </w:tc>
        <w:tc>
          <w:tcPr>
            <w:tcW w:type="pct" w:w="25%"/>
            <w:vAlign w:val="center"/>
          </w:tcPr>
          <w:p>
            <w:pPr>
              <w:spacing w:after="40" w:before="40"/>
              <w:jc w:val="left"/>
            </w:pPr>
            <w:r>
              <w:rPr>
                <w:rFonts w:ascii="Arial" w:cs="Arial" w:eastAsia="Arial" w:hAnsi="Arial"/>
                <w:b w:val="false"/>
                <w:bCs w:val="false"/>
                <w:sz w:val="20"/>
                <w:szCs w:val="20"/>
              </w:rPr>
              <w:t xml:space="preserve">London</w:t>
            </w:r>
          </w:p>
        </w:tc>
        <w:tc>
          <w:tcPr>
            <w:tcW w:type="pct" w:w="30%"/>
            <w:vAlign w:val="center"/>
          </w:tcPr>
          <w:p>
            <w:pPr>
              <w:spacing w:after="40" w:before="40"/>
              <w:jc w:val="left"/>
            </w:pPr>
            <w:r>
              <w:rPr>
                <w:rFonts w:ascii="Arial" w:cs="Arial" w:eastAsia="Arial" w:hAnsi="Arial"/>
                <w:b w:val="false"/>
                <w:bCs w:val="false"/>
                <w:sz w:val="20"/>
                <w:szCs w:val="20"/>
              </w:rPr>
              <w:t xml:space="preserve">Islamic conveyancing, buy-to-let</w:t>
            </w:r>
          </w:p>
        </w:tc>
        <w:tc>
          <w:tcPr>
            <w:tcW w:type="pct" w:w="20%"/>
            <w:vAlign w:val="center"/>
          </w:tcPr>
          <w:p>
            <w:pPr>
              <w:spacing w:after="40" w:before="40"/>
              <w:jc w:val="left"/>
            </w:pPr>
            <w:r>
              <w:rPr>
                <w:rFonts w:ascii="Arial" w:cs="Arial" w:eastAsia="Arial" w:hAnsi="Arial"/>
                <w:b w:val="false"/>
                <w:bCs w:val="false"/>
                <w:sz w:val="20"/>
                <w:szCs w:val="20"/>
              </w:rPr>
              <w:t xml:space="preserve">Available</w:t>
            </w:r>
          </w:p>
        </w:tc>
      </w:tr>
      <w:tr>
        <w:tc>
          <w:tcPr>
            <w:tcW w:type="pct" w:w="25%"/>
            <w:shd w:fill="F2F2F2" w:val="clear"/>
            <w:vAlign w:val="center"/>
          </w:tcPr>
          <w:p>
            <w:pPr>
              <w:spacing w:after="40" w:before="40"/>
              <w:jc w:val="left"/>
            </w:pPr>
            <w:r>
              <w:rPr>
                <w:rFonts w:ascii="Arial" w:cs="Arial" w:eastAsia="Arial" w:hAnsi="Arial"/>
                <w:b w:val="false"/>
                <w:bCs w:val="false"/>
                <w:sz w:val="20"/>
                <w:szCs w:val="20"/>
              </w:rPr>
              <w:t xml:space="preserve">Mullis &amp; Peake</w:t>
            </w:r>
          </w:p>
        </w:tc>
        <w:tc>
          <w:tcPr>
            <w:tcW w:type="pct" w:w="25%"/>
            <w:shd w:fill="F2F2F2" w:val="clear"/>
            <w:vAlign w:val="center"/>
          </w:tcPr>
          <w:p>
            <w:pPr>
              <w:spacing w:after="40" w:before="40"/>
              <w:jc w:val="left"/>
            </w:pPr>
            <w:r>
              <w:rPr>
                <w:rFonts w:ascii="Arial" w:cs="Arial" w:eastAsia="Arial" w:hAnsi="Arial"/>
                <w:b w:val="false"/>
                <w:bCs w:val="false"/>
                <w:sz w:val="20"/>
                <w:szCs w:val="20"/>
              </w:rPr>
              <w:t xml:space="preserve">Essex</w:t>
            </w:r>
          </w:p>
        </w:tc>
        <w:tc>
          <w:tcPr>
            <w:tcW w:type="pct" w:w="30%"/>
            <w:shd w:fill="F2F2F2" w:val="clear"/>
            <w:vAlign w:val="center"/>
          </w:tcPr>
          <w:p>
            <w:pPr>
              <w:spacing w:after="40" w:before="40"/>
              <w:jc w:val="left"/>
            </w:pPr>
            <w:r>
              <w:rPr>
                <w:rFonts w:ascii="Arial" w:cs="Arial" w:eastAsia="Arial" w:hAnsi="Arial"/>
                <w:b w:val="false"/>
                <w:bCs w:val="false"/>
                <w:sz w:val="20"/>
                <w:szCs w:val="20"/>
              </w:rPr>
              <w:t xml:space="preserve">Conveyancing, Islamic mortgage products</w:t>
            </w:r>
          </w:p>
        </w:tc>
        <w:tc>
          <w:tcPr>
            <w:tcW w:type="pct" w:w="20%"/>
            <w:shd w:fill="F2F2F2" w:val="clear"/>
            <w:vAlign w:val="center"/>
          </w:tcPr>
          <w:p>
            <w:pPr>
              <w:spacing w:after="40" w:before="40"/>
              <w:jc w:val="left"/>
            </w:pPr>
            <w:r>
              <w:rPr>
                <w:rFonts w:ascii="Arial" w:cs="Arial" w:eastAsia="Arial" w:hAnsi="Arial"/>
                <w:b w:val="false"/>
                <w:bCs w:val="false"/>
                <w:sz w:val="20"/>
                <w:szCs w:val="20"/>
              </w:rPr>
              <w:t xml:space="preserve">Available</w:t>
            </w:r>
          </w:p>
        </w:tc>
      </w:tr>
      <w:tr>
        <w:tc>
          <w:tcPr>
            <w:tcW w:type="pct" w:w="25%"/>
            <w:vAlign w:val="center"/>
          </w:tcPr>
          <w:p>
            <w:pPr>
              <w:spacing w:after="40" w:before="40"/>
              <w:jc w:val="left"/>
            </w:pPr>
            <w:r>
              <w:rPr>
                <w:rFonts w:ascii="Arial" w:cs="Arial" w:eastAsia="Arial" w:hAnsi="Arial"/>
                <w:b w:val="false"/>
                <w:bCs w:val="false"/>
                <w:sz w:val="20"/>
                <w:szCs w:val="20"/>
              </w:rPr>
              <w:t xml:space="preserve">Foot Anstey</w:t>
            </w:r>
          </w:p>
        </w:tc>
        <w:tc>
          <w:tcPr>
            <w:tcW w:type="pct" w:w="25%"/>
            <w:vAlign w:val="center"/>
          </w:tcPr>
          <w:p>
            <w:pPr>
              <w:spacing w:after="40" w:before="40"/>
              <w:jc w:val="left"/>
            </w:pPr>
            <w:r>
              <w:rPr>
                <w:rFonts w:ascii="Arial" w:cs="Arial" w:eastAsia="Arial" w:hAnsi="Arial"/>
                <w:b w:val="false"/>
                <w:bCs w:val="false"/>
                <w:sz w:val="20"/>
                <w:szCs w:val="20"/>
              </w:rPr>
              <w:t xml:space="preserve">South West / London</w:t>
            </w:r>
          </w:p>
        </w:tc>
        <w:tc>
          <w:tcPr>
            <w:tcW w:type="pct" w:w="30%"/>
            <w:vAlign w:val="center"/>
          </w:tcPr>
          <w:p>
            <w:pPr>
              <w:spacing w:after="40" w:before="40"/>
              <w:jc w:val="left"/>
            </w:pPr>
            <w:r>
              <w:rPr>
                <w:rFonts w:ascii="Arial" w:cs="Arial" w:eastAsia="Arial" w:hAnsi="Arial"/>
                <w:b w:val="false"/>
                <w:bCs w:val="false"/>
                <w:sz w:val="20"/>
                <w:szCs w:val="20"/>
              </w:rPr>
              <w:t xml:space="preserve">Islamic finance, commercial property</w:t>
            </w:r>
          </w:p>
        </w:tc>
        <w:tc>
          <w:tcPr>
            <w:tcW w:type="pct" w:w="20%"/>
            <w:vAlign w:val="center"/>
          </w:tcPr>
          <w:p>
            <w:pPr>
              <w:spacing w:after="40" w:before="40"/>
              <w:jc w:val="left"/>
            </w:pPr>
            <w:r>
              <w:rPr>
                <w:rFonts w:ascii="Arial" w:cs="Arial" w:eastAsia="Arial" w:hAnsi="Arial"/>
                <w:b w:val="false"/>
                <w:bCs w:val="false"/>
                <w:sz w:val="20"/>
                <w:szCs w:val="20"/>
              </w:rPr>
              <w:t xml:space="preserve">Available</w:t>
            </w:r>
          </w:p>
        </w:tc>
      </w:tr>
      <w:tr>
        <w:tc>
          <w:tcPr>
            <w:tcW w:type="pct" w:w="25%"/>
            <w:shd w:fill="F2F2F2" w:val="clear"/>
            <w:vAlign w:val="center"/>
          </w:tcPr>
          <w:p>
            <w:pPr>
              <w:spacing w:after="40" w:before="40"/>
              <w:jc w:val="left"/>
            </w:pPr>
            <w:r>
              <w:rPr>
                <w:rFonts w:ascii="Arial" w:cs="Arial" w:eastAsia="Arial" w:hAnsi="Arial"/>
                <w:b w:val="false"/>
                <w:bCs w:val="false"/>
                <w:sz w:val="20"/>
                <w:szCs w:val="20"/>
              </w:rPr>
              <w:t xml:space="preserve">Charles Russell Speechlys</w:t>
            </w:r>
          </w:p>
        </w:tc>
        <w:tc>
          <w:tcPr>
            <w:tcW w:type="pct" w:w="25%"/>
            <w:shd w:fill="F2F2F2" w:val="clear"/>
            <w:vAlign w:val="center"/>
          </w:tcPr>
          <w:p>
            <w:pPr>
              <w:spacing w:after="40" w:before="40"/>
              <w:jc w:val="left"/>
            </w:pPr>
            <w:r>
              <w:rPr>
                <w:rFonts w:ascii="Arial" w:cs="Arial" w:eastAsia="Arial" w:hAnsi="Arial"/>
                <w:b w:val="false"/>
                <w:bCs w:val="false"/>
                <w:sz w:val="20"/>
                <w:szCs w:val="20"/>
              </w:rPr>
              <w:t xml:space="preserve">London</w:t>
            </w:r>
          </w:p>
        </w:tc>
        <w:tc>
          <w:tcPr>
            <w:tcW w:type="pct" w:w="30%"/>
            <w:shd w:fill="F2F2F2" w:val="clear"/>
            <w:vAlign w:val="center"/>
          </w:tcPr>
          <w:p>
            <w:pPr>
              <w:spacing w:after="40" w:before="40"/>
              <w:jc w:val="left"/>
            </w:pPr>
            <w:r>
              <w:rPr>
                <w:rFonts w:ascii="Arial" w:cs="Arial" w:eastAsia="Arial" w:hAnsi="Arial"/>
                <w:b w:val="false"/>
                <w:bCs w:val="false"/>
                <w:sz w:val="20"/>
                <w:szCs w:val="20"/>
              </w:rPr>
              <w:t xml:space="preserve">Islamic finance, Sukuk, Sharia advisory</w:t>
            </w:r>
          </w:p>
        </w:tc>
        <w:tc>
          <w:tcPr>
            <w:tcW w:type="pct" w:w="20%"/>
            <w:shd w:fill="F2F2F2" w:val="clear"/>
            <w:vAlign w:val="center"/>
          </w:tcPr>
          <w:p>
            <w:pPr>
              <w:spacing w:after="40" w:before="40"/>
              <w:jc w:val="left"/>
            </w:pPr>
            <w:r>
              <w:rPr>
                <w:rFonts w:ascii="Arial" w:cs="Arial" w:eastAsia="Arial" w:hAnsi="Arial"/>
                <w:b w:val="false"/>
                <w:bCs w:val="false"/>
                <w:sz w:val="20"/>
                <w:szCs w:val="20"/>
              </w:rPr>
              <w:t xml:space="preserve">Available</w:t>
            </w:r>
          </w:p>
        </w:tc>
      </w:tr>
      <w:tr>
        <w:tc>
          <w:tcPr>
            <w:tcW w:type="pct" w:w="25%"/>
            <w:vAlign w:val="center"/>
          </w:tcPr>
          <w:p>
            <w:pPr>
              <w:spacing w:after="40" w:before="40"/>
              <w:jc w:val="left"/>
            </w:pPr>
            <w:r>
              <w:rPr>
                <w:rFonts w:ascii="Arial" w:cs="Arial" w:eastAsia="Arial" w:hAnsi="Arial"/>
                <w:b w:val="false"/>
                <w:bCs w:val="false"/>
                <w:sz w:val="20"/>
                <w:szCs w:val="20"/>
              </w:rPr>
              <w:t xml:space="preserve">Trowers &amp; Hamlins</w:t>
            </w:r>
          </w:p>
        </w:tc>
        <w:tc>
          <w:tcPr>
            <w:tcW w:type="pct" w:w="25%"/>
            <w:vAlign w:val="center"/>
          </w:tcPr>
          <w:p>
            <w:pPr>
              <w:spacing w:after="40" w:before="40"/>
              <w:jc w:val="left"/>
            </w:pPr>
            <w:r>
              <w:rPr>
                <w:rFonts w:ascii="Arial" w:cs="Arial" w:eastAsia="Arial" w:hAnsi="Arial"/>
                <w:b w:val="false"/>
                <w:bCs w:val="false"/>
                <w:sz w:val="20"/>
                <w:szCs w:val="20"/>
              </w:rPr>
              <w:t xml:space="preserve">London / Middle East</w:t>
            </w:r>
          </w:p>
        </w:tc>
        <w:tc>
          <w:tcPr>
            <w:tcW w:type="pct" w:w="30%"/>
            <w:vAlign w:val="center"/>
          </w:tcPr>
          <w:p>
            <w:pPr>
              <w:spacing w:after="40" w:before="40"/>
              <w:jc w:val="left"/>
            </w:pPr>
            <w:r>
              <w:rPr>
                <w:rFonts w:ascii="Arial" w:cs="Arial" w:eastAsia="Arial" w:hAnsi="Arial"/>
                <w:b w:val="false"/>
                <w:bCs w:val="false"/>
                <w:sz w:val="20"/>
                <w:szCs w:val="20"/>
              </w:rPr>
              <w:t xml:space="preserve">Islamic finance, real estate</w:t>
            </w:r>
          </w:p>
        </w:tc>
        <w:tc>
          <w:tcPr>
            <w:tcW w:type="pct" w:w="20%"/>
            <w:vAlign w:val="center"/>
          </w:tcPr>
          <w:p>
            <w:pPr>
              <w:spacing w:after="40" w:before="40"/>
              <w:jc w:val="left"/>
            </w:pPr>
            <w:r>
              <w:rPr>
                <w:rFonts w:ascii="Arial" w:cs="Arial" w:eastAsia="Arial" w:hAnsi="Arial"/>
                <w:b w:val="false"/>
                <w:bCs w:val="false"/>
                <w:sz w:val="20"/>
                <w:szCs w:val="20"/>
              </w:rPr>
              <w:t xml:space="preserve">Available</w:t>
            </w:r>
          </w:p>
        </w:tc>
      </w:tr>
      <w:tr>
        <w:tc>
          <w:tcPr>
            <w:tcW w:type="pct" w:w="25%"/>
            <w:shd w:fill="F2F2F2" w:val="clear"/>
            <w:vAlign w:val="center"/>
          </w:tcPr>
          <w:p>
            <w:pPr>
              <w:spacing w:after="40" w:before="40"/>
              <w:jc w:val="left"/>
            </w:pPr>
            <w:r>
              <w:rPr>
                <w:rFonts w:ascii="Arial" w:cs="Arial" w:eastAsia="Arial" w:hAnsi="Arial"/>
                <w:b w:val="false"/>
                <w:bCs w:val="false"/>
                <w:sz w:val="20"/>
                <w:szCs w:val="20"/>
              </w:rPr>
              <w:t xml:space="preserve">Dentons</w:t>
            </w:r>
          </w:p>
        </w:tc>
        <w:tc>
          <w:tcPr>
            <w:tcW w:type="pct" w:w="25%"/>
            <w:shd w:fill="F2F2F2" w:val="clear"/>
            <w:vAlign w:val="center"/>
          </w:tcPr>
          <w:p>
            <w:pPr>
              <w:spacing w:after="40" w:before="40"/>
              <w:jc w:val="left"/>
            </w:pPr>
            <w:r>
              <w:rPr>
                <w:rFonts w:ascii="Arial" w:cs="Arial" w:eastAsia="Arial" w:hAnsi="Arial"/>
                <w:b w:val="false"/>
                <w:bCs w:val="false"/>
                <w:sz w:val="20"/>
                <w:szCs w:val="20"/>
              </w:rPr>
              <w:t xml:space="preserve">Global</w:t>
            </w:r>
          </w:p>
        </w:tc>
        <w:tc>
          <w:tcPr>
            <w:tcW w:type="pct" w:w="30%"/>
            <w:shd w:fill="F2F2F2" w:val="clear"/>
            <w:vAlign w:val="center"/>
          </w:tcPr>
          <w:p>
            <w:pPr>
              <w:spacing w:after="40" w:before="40"/>
              <w:jc w:val="left"/>
            </w:pPr>
            <w:r>
              <w:rPr>
                <w:rFonts w:ascii="Arial" w:cs="Arial" w:eastAsia="Arial" w:hAnsi="Arial"/>
                <w:b w:val="false"/>
                <w:bCs w:val="false"/>
                <w:sz w:val="20"/>
                <w:szCs w:val="20"/>
              </w:rPr>
              <w:t xml:space="preserve">Islamic finance, capital markets</w:t>
            </w:r>
          </w:p>
        </w:tc>
        <w:tc>
          <w:tcPr>
            <w:tcW w:type="pct" w:w="20%"/>
            <w:shd w:fill="F2F2F2" w:val="clear"/>
            <w:vAlign w:val="center"/>
          </w:tcPr>
          <w:p>
            <w:pPr>
              <w:spacing w:after="40" w:before="40"/>
              <w:jc w:val="left"/>
            </w:pPr>
            <w:r>
              <w:rPr>
                <w:rFonts w:ascii="Arial" w:cs="Arial" w:eastAsia="Arial" w:hAnsi="Arial"/>
                <w:b w:val="false"/>
                <w:bCs w:val="false"/>
                <w:sz w:val="20"/>
                <w:szCs w:val="20"/>
              </w:rPr>
              <w:t xml:space="preserve">Available</w:t>
            </w:r>
          </w:p>
        </w:tc>
      </w:tr>
    </w:tbl>
    <w:p>
      <w:pPr>
        <w:spacing w:after="60"/>
      </w:pPr>
    </w:p>
    <w:p>
      <w:pPr>
        <w:pStyle w:val="Heading2"/>
        <w:pageBreakBefore/>
        <w:spacing w:after="120"/>
        <w:jc w:val="left"/>
      </w:pPr>
      <w:r>
        <w:rPr>
          <w:rFonts w:ascii="Arial" w:cs="Arial" w:eastAsia="Arial" w:hAnsi="Arial"/>
          <w:b w:val="false"/>
          <w:bCs w:val="false"/>
          <w:i w:val="false"/>
          <w:iCs w:val="false"/>
          <w:sz w:val="22"/>
          <w:szCs w:val="22"/>
        </w:rPr>
        <w:t xml:space="preserve">5.4 Discrimination &amp; Islamophobia (12 firms)</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gridCol w:w="100"/>
      </w:tblGrid>
      <w:tr>
        <w:trPr>
          <w:tblHeader/>
        </w:trPr>
        <w:tc>
          <w:tcPr>
            <w:tcW w:type="pct" w:w="25%"/>
            <w:shd w:fill="14532D" w:val="clear"/>
            <w:vAlign w:val="center"/>
          </w:tcPr>
          <w:p>
            <w:pPr>
              <w:spacing w:after="40" w:before="40"/>
              <w:jc w:val="left"/>
            </w:pPr>
            <w:r>
              <w:rPr>
                <w:rFonts w:ascii="Arial" w:cs="Arial" w:eastAsia="Arial" w:hAnsi="Arial"/>
                <w:b/>
                <w:bCs/>
                <w:color w:val="FFFFFF"/>
                <w:sz w:val="20"/>
                <w:szCs w:val="20"/>
              </w:rPr>
              <w:t xml:space="preserve">Firm Name</w:t>
            </w:r>
          </w:p>
        </w:tc>
        <w:tc>
          <w:tcPr>
            <w:tcW w:type="pct" w:w="25%"/>
            <w:shd w:fill="14532D" w:val="clear"/>
            <w:vAlign w:val="center"/>
          </w:tcPr>
          <w:p>
            <w:pPr>
              <w:spacing w:after="40" w:before="40"/>
              <w:jc w:val="left"/>
            </w:pPr>
            <w:r>
              <w:rPr>
                <w:rFonts w:ascii="Arial" w:cs="Arial" w:eastAsia="Arial" w:hAnsi="Arial"/>
                <w:b/>
                <w:bCs/>
                <w:color w:val="FFFFFF"/>
                <w:sz w:val="20"/>
                <w:szCs w:val="20"/>
              </w:rPr>
              <w:t xml:space="preserve">Location</w:t>
            </w:r>
          </w:p>
        </w:tc>
        <w:tc>
          <w:tcPr>
            <w:tcW w:type="pct" w:w="30%"/>
            <w:shd w:fill="14532D" w:val="clear"/>
            <w:vAlign w:val="center"/>
          </w:tcPr>
          <w:p>
            <w:pPr>
              <w:spacing w:after="40" w:before="40"/>
              <w:jc w:val="left"/>
            </w:pPr>
            <w:r>
              <w:rPr>
                <w:rFonts w:ascii="Arial" w:cs="Arial" w:eastAsia="Arial" w:hAnsi="Arial"/>
                <w:b/>
                <w:bCs/>
                <w:color w:val="FFFFFF"/>
                <w:sz w:val="20"/>
                <w:szCs w:val="20"/>
              </w:rPr>
              <w:t xml:space="preserve">Key Specialism</w:t>
            </w:r>
          </w:p>
        </w:tc>
        <w:tc>
          <w:tcPr>
            <w:tcW w:type="pct" w:w="20%"/>
            <w:shd w:fill="14532D" w:val="clear"/>
            <w:vAlign w:val="center"/>
          </w:tcPr>
          <w:p>
            <w:pPr>
              <w:spacing w:after="40" w:before="40"/>
              <w:jc w:val="left"/>
            </w:pPr>
            <w:r>
              <w:rPr>
                <w:rFonts w:ascii="Arial" w:cs="Arial" w:eastAsia="Arial" w:hAnsi="Arial"/>
                <w:b/>
                <w:bCs/>
                <w:color w:val="FFFFFF"/>
                <w:sz w:val="20"/>
                <w:szCs w:val="20"/>
              </w:rPr>
              <w:t xml:space="preserve">Contact</w:t>
            </w:r>
          </w:p>
        </w:tc>
      </w:tr>
      <w:tr>
        <w:tc>
          <w:tcPr>
            <w:tcW w:type="pct" w:w="25%"/>
            <w:vAlign w:val="center"/>
          </w:tcPr>
          <w:p>
            <w:pPr>
              <w:spacing w:after="40" w:before="40"/>
              <w:jc w:val="left"/>
            </w:pPr>
            <w:r>
              <w:rPr>
                <w:rFonts w:ascii="Arial" w:cs="Arial" w:eastAsia="Arial" w:hAnsi="Arial"/>
                <w:b w:val="false"/>
                <w:bCs w:val="false"/>
                <w:sz w:val="20"/>
                <w:szCs w:val="20"/>
              </w:rPr>
              <w:t xml:space="preserve">Rahman Lowe</w:t>
            </w:r>
          </w:p>
        </w:tc>
        <w:tc>
          <w:tcPr>
            <w:tcW w:type="pct" w:w="25%"/>
            <w:vAlign w:val="center"/>
          </w:tcPr>
          <w:p>
            <w:pPr>
              <w:spacing w:after="40" w:before="40"/>
              <w:jc w:val="left"/>
            </w:pPr>
            <w:r>
              <w:rPr>
                <w:rFonts w:ascii="Arial" w:cs="Arial" w:eastAsia="Arial" w:hAnsi="Arial"/>
                <w:b w:val="false"/>
                <w:bCs w:val="false"/>
                <w:sz w:val="20"/>
                <w:szCs w:val="20"/>
              </w:rPr>
              <w:t xml:space="preserve">London</w:t>
            </w:r>
          </w:p>
        </w:tc>
        <w:tc>
          <w:tcPr>
            <w:tcW w:type="pct" w:w="30%"/>
            <w:vAlign w:val="center"/>
          </w:tcPr>
          <w:p>
            <w:pPr>
              <w:spacing w:after="40" w:before="40"/>
              <w:jc w:val="left"/>
            </w:pPr>
            <w:r>
              <w:rPr>
                <w:rFonts w:ascii="Arial" w:cs="Arial" w:eastAsia="Arial" w:hAnsi="Arial"/>
                <w:b w:val="false"/>
                <w:bCs w:val="false"/>
                <w:sz w:val="20"/>
                <w:szCs w:val="20"/>
              </w:rPr>
              <w:t xml:space="preserve">Employment discrimination, Islamophobia</w:t>
            </w:r>
          </w:p>
        </w:tc>
        <w:tc>
          <w:tcPr>
            <w:tcW w:type="pct" w:w="20%"/>
            <w:vAlign w:val="center"/>
          </w:tcPr>
          <w:p>
            <w:pPr>
              <w:spacing w:after="40" w:before="40"/>
              <w:jc w:val="left"/>
            </w:pPr>
            <w:r>
              <w:rPr>
                <w:rFonts w:ascii="Arial" w:cs="Arial" w:eastAsia="Arial" w:hAnsi="Arial"/>
                <w:b w:val="false"/>
                <w:bCs w:val="false"/>
                <w:sz w:val="20"/>
                <w:szCs w:val="20"/>
              </w:rPr>
              <w:t xml:space="preserve">Available</w:t>
            </w:r>
          </w:p>
        </w:tc>
      </w:tr>
      <w:tr>
        <w:tc>
          <w:tcPr>
            <w:tcW w:type="pct" w:w="25%"/>
            <w:shd w:fill="F2F2F2" w:val="clear"/>
            <w:vAlign w:val="center"/>
          </w:tcPr>
          <w:p>
            <w:pPr>
              <w:spacing w:after="40" w:before="40"/>
              <w:jc w:val="left"/>
            </w:pPr>
            <w:r>
              <w:rPr>
                <w:rFonts w:ascii="Arial" w:cs="Arial" w:eastAsia="Arial" w:hAnsi="Arial"/>
                <w:b w:val="false"/>
                <w:bCs w:val="false"/>
                <w:sz w:val="20"/>
                <w:szCs w:val="20"/>
              </w:rPr>
              <w:t xml:space="preserve">Kesar &amp; Co</w:t>
            </w:r>
          </w:p>
        </w:tc>
        <w:tc>
          <w:tcPr>
            <w:tcW w:type="pct" w:w="25%"/>
            <w:shd w:fill="F2F2F2" w:val="clear"/>
            <w:vAlign w:val="center"/>
          </w:tcPr>
          <w:p>
            <w:pPr>
              <w:spacing w:after="40" w:before="40"/>
              <w:jc w:val="left"/>
            </w:pPr>
            <w:r>
              <w:rPr>
                <w:rFonts w:ascii="Arial" w:cs="Arial" w:eastAsia="Arial" w:hAnsi="Arial"/>
                <w:b w:val="false"/>
                <w:bCs w:val="false"/>
                <w:sz w:val="20"/>
                <w:szCs w:val="20"/>
              </w:rPr>
              <w:t xml:space="preserve">London</w:t>
            </w:r>
          </w:p>
        </w:tc>
        <w:tc>
          <w:tcPr>
            <w:tcW w:type="pct" w:w="30%"/>
            <w:shd w:fill="F2F2F2" w:val="clear"/>
            <w:vAlign w:val="center"/>
          </w:tcPr>
          <w:p>
            <w:pPr>
              <w:spacing w:after="40" w:before="40"/>
              <w:jc w:val="left"/>
            </w:pPr>
            <w:r>
              <w:rPr>
                <w:rFonts w:ascii="Arial" w:cs="Arial" w:eastAsia="Arial" w:hAnsi="Arial"/>
                <w:b w:val="false"/>
                <w:bCs w:val="false"/>
                <w:sz w:val="20"/>
                <w:szCs w:val="20"/>
              </w:rPr>
              <w:t xml:space="preserve">Discrimination, hate crime</w:t>
            </w:r>
          </w:p>
        </w:tc>
        <w:tc>
          <w:tcPr>
            <w:tcW w:type="pct" w:w="20%"/>
            <w:shd w:fill="F2F2F2" w:val="clear"/>
            <w:vAlign w:val="center"/>
          </w:tcPr>
          <w:p>
            <w:pPr>
              <w:spacing w:after="40" w:before="40"/>
              <w:jc w:val="left"/>
            </w:pPr>
            <w:r>
              <w:rPr>
                <w:rFonts w:ascii="Arial" w:cs="Arial" w:eastAsia="Arial" w:hAnsi="Arial"/>
                <w:b w:val="false"/>
                <w:bCs w:val="false"/>
                <w:sz w:val="20"/>
                <w:szCs w:val="20"/>
              </w:rPr>
              <w:t xml:space="preserve">Available</w:t>
            </w:r>
          </w:p>
        </w:tc>
      </w:tr>
      <w:tr>
        <w:tc>
          <w:tcPr>
            <w:tcW w:type="pct" w:w="25%"/>
            <w:vAlign w:val="center"/>
          </w:tcPr>
          <w:p>
            <w:pPr>
              <w:spacing w:after="40" w:before="40"/>
              <w:jc w:val="left"/>
            </w:pPr>
            <w:r>
              <w:rPr>
                <w:rFonts w:ascii="Arial" w:cs="Arial" w:eastAsia="Arial" w:hAnsi="Arial"/>
                <w:b w:val="false"/>
                <w:bCs w:val="false"/>
                <w:sz w:val="20"/>
                <w:szCs w:val="20"/>
              </w:rPr>
              <w:t xml:space="preserve">Sharma Solicitors</w:t>
            </w:r>
          </w:p>
        </w:tc>
        <w:tc>
          <w:tcPr>
            <w:tcW w:type="pct" w:w="25%"/>
            <w:vAlign w:val="center"/>
          </w:tcPr>
          <w:p>
            <w:pPr>
              <w:spacing w:after="40" w:before="40"/>
              <w:jc w:val="left"/>
            </w:pPr>
            <w:r>
              <w:rPr>
                <w:rFonts w:ascii="Arial" w:cs="Arial" w:eastAsia="Arial" w:hAnsi="Arial"/>
                <w:b w:val="false"/>
                <w:bCs w:val="false"/>
                <w:sz w:val="20"/>
                <w:szCs w:val="20"/>
              </w:rPr>
              <w:t xml:space="preserve">London</w:t>
            </w:r>
          </w:p>
        </w:tc>
        <w:tc>
          <w:tcPr>
            <w:tcW w:type="pct" w:w="30%"/>
            <w:vAlign w:val="center"/>
          </w:tcPr>
          <w:p>
            <w:pPr>
              <w:spacing w:after="40" w:before="40"/>
              <w:jc w:val="left"/>
            </w:pPr>
            <w:r>
              <w:rPr>
                <w:rFonts w:ascii="Arial" w:cs="Arial" w:eastAsia="Arial" w:hAnsi="Arial"/>
                <w:b w:val="false"/>
                <w:bCs w:val="false"/>
                <w:sz w:val="20"/>
                <w:szCs w:val="20"/>
              </w:rPr>
              <w:t xml:space="preserve">Employment law, discrimination</w:t>
            </w:r>
          </w:p>
        </w:tc>
        <w:tc>
          <w:tcPr>
            <w:tcW w:type="pct" w:w="20%"/>
            <w:vAlign w:val="center"/>
          </w:tcPr>
          <w:p>
            <w:pPr>
              <w:spacing w:after="40" w:before="40"/>
              <w:jc w:val="left"/>
            </w:pPr>
            <w:r>
              <w:rPr>
                <w:rFonts w:ascii="Arial" w:cs="Arial" w:eastAsia="Arial" w:hAnsi="Arial"/>
                <w:b w:val="false"/>
                <w:bCs w:val="false"/>
                <w:sz w:val="20"/>
                <w:szCs w:val="20"/>
              </w:rPr>
              <w:t xml:space="preserve">Available</w:t>
            </w:r>
          </w:p>
        </w:tc>
      </w:tr>
      <w:tr>
        <w:tc>
          <w:tcPr>
            <w:tcW w:type="pct" w:w="25%"/>
            <w:shd w:fill="F2F2F2" w:val="clear"/>
            <w:vAlign w:val="center"/>
          </w:tcPr>
          <w:p>
            <w:pPr>
              <w:spacing w:after="40" w:before="40"/>
              <w:jc w:val="left"/>
            </w:pPr>
            <w:r>
              <w:rPr>
                <w:rFonts w:ascii="Arial" w:cs="Arial" w:eastAsia="Arial" w:hAnsi="Arial"/>
                <w:b w:val="false"/>
                <w:bCs w:val="false"/>
                <w:sz w:val="20"/>
                <w:szCs w:val="20"/>
              </w:rPr>
              <w:t xml:space="preserve">Gulbenkian Andonian</w:t>
            </w:r>
          </w:p>
        </w:tc>
        <w:tc>
          <w:tcPr>
            <w:tcW w:type="pct" w:w="25%"/>
            <w:shd w:fill="F2F2F2" w:val="clear"/>
            <w:vAlign w:val="center"/>
          </w:tcPr>
          <w:p>
            <w:pPr>
              <w:spacing w:after="40" w:before="40"/>
              <w:jc w:val="left"/>
            </w:pPr>
            <w:r>
              <w:rPr>
                <w:rFonts w:ascii="Arial" w:cs="Arial" w:eastAsia="Arial" w:hAnsi="Arial"/>
                <w:b w:val="false"/>
                <w:bCs w:val="false"/>
                <w:sz w:val="20"/>
                <w:szCs w:val="20"/>
              </w:rPr>
              <w:t xml:space="preserve">London</w:t>
            </w:r>
          </w:p>
        </w:tc>
        <w:tc>
          <w:tcPr>
            <w:tcW w:type="pct" w:w="30%"/>
            <w:shd w:fill="F2F2F2" w:val="clear"/>
            <w:vAlign w:val="center"/>
          </w:tcPr>
          <w:p>
            <w:pPr>
              <w:spacing w:after="40" w:before="40"/>
              <w:jc w:val="left"/>
            </w:pPr>
            <w:r>
              <w:rPr>
                <w:rFonts w:ascii="Arial" w:cs="Arial" w:eastAsia="Arial" w:hAnsi="Arial"/>
                <w:b w:val="false"/>
                <w:bCs w:val="false"/>
                <w:sz w:val="20"/>
                <w:szCs w:val="20"/>
              </w:rPr>
              <w:t xml:space="preserve">Human rights, discrimination</w:t>
            </w:r>
          </w:p>
        </w:tc>
        <w:tc>
          <w:tcPr>
            <w:tcW w:type="pct" w:w="20%"/>
            <w:shd w:fill="F2F2F2" w:val="clear"/>
            <w:vAlign w:val="center"/>
          </w:tcPr>
          <w:p>
            <w:pPr>
              <w:spacing w:after="40" w:before="40"/>
              <w:jc w:val="left"/>
            </w:pPr>
            <w:r>
              <w:rPr>
                <w:rFonts w:ascii="Arial" w:cs="Arial" w:eastAsia="Arial" w:hAnsi="Arial"/>
                <w:b w:val="false"/>
                <w:bCs w:val="false"/>
                <w:sz w:val="20"/>
                <w:szCs w:val="20"/>
              </w:rPr>
              <w:t xml:space="preserve">Available</w:t>
            </w:r>
          </w:p>
        </w:tc>
      </w:tr>
      <w:tr>
        <w:tc>
          <w:tcPr>
            <w:tcW w:type="pct" w:w="25%"/>
            <w:vAlign w:val="center"/>
          </w:tcPr>
          <w:p>
            <w:pPr>
              <w:spacing w:after="40" w:before="40"/>
              <w:jc w:val="left"/>
            </w:pPr>
            <w:r>
              <w:rPr>
                <w:rFonts w:ascii="Arial" w:cs="Arial" w:eastAsia="Arial" w:hAnsi="Arial"/>
                <w:b w:val="false"/>
                <w:bCs w:val="false"/>
                <w:sz w:val="20"/>
                <w:szCs w:val="20"/>
              </w:rPr>
              <w:t xml:space="preserve">Didlaw</w:t>
            </w:r>
          </w:p>
        </w:tc>
        <w:tc>
          <w:tcPr>
            <w:tcW w:type="pct" w:w="25%"/>
            <w:vAlign w:val="center"/>
          </w:tcPr>
          <w:p>
            <w:pPr>
              <w:spacing w:after="40" w:before="40"/>
              <w:jc w:val="left"/>
            </w:pPr>
            <w:r>
              <w:rPr>
                <w:rFonts w:ascii="Arial" w:cs="Arial" w:eastAsia="Arial" w:hAnsi="Arial"/>
                <w:b w:val="false"/>
                <w:bCs w:val="false"/>
                <w:sz w:val="20"/>
                <w:szCs w:val="20"/>
              </w:rPr>
              <w:t xml:space="preserve">National (remote)</w:t>
            </w:r>
          </w:p>
        </w:tc>
        <w:tc>
          <w:tcPr>
            <w:tcW w:type="pct" w:w="30%"/>
            <w:vAlign w:val="center"/>
          </w:tcPr>
          <w:p>
            <w:pPr>
              <w:spacing w:after="40" w:before="40"/>
              <w:jc w:val="left"/>
            </w:pPr>
            <w:r>
              <w:rPr>
                <w:rFonts w:ascii="Arial" w:cs="Arial" w:eastAsia="Arial" w:hAnsi="Arial"/>
                <w:b w:val="false"/>
                <w:bCs w:val="false"/>
                <w:sz w:val="20"/>
                <w:szCs w:val="20"/>
              </w:rPr>
              <w:t xml:space="preserve">Discrimination, whistleblowing</w:t>
            </w:r>
          </w:p>
        </w:tc>
        <w:tc>
          <w:tcPr>
            <w:tcW w:type="pct" w:w="20%"/>
            <w:vAlign w:val="center"/>
          </w:tcPr>
          <w:p>
            <w:pPr>
              <w:spacing w:after="40" w:before="40"/>
              <w:jc w:val="left"/>
            </w:pPr>
            <w:r>
              <w:rPr>
                <w:rFonts w:ascii="Arial" w:cs="Arial" w:eastAsia="Arial" w:hAnsi="Arial"/>
                <w:b w:val="false"/>
                <w:bCs w:val="false"/>
                <w:sz w:val="20"/>
                <w:szCs w:val="20"/>
              </w:rPr>
              <w:t xml:space="preserve">Available</w:t>
            </w:r>
          </w:p>
        </w:tc>
      </w:tr>
      <w:tr>
        <w:tc>
          <w:tcPr>
            <w:tcW w:type="pct" w:w="25%"/>
            <w:shd w:fill="F2F2F2" w:val="clear"/>
            <w:vAlign w:val="center"/>
          </w:tcPr>
          <w:p>
            <w:pPr>
              <w:spacing w:after="40" w:before="40"/>
              <w:jc w:val="left"/>
            </w:pPr>
            <w:r>
              <w:rPr>
                <w:rFonts w:ascii="Arial" w:cs="Arial" w:eastAsia="Arial" w:hAnsi="Arial"/>
                <w:b w:val="false"/>
                <w:bCs w:val="false"/>
                <w:sz w:val="20"/>
                <w:szCs w:val="20"/>
              </w:rPr>
              <w:t xml:space="preserve">Bindmans LLP</w:t>
            </w:r>
          </w:p>
        </w:tc>
        <w:tc>
          <w:tcPr>
            <w:tcW w:type="pct" w:w="25%"/>
            <w:shd w:fill="F2F2F2" w:val="clear"/>
            <w:vAlign w:val="center"/>
          </w:tcPr>
          <w:p>
            <w:pPr>
              <w:spacing w:after="40" w:before="40"/>
              <w:jc w:val="left"/>
            </w:pPr>
            <w:r>
              <w:rPr>
                <w:rFonts w:ascii="Arial" w:cs="Arial" w:eastAsia="Arial" w:hAnsi="Arial"/>
                <w:b w:val="false"/>
                <w:bCs w:val="false"/>
                <w:sz w:val="20"/>
                <w:szCs w:val="20"/>
              </w:rPr>
              <w:t xml:space="preserve">London</w:t>
            </w:r>
          </w:p>
        </w:tc>
        <w:tc>
          <w:tcPr>
            <w:tcW w:type="pct" w:w="30%"/>
            <w:shd w:fill="F2F2F2" w:val="clear"/>
            <w:vAlign w:val="center"/>
          </w:tcPr>
          <w:p>
            <w:pPr>
              <w:spacing w:after="40" w:before="40"/>
              <w:jc w:val="left"/>
            </w:pPr>
            <w:r>
              <w:rPr>
                <w:rFonts w:ascii="Arial" w:cs="Arial" w:eastAsia="Arial" w:hAnsi="Arial"/>
                <w:b w:val="false"/>
                <w:bCs w:val="false"/>
                <w:sz w:val="20"/>
                <w:szCs w:val="20"/>
              </w:rPr>
              <w:t xml:space="preserve">Human rights, civil liberties</w:t>
            </w:r>
          </w:p>
        </w:tc>
        <w:tc>
          <w:tcPr>
            <w:tcW w:type="pct" w:w="20%"/>
            <w:shd w:fill="F2F2F2" w:val="clear"/>
            <w:vAlign w:val="center"/>
          </w:tcPr>
          <w:p>
            <w:pPr>
              <w:spacing w:after="40" w:before="40"/>
              <w:jc w:val="left"/>
            </w:pPr>
            <w:r>
              <w:rPr>
                <w:rFonts w:ascii="Arial" w:cs="Arial" w:eastAsia="Arial" w:hAnsi="Arial"/>
                <w:b w:val="false"/>
                <w:bCs w:val="false"/>
                <w:sz w:val="20"/>
                <w:szCs w:val="20"/>
              </w:rPr>
              <w:t xml:space="preserve">Available</w:t>
            </w:r>
          </w:p>
        </w:tc>
      </w:tr>
      <w:tr>
        <w:tc>
          <w:tcPr>
            <w:tcW w:type="pct" w:w="25%"/>
            <w:vAlign w:val="center"/>
          </w:tcPr>
          <w:p>
            <w:pPr>
              <w:spacing w:after="40" w:before="40"/>
              <w:jc w:val="left"/>
            </w:pPr>
            <w:r>
              <w:rPr>
                <w:rFonts w:ascii="Arial" w:cs="Arial" w:eastAsia="Arial" w:hAnsi="Arial"/>
                <w:b w:val="false"/>
                <w:bCs w:val="false"/>
                <w:sz w:val="20"/>
                <w:szCs w:val="20"/>
              </w:rPr>
              <w:t xml:space="preserve">Mishcon de Reya</w:t>
            </w:r>
          </w:p>
        </w:tc>
        <w:tc>
          <w:tcPr>
            <w:tcW w:type="pct" w:w="25%"/>
            <w:vAlign w:val="center"/>
          </w:tcPr>
          <w:p>
            <w:pPr>
              <w:spacing w:after="40" w:before="40"/>
              <w:jc w:val="left"/>
            </w:pPr>
            <w:r>
              <w:rPr>
                <w:rFonts w:ascii="Arial" w:cs="Arial" w:eastAsia="Arial" w:hAnsi="Arial"/>
                <w:b w:val="false"/>
                <w:bCs w:val="false"/>
                <w:sz w:val="20"/>
                <w:szCs w:val="20"/>
              </w:rPr>
              <w:t xml:space="preserve">London</w:t>
            </w:r>
          </w:p>
        </w:tc>
        <w:tc>
          <w:tcPr>
            <w:tcW w:type="pct" w:w="30%"/>
            <w:vAlign w:val="center"/>
          </w:tcPr>
          <w:p>
            <w:pPr>
              <w:spacing w:after="40" w:before="40"/>
              <w:jc w:val="left"/>
            </w:pPr>
            <w:r>
              <w:rPr>
                <w:rFonts w:ascii="Arial" w:cs="Arial" w:eastAsia="Arial" w:hAnsi="Arial"/>
                <w:b w:val="false"/>
                <w:bCs w:val="false"/>
                <w:sz w:val="20"/>
                <w:szCs w:val="20"/>
              </w:rPr>
              <w:t xml:space="preserve">High-profile discrimination, human rights</w:t>
            </w:r>
          </w:p>
        </w:tc>
        <w:tc>
          <w:tcPr>
            <w:tcW w:type="pct" w:w="20%"/>
            <w:vAlign w:val="center"/>
          </w:tcPr>
          <w:p>
            <w:pPr>
              <w:spacing w:after="40" w:before="40"/>
              <w:jc w:val="left"/>
            </w:pPr>
            <w:r>
              <w:rPr>
                <w:rFonts w:ascii="Arial" w:cs="Arial" w:eastAsia="Arial" w:hAnsi="Arial"/>
                <w:b w:val="false"/>
                <w:bCs w:val="false"/>
                <w:sz w:val="20"/>
                <w:szCs w:val="20"/>
              </w:rPr>
              <w:t xml:space="preserve">Available</w:t>
            </w:r>
          </w:p>
        </w:tc>
      </w:tr>
      <w:tr>
        <w:tc>
          <w:tcPr>
            <w:tcW w:type="pct" w:w="25%"/>
            <w:shd w:fill="F2F2F2" w:val="clear"/>
            <w:vAlign w:val="center"/>
          </w:tcPr>
          <w:p>
            <w:pPr>
              <w:spacing w:after="40" w:before="40"/>
              <w:jc w:val="left"/>
            </w:pPr>
            <w:r>
              <w:rPr>
                <w:rFonts w:ascii="Arial" w:cs="Arial" w:eastAsia="Arial" w:hAnsi="Arial"/>
                <w:b w:val="false"/>
                <w:bCs w:val="false"/>
                <w:sz w:val="20"/>
                <w:szCs w:val="20"/>
              </w:rPr>
              <w:t xml:space="preserve">Bhatt Murphy</w:t>
            </w:r>
          </w:p>
        </w:tc>
        <w:tc>
          <w:tcPr>
            <w:tcW w:type="pct" w:w="25%"/>
            <w:shd w:fill="F2F2F2" w:val="clear"/>
            <w:vAlign w:val="center"/>
          </w:tcPr>
          <w:p>
            <w:pPr>
              <w:spacing w:after="40" w:before="40"/>
              <w:jc w:val="left"/>
            </w:pPr>
            <w:r>
              <w:rPr>
                <w:rFonts w:ascii="Arial" w:cs="Arial" w:eastAsia="Arial" w:hAnsi="Arial"/>
                <w:b w:val="false"/>
                <w:bCs w:val="false"/>
                <w:sz w:val="20"/>
                <w:szCs w:val="20"/>
              </w:rPr>
              <w:t xml:space="preserve">London</w:t>
            </w:r>
          </w:p>
        </w:tc>
        <w:tc>
          <w:tcPr>
            <w:tcW w:type="pct" w:w="30%"/>
            <w:shd w:fill="F2F2F2" w:val="clear"/>
            <w:vAlign w:val="center"/>
          </w:tcPr>
          <w:p>
            <w:pPr>
              <w:spacing w:after="40" w:before="40"/>
              <w:jc w:val="left"/>
            </w:pPr>
            <w:r>
              <w:rPr>
                <w:rFonts w:ascii="Arial" w:cs="Arial" w:eastAsia="Arial" w:hAnsi="Arial"/>
                <w:b w:val="false"/>
                <w:bCs w:val="false"/>
                <w:sz w:val="20"/>
                <w:szCs w:val="20"/>
              </w:rPr>
              <w:t xml:space="preserve">Civil liberties, police misconduct</w:t>
            </w:r>
          </w:p>
        </w:tc>
        <w:tc>
          <w:tcPr>
            <w:tcW w:type="pct" w:w="20%"/>
            <w:shd w:fill="F2F2F2" w:val="clear"/>
            <w:vAlign w:val="center"/>
          </w:tcPr>
          <w:p>
            <w:pPr>
              <w:spacing w:after="40" w:before="40"/>
              <w:jc w:val="left"/>
            </w:pPr>
            <w:r>
              <w:rPr>
                <w:rFonts w:ascii="Arial" w:cs="Arial" w:eastAsia="Arial" w:hAnsi="Arial"/>
                <w:b w:val="false"/>
                <w:bCs w:val="false"/>
                <w:sz w:val="20"/>
                <w:szCs w:val="20"/>
              </w:rPr>
              <w:t xml:space="preserve">Available</w:t>
            </w:r>
          </w:p>
        </w:tc>
      </w:tr>
      <w:tr>
        <w:tc>
          <w:tcPr>
            <w:tcW w:type="pct" w:w="25%"/>
            <w:vAlign w:val="center"/>
          </w:tcPr>
          <w:p>
            <w:pPr>
              <w:spacing w:after="40" w:before="40"/>
              <w:jc w:val="left"/>
            </w:pPr>
            <w:r>
              <w:rPr>
                <w:rFonts w:ascii="Arial" w:cs="Arial" w:eastAsia="Arial" w:hAnsi="Arial"/>
                <w:b w:val="false"/>
                <w:bCs w:val="false"/>
                <w:sz w:val="20"/>
                <w:szCs w:val="20"/>
              </w:rPr>
              <w:t xml:space="preserve">Landau Law</w:t>
            </w:r>
          </w:p>
        </w:tc>
        <w:tc>
          <w:tcPr>
            <w:tcW w:type="pct" w:w="25%"/>
            <w:vAlign w:val="center"/>
          </w:tcPr>
          <w:p>
            <w:pPr>
              <w:spacing w:after="40" w:before="40"/>
              <w:jc w:val="left"/>
            </w:pPr>
            <w:r>
              <w:rPr>
                <w:rFonts w:ascii="Arial" w:cs="Arial" w:eastAsia="Arial" w:hAnsi="Arial"/>
                <w:b w:val="false"/>
                <w:bCs w:val="false"/>
                <w:sz w:val="20"/>
                <w:szCs w:val="20"/>
              </w:rPr>
              <w:t xml:space="preserve">London</w:t>
            </w:r>
          </w:p>
        </w:tc>
        <w:tc>
          <w:tcPr>
            <w:tcW w:type="pct" w:w="30%"/>
            <w:vAlign w:val="center"/>
          </w:tcPr>
          <w:p>
            <w:pPr>
              <w:spacing w:after="40" w:before="40"/>
              <w:jc w:val="left"/>
            </w:pPr>
            <w:r>
              <w:rPr>
                <w:rFonts w:ascii="Arial" w:cs="Arial" w:eastAsia="Arial" w:hAnsi="Arial"/>
                <w:b w:val="false"/>
                <w:bCs w:val="false"/>
                <w:sz w:val="20"/>
                <w:szCs w:val="20"/>
              </w:rPr>
              <w:t xml:space="preserve">Employment discrimination, settlement</w:t>
            </w:r>
          </w:p>
        </w:tc>
        <w:tc>
          <w:tcPr>
            <w:tcW w:type="pct" w:w="20%"/>
            <w:vAlign w:val="center"/>
          </w:tcPr>
          <w:p>
            <w:pPr>
              <w:spacing w:after="40" w:before="40"/>
              <w:jc w:val="left"/>
            </w:pPr>
            <w:r>
              <w:rPr>
                <w:rFonts w:ascii="Arial" w:cs="Arial" w:eastAsia="Arial" w:hAnsi="Arial"/>
                <w:b w:val="false"/>
                <w:bCs w:val="false"/>
                <w:sz w:val="20"/>
                <w:szCs w:val="20"/>
              </w:rPr>
              <w:t xml:space="preserve">Available</w:t>
            </w:r>
          </w:p>
        </w:tc>
      </w:tr>
      <w:tr>
        <w:tc>
          <w:tcPr>
            <w:tcW w:type="pct" w:w="25%"/>
            <w:shd w:fill="F2F2F2" w:val="clear"/>
            <w:vAlign w:val="center"/>
          </w:tcPr>
          <w:p>
            <w:pPr>
              <w:spacing w:after="40" w:before="40"/>
              <w:jc w:val="left"/>
            </w:pPr>
            <w:r>
              <w:rPr>
                <w:rFonts w:ascii="Arial" w:cs="Arial" w:eastAsia="Arial" w:hAnsi="Arial"/>
                <w:b w:val="false"/>
                <w:bCs w:val="false"/>
                <w:sz w:val="20"/>
                <w:szCs w:val="20"/>
              </w:rPr>
              <w:t xml:space="preserve">Toner Legal</w:t>
            </w:r>
          </w:p>
        </w:tc>
        <w:tc>
          <w:tcPr>
            <w:tcW w:type="pct" w:w="25%"/>
            <w:shd w:fill="F2F2F2" w:val="clear"/>
            <w:vAlign w:val="center"/>
          </w:tcPr>
          <w:p>
            <w:pPr>
              <w:spacing w:after="40" w:before="40"/>
              <w:jc w:val="left"/>
            </w:pPr>
            <w:r>
              <w:rPr>
                <w:rFonts w:ascii="Arial" w:cs="Arial" w:eastAsia="Arial" w:hAnsi="Arial"/>
                <w:b w:val="false"/>
                <w:bCs w:val="false"/>
                <w:sz w:val="20"/>
                <w:szCs w:val="20"/>
              </w:rPr>
              <w:t xml:space="preserve">National</w:t>
            </w:r>
          </w:p>
        </w:tc>
        <w:tc>
          <w:tcPr>
            <w:tcW w:type="pct" w:w="30%"/>
            <w:shd w:fill="F2F2F2" w:val="clear"/>
            <w:vAlign w:val="center"/>
          </w:tcPr>
          <w:p>
            <w:pPr>
              <w:spacing w:after="40" w:before="40"/>
              <w:jc w:val="left"/>
            </w:pPr>
            <w:r>
              <w:rPr>
                <w:rFonts w:ascii="Arial" w:cs="Arial" w:eastAsia="Arial" w:hAnsi="Arial"/>
                <w:b w:val="false"/>
                <w:bCs w:val="false"/>
                <w:sz w:val="20"/>
                <w:szCs w:val="20"/>
              </w:rPr>
              <w:t xml:space="preserve">Hate crime, religious discrimination</w:t>
            </w:r>
          </w:p>
        </w:tc>
        <w:tc>
          <w:tcPr>
            <w:tcW w:type="pct" w:w="20%"/>
            <w:shd w:fill="F2F2F2" w:val="clear"/>
            <w:vAlign w:val="center"/>
          </w:tcPr>
          <w:p>
            <w:pPr>
              <w:spacing w:after="40" w:before="40"/>
              <w:jc w:val="left"/>
            </w:pPr>
            <w:r>
              <w:rPr>
                <w:rFonts w:ascii="Arial" w:cs="Arial" w:eastAsia="Arial" w:hAnsi="Arial"/>
                <w:b w:val="false"/>
                <w:bCs w:val="false"/>
                <w:sz w:val="20"/>
                <w:szCs w:val="20"/>
              </w:rPr>
              <w:t xml:space="preserve">Available</w:t>
            </w:r>
          </w:p>
        </w:tc>
      </w:tr>
      <w:tr>
        <w:tc>
          <w:tcPr>
            <w:tcW w:type="pct" w:w="25%"/>
            <w:vAlign w:val="center"/>
          </w:tcPr>
          <w:p>
            <w:pPr>
              <w:spacing w:after="40" w:before="40"/>
              <w:jc w:val="left"/>
            </w:pPr>
            <w:r>
              <w:rPr>
                <w:rFonts w:ascii="Arial" w:cs="Arial" w:eastAsia="Arial" w:hAnsi="Arial"/>
                <w:b w:val="false"/>
                <w:bCs w:val="false"/>
                <w:sz w:val="20"/>
                <w:szCs w:val="20"/>
              </w:rPr>
              <w:t xml:space="preserve">Slater + Gordon</w:t>
            </w:r>
          </w:p>
        </w:tc>
        <w:tc>
          <w:tcPr>
            <w:tcW w:type="pct" w:w="25%"/>
            <w:vAlign w:val="center"/>
          </w:tcPr>
          <w:p>
            <w:pPr>
              <w:spacing w:after="40" w:before="40"/>
              <w:jc w:val="left"/>
            </w:pPr>
            <w:r>
              <w:rPr>
                <w:rFonts w:ascii="Arial" w:cs="Arial" w:eastAsia="Arial" w:hAnsi="Arial"/>
                <w:b w:val="false"/>
                <w:bCs w:val="false"/>
                <w:sz w:val="20"/>
                <w:szCs w:val="20"/>
              </w:rPr>
              <w:t xml:space="preserve">National</w:t>
            </w:r>
          </w:p>
        </w:tc>
        <w:tc>
          <w:tcPr>
            <w:tcW w:type="pct" w:w="30%"/>
            <w:vAlign w:val="center"/>
          </w:tcPr>
          <w:p>
            <w:pPr>
              <w:spacing w:after="40" w:before="40"/>
              <w:jc w:val="left"/>
            </w:pPr>
            <w:r>
              <w:rPr>
                <w:rFonts w:ascii="Arial" w:cs="Arial" w:eastAsia="Arial" w:hAnsi="Arial"/>
                <w:b w:val="false"/>
                <w:bCs w:val="false"/>
                <w:sz w:val="20"/>
                <w:szCs w:val="20"/>
              </w:rPr>
              <w:t xml:space="preserve">Employment discrimination, group actions</w:t>
            </w:r>
          </w:p>
        </w:tc>
        <w:tc>
          <w:tcPr>
            <w:tcW w:type="pct" w:w="20%"/>
            <w:vAlign w:val="center"/>
          </w:tcPr>
          <w:p>
            <w:pPr>
              <w:spacing w:after="40" w:before="40"/>
              <w:jc w:val="left"/>
            </w:pPr>
            <w:r>
              <w:rPr>
                <w:rFonts w:ascii="Arial" w:cs="Arial" w:eastAsia="Arial" w:hAnsi="Arial"/>
                <w:b w:val="false"/>
                <w:bCs w:val="false"/>
                <w:sz w:val="20"/>
                <w:szCs w:val="20"/>
              </w:rPr>
              <w:t xml:space="preserve">Available</w:t>
            </w:r>
          </w:p>
        </w:tc>
      </w:tr>
      <w:tr>
        <w:tc>
          <w:tcPr>
            <w:tcW w:type="pct" w:w="25%"/>
            <w:shd w:fill="F2F2F2" w:val="clear"/>
            <w:vAlign w:val="center"/>
          </w:tcPr>
          <w:p>
            <w:pPr>
              <w:spacing w:after="40" w:before="40"/>
              <w:jc w:val="left"/>
            </w:pPr>
            <w:r>
              <w:rPr>
                <w:rFonts w:ascii="Arial" w:cs="Arial" w:eastAsia="Arial" w:hAnsi="Arial"/>
                <w:b w:val="false"/>
                <w:bCs w:val="false"/>
                <w:sz w:val="20"/>
                <w:szCs w:val="20"/>
              </w:rPr>
              <w:t xml:space="preserve">Leigh Day</w:t>
            </w:r>
          </w:p>
        </w:tc>
        <w:tc>
          <w:tcPr>
            <w:tcW w:type="pct" w:w="25%"/>
            <w:shd w:fill="F2F2F2" w:val="clear"/>
            <w:vAlign w:val="center"/>
          </w:tcPr>
          <w:p>
            <w:pPr>
              <w:spacing w:after="40" w:before="40"/>
              <w:jc w:val="left"/>
            </w:pPr>
            <w:r>
              <w:rPr>
                <w:rFonts w:ascii="Arial" w:cs="Arial" w:eastAsia="Arial" w:hAnsi="Arial"/>
                <w:b w:val="false"/>
                <w:bCs w:val="false"/>
                <w:sz w:val="20"/>
                <w:szCs w:val="20"/>
              </w:rPr>
              <w:t xml:space="preserve">London</w:t>
            </w:r>
          </w:p>
        </w:tc>
        <w:tc>
          <w:tcPr>
            <w:tcW w:type="pct" w:w="30%"/>
            <w:shd w:fill="F2F2F2" w:val="clear"/>
            <w:vAlign w:val="center"/>
          </w:tcPr>
          <w:p>
            <w:pPr>
              <w:spacing w:after="40" w:before="40"/>
              <w:jc w:val="left"/>
            </w:pPr>
            <w:r>
              <w:rPr>
                <w:rFonts w:ascii="Arial" w:cs="Arial" w:eastAsia="Arial" w:hAnsi="Arial"/>
                <w:b w:val="false"/>
                <w:bCs w:val="false"/>
                <w:sz w:val="20"/>
                <w:szCs w:val="20"/>
              </w:rPr>
              <w:t xml:space="preserve">Human rights, group litigation</w:t>
            </w:r>
          </w:p>
        </w:tc>
        <w:tc>
          <w:tcPr>
            <w:tcW w:type="pct" w:w="20%"/>
            <w:shd w:fill="F2F2F2" w:val="clear"/>
            <w:vAlign w:val="center"/>
          </w:tcPr>
          <w:p>
            <w:pPr>
              <w:spacing w:after="40" w:before="40"/>
              <w:jc w:val="left"/>
            </w:pPr>
            <w:r>
              <w:rPr>
                <w:rFonts w:ascii="Arial" w:cs="Arial" w:eastAsia="Arial" w:hAnsi="Arial"/>
                <w:b w:val="false"/>
                <w:bCs w:val="false"/>
                <w:sz w:val="20"/>
                <w:szCs w:val="20"/>
              </w:rPr>
              <w:t xml:space="preserve">Available</w:t>
            </w:r>
          </w:p>
        </w:tc>
      </w:tr>
    </w:tbl>
    <w:p>
      <w:pPr>
        <w:spacing w:after="60"/>
      </w:pPr>
    </w:p>
    <w:p>
      <w:pPr>
        <w:pStyle w:val="Heading2"/>
        <w:spacing w:after="120"/>
        <w:jc w:val="left"/>
      </w:pPr>
      <w:r>
        <w:rPr>
          <w:rFonts w:ascii="Arial" w:cs="Arial" w:eastAsia="Arial" w:hAnsi="Arial"/>
          <w:b w:val="false"/>
          <w:bCs w:val="false"/>
          <w:i w:val="false"/>
          <w:iCs w:val="false"/>
          <w:sz w:val="22"/>
          <w:szCs w:val="22"/>
        </w:rPr>
        <w:t xml:space="preserve">5.5 Support Organisations (6)</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gridCol w:w="100"/>
      </w:tblGrid>
      <w:tr>
        <w:trPr>
          <w:tblHeader/>
        </w:trPr>
        <w:tc>
          <w:tcPr>
            <w:tcW w:type="pct" w:w="25%"/>
            <w:shd w:fill="14532D" w:val="clear"/>
            <w:vAlign w:val="center"/>
          </w:tcPr>
          <w:p>
            <w:pPr>
              <w:spacing w:after="40" w:before="40"/>
              <w:jc w:val="left"/>
            </w:pPr>
            <w:r>
              <w:rPr>
                <w:rFonts w:ascii="Arial" w:cs="Arial" w:eastAsia="Arial" w:hAnsi="Arial"/>
                <w:b/>
                <w:bCs/>
                <w:color w:val="FFFFFF"/>
                <w:sz w:val="20"/>
                <w:szCs w:val="20"/>
              </w:rPr>
              <w:t xml:space="preserve">Organisation</w:t>
            </w:r>
          </w:p>
        </w:tc>
        <w:tc>
          <w:tcPr>
            <w:tcW w:type="pct" w:w="25%"/>
            <w:shd w:fill="14532D" w:val="clear"/>
            <w:vAlign w:val="center"/>
          </w:tcPr>
          <w:p>
            <w:pPr>
              <w:spacing w:after="40" w:before="40"/>
              <w:jc w:val="left"/>
            </w:pPr>
            <w:r>
              <w:rPr>
                <w:rFonts w:ascii="Arial" w:cs="Arial" w:eastAsia="Arial" w:hAnsi="Arial"/>
                <w:b/>
                <w:bCs/>
                <w:color w:val="FFFFFF"/>
                <w:sz w:val="20"/>
                <w:szCs w:val="20"/>
              </w:rPr>
              <w:t xml:space="preserve">Focus Area</w:t>
            </w:r>
          </w:p>
        </w:tc>
        <w:tc>
          <w:tcPr>
            <w:tcW w:type="pct" w:w="30%"/>
            <w:shd w:fill="14532D" w:val="clear"/>
            <w:vAlign w:val="center"/>
          </w:tcPr>
          <w:p>
            <w:pPr>
              <w:spacing w:after="40" w:before="40"/>
              <w:jc w:val="left"/>
            </w:pPr>
            <w:r>
              <w:rPr>
                <w:rFonts w:ascii="Arial" w:cs="Arial" w:eastAsia="Arial" w:hAnsi="Arial"/>
                <w:b/>
                <w:bCs/>
                <w:color w:val="FFFFFF"/>
                <w:sz w:val="20"/>
                <w:szCs w:val="20"/>
              </w:rPr>
              <w:t xml:space="preserve">Role in Directory</w:t>
            </w:r>
          </w:p>
        </w:tc>
        <w:tc>
          <w:tcPr>
            <w:tcW w:type="pct" w:w="20%"/>
            <w:shd w:fill="14532D" w:val="clear"/>
            <w:vAlign w:val="center"/>
          </w:tcPr>
          <w:p>
            <w:pPr>
              <w:spacing w:after="40" w:before="40"/>
              <w:jc w:val="left"/>
            </w:pPr>
            <w:r>
              <w:rPr>
                <w:rFonts w:ascii="Arial" w:cs="Arial" w:eastAsia="Arial" w:hAnsi="Arial"/>
                <w:b/>
                <w:bCs/>
                <w:color w:val="FFFFFF"/>
                <w:sz w:val="20"/>
                <w:szCs w:val="20"/>
              </w:rPr>
              <w:t xml:space="preserve">Contact</w:t>
            </w:r>
          </w:p>
        </w:tc>
      </w:tr>
      <w:tr>
        <w:tc>
          <w:tcPr>
            <w:tcW w:type="pct" w:w="25%"/>
            <w:vAlign w:val="center"/>
          </w:tcPr>
          <w:p>
            <w:pPr>
              <w:spacing w:after="40" w:before="40"/>
              <w:jc w:val="left"/>
            </w:pPr>
            <w:r>
              <w:rPr>
                <w:rFonts w:ascii="Arial" w:cs="Arial" w:eastAsia="Arial" w:hAnsi="Arial"/>
                <w:b w:val="false"/>
                <w:bCs w:val="false"/>
                <w:sz w:val="20"/>
                <w:szCs w:val="20"/>
              </w:rPr>
              <w:t xml:space="preserve">Tell MAMA</w:t>
            </w:r>
          </w:p>
        </w:tc>
        <w:tc>
          <w:tcPr>
            <w:tcW w:type="pct" w:w="25%"/>
            <w:vAlign w:val="center"/>
          </w:tcPr>
          <w:p>
            <w:pPr>
              <w:spacing w:after="40" w:before="40"/>
              <w:jc w:val="left"/>
            </w:pPr>
            <w:r>
              <w:rPr>
                <w:rFonts w:ascii="Arial" w:cs="Arial" w:eastAsia="Arial" w:hAnsi="Arial"/>
                <w:b w:val="false"/>
                <w:bCs w:val="false"/>
                <w:sz w:val="20"/>
                <w:szCs w:val="20"/>
              </w:rPr>
              <w:t xml:space="preserve">Anti-Muslim hate crime reporting</w:t>
            </w:r>
          </w:p>
        </w:tc>
        <w:tc>
          <w:tcPr>
            <w:tcW w:type="pct" w:w="30%"/>
            <w:vAlign w:val="center"/>
          </w:tcPr>
          <w:p>
            <w:pPr>
              <w:spacing w:after="40" w:before="40"/>
              <w:jc w:val="left"/>
            </w:pPr>
            <w:r>
              <w:rPr>
                <w:rFonts w:ascii="Arial" w:cs="Arial" w:eastAsia="Arial" w:hAnsi="Arial"/>
                <w:b w:val="false"/>
                <w:bCs w:val="false"/>
                <w:sz w:val="20"/>
                <w:szCs w:val="20"/>
              </w:rPr>
              <w:t xml:space="preserve">Referral partner, case data</w:t>
            </w:r>
          </w:p>
        </w:tc>
        <w:tc>
          <w:tcPr>
            <w:tcW w:type="pct" w:w="20%"/>
            <w:vAlign w:val="center"/>
          </w:tcPr>
          <w:p>
            <w:pPr>
              <w:spacing w:after="40" w:before="40"/>
              <w:jc w:val="left"/>
            </w:pPr>
            <w:r>
              <w:rPr>
                <w:rFonts w:ascii="Arial" w:cs="Arial" w:eastAsia="Arial" w:hAnsi="Arial"/>
                <w:b w:val="false"/>
                <w:bCs w:val="false"/>
                <w:sz w:val="20"/>
                <w:szCs w:val="20"/>
              </w:rPr>
              <w:t xml:space="preserve">Available</w:t>
            </w:r>
          </w:p>
        </w:tc>
      </w:tr>
      <w:tr>
        <w:tc>
          <w:tcPr>
            <w:tcW w:type="pct" w:w="25%"/>
            <w:shd w:fill="F2F2F2" w:val="clear"/>
            <w:vAlign w:val="center"/>
          </w:tcPr>
          <w:p>
            <w:pPr>
              <w:spacing w:after="40" w:before="40"/>
              <w:jc w:val="left"/>
            </w:pPr>
            <w:r>
              <w:rPr>
                <w:rFonts w:ascii="Arial" w:cs="Arial" w:eastAsia="Arial" w:hAnsi="Arial"/>
                <w:b w:val="false"/>
                <w:bCs w:val="false"/>
                <w:sz w:val="20"/>
                <w:szCs w:val="20"/>
              </w:rPr>
              <w:t xml:space="preserve">Islamic Relief UK (IRU)</w:t>
            </w:r>
          </w:p>
        </w:tc>
        <w:tc>
          <w:tcPr>
            <w:tcW w:type="pct" w:w="25%"/>
            <w:shd w:fill="F2F2F2" w:val="clear"/>
            <w:vAlign w:val="center"/>
          </w:tcPr>
          <w:p>
            <w:pPr>
              <w:spacing w:after="40" w:before="40"/>
              <w:jc w:val="left"/>
            </w:pPr>
            <w:r>
              <w:rPr>
                <w:rFonts w:ascii="Arial" w:cs="Arial" w:eastAsia="Arial" w:hAnsi="Arial"/>
                <w:b w:val="false"/>
                <w:bCs w:val="false"/>
                <w:sz w:val="20"/>
                <w:szCs w:val="20"/>
              </w:rPr>
              <w:t xml:space="preserve">Humanitarian, community welfare</w:t>
            </w:r>
          </w:p>
        </w:tc>
        <w:tc>
          <w:tcPr>
            <w:tcW w:type="pct" w:w="30%"/>
            <w:shd w:fill="F2F2F2" w:val="clear"/>
            <w:vAlign w:val="center"/>
          </w:tcPr>
          <w:p>
            <w:pPr>
              <w:spacing w:after="40" w:before="40"/>
              <w:jc w:val="left"/>
            </w:pPr>
            <w:r>
              <w:rPr>
                <w:rFonts w:ascii="Arial" w:cs="Arial" w:eastAsia="Arial" w:hAnsi="Arial"/>
                <w:b w:val="false"/>
                <w:bCs w:val="false"/>
                <w:sz w:val="20"/>
                <w:szCs w:val="20"/>
              </w:rPr>
              <w:t xml:space="preserve">Community reach, promotion</w:t>
            </w:r>
          </w:p>
        </w:tc>
        <w:tc>
          <w:tcPr>
            <w:tcW w:type="pct" w:w="20%"/>
            <w:shd w:fill="F2F2F2" w:val="clear"/>
            <w:vAlign w:val="center"/>
          </w:tcPr>
          <w:p>
            <w:pPr>
              <w:spacing w:after="40" w:before="40"/>
              <w:jc w:val="left"/>
            </w:pPr>
            <w:r>
              <w:rPr>
                <w:rFonts w:ascii="Arial" w:cs="Arial" w:eastAsia="Arial" w:hAnsi="Arial"/>
                <w:b w:val="false"/>
                <w:bCs w:val="false"/>
                <w:sz w:val="20"/>
                <w:szCs w:val="20"/>
              </w:rPr>
              <w:t xml:space="preserve">Available</w:t>
            </w:r>
          </w:p>
        </w:tc>
      </w:tr>
      <w:tr>
        <w:tc>
          <w:tcPr>
            <w:tcW w:type="pct" w:w="25%"/>
            <w:vAlign w:val="center"/>
          </w:tcPr>
          <w:p>
            <w:pPr>
              <w:spacing w:after="40" w:before="40"/>
              <w:jc w:val="left"/>
            </w:pPr>
            <w:r>
              <w:rPr>
                <w:rFonts w:ascii="Arial" w:cs="Arial" w:eastAsia="Arial" w:hAnsi="Arial"/>
                <w:b w:val="false"/>
                <w:bCs w:val="false"/>
                <w:sz w:val="20"/>
                <w:szCs w:val="20"/>
              </w:rPr>
              <w:t xml:space="preserve">CAGE</w:t>
            </w:r>
          </w:p>
        </w:tc>
        <w:tc>
          <w:tcPr>
            <w:tcW w:type="pct" w:w="25%"/>
            <w:vAlign w:val="center"/>
          </w:tcPr>
          <w:p>
            <w:pPr>
              <w:spacing w:after="40" w:before="40"/>
              <w:jc w:val="left"/>
            </w:pPr>
            <w:r>
              <w:rPr>
                <w:rFonts w:ascii="Arial" w:cs="Arial" w:eastAsia="Arial" w:hAnsi="Arial"/>
                <w:b w:val="false"/>
                <w:bCs w:val="false"/>
                <w:sz w:val="20"/>
                <w:szCs w:val="20"/>
              </w:rPr>
              <w:t xml:space="preserve">Due process, rule of law</w:t>
            </w:r>
          </w:p>
        </w:tc>
        <w:tc>
          <w:tcPr>
            <w:tcW w:type="pct" w:w="30%"/>
            <w:vAlign w:val="center"/>
          </w:tcPr>
          <w:p>
            <w:pPr>
              <w:spacing w:after="40" w:before="40"/>
              <w:jc w:val="left"/>
            </w:pPr>
            <w:r>
              <w:rPr>
                <w:rFonts w:ascii="Arial" w:cs="Arial" w:eastAsia="Arial" w:hAnsi="Arial"/>
                <w:b w:val="false"/>
                <w:bCs w:val="false"/>
                <w:sz w:val="20"/>
                <w:szCs w:val="20"/>
              </w:rPr>
              <w:t xml:space="preserve">Legal rights advocacy</w:t>
            </w:r>
          </w:p>
        </w:tc>
        <w:tc>
          <w:tcPr>
            <w:tcW w:type="pct" w:w="20%"/>
            <w:vAlign w:val="center"/>
          </w:tcPr>
          <w:p>
            <w:pPr>
              <w:spacing w:after="40" w:before="40"/>
              <w:jc w:val="left"/>
            </w:pPr>
            <w:r>
              <w:rPr>
                <w:rFonts w:ascii="Arial" w:cs="Arial" w:eastAsia="Arial" w:hAnsi="Arial"/>
                <w:b w:val="false"/>
                <w:bCs w:val="false"/>
                <w:sz w:val="20"/>
                <w:szCs w:val="20"/>
              </w:rPr>
              <w:t xml:space="preserve">Available</w:t>
            </w:r>
          </w:p>
        </w:tc>
      </w:tr>
      <w:tr>
        <w:tc>
          <w:tcPr>
            <w:tcW w:type="pct" w:w="25%"/>
            <w:shd w:fill="F2F2F2" w:val="clear"/>
            <w:vAlign w:val="center"/>
          </w:tcPr>
          <w:p>
            <w:pPr>
              <w:spacing w:after="40" w:before="40"/>
              <w:jc w:val="left"/>
            </w:pPr>
            <w:r>
              <w:rPr>
                <w:rFonts w:ascii="Arial" w:cs="Arial" w:eastAsia="Arial" w:hAnsi="Arial"/>
                <w:b w:val="false"/>
                <w:bCs w:val="false"/>
                <w:sz w:val="20"/>
                <w:szCs w:val="20"/>
              </w:rPr>
              <w:t xml:space="preserve">Islamic Human Rights Commission (IHRC)</w:t>
            </w:r>
          </w:p>
        </w:tc>
        <w:tc>
          <w:tcPr>
            <w:tcW w:type="pct" w:w="25%"/>
            <w:shd w:fill="F2F2F2" w:val="clear"/>
            <w:vAlign w:val="center"/>
          </w:tcPr>
          <w:p>
            <w:pPr>
              <w:spacing w:after="40" w:before="40"/>
              <w:jc w:val="left"/>
            </w:pPr>
            <w:r>
              <w:rPr>
                <w:rFonts w:ascii="Arial" w:cs="Arial" w:eastAsia="Arial" w:hAnsi="Arial"/>
                <w:b w:val="false"/>
                <w:bCs w:val="false"/>
                <w:sz w:val="20"/>
                <w:szCs w:val="20"/>
              </w:rPr>
              <w:t xml:space="preserve">Human rights, Islamophobia</w:t>
            </w:r>
          </w:p>
        </w:tc>
        <w:tc>
          <w:tcPr>
            <w:tcW w:type="pct" w:w="30%"/>
            <w:shd w:fill="F2F2F2" w:val="clear"/>
            <w:vAlign w:val="center"/>
          </w:tcPr>
          <w:p>
            <w:pPr>
              <w:spacing w:after="40" w:before="40"/>
              <w:jc w:val="left"/>
            </w:pPr>
            <w:r>
              <w:rPr>
                <w:rFonts w:ascii="Arial" w:cs="Arial" w:eastAsia="Arial" w:hAnsi="Arial"/>
                <w:b w:val="false"/>
                <w:bCs w:val="false"/>
                <w:sz w:val="20"/>
                <w:szCs w:val="20"/>
              </w:rPr>
              <w:t xml:space="preserve">Research partner, referrals</w:t>
            </w:r>
          </w:p>
        </w:tc>
        <w:tc>
          <w:tcPr>
            <w:tcW w:type="pct" w:w="20%"/>
            <w:shd w:fill="F2F2F2" w:val="clear"/>
            <w:vAlign w:val="center"/>
          </w:tcPr>
          <w:p>
            <w:pPr>
              <w:spacing w:after="40" w:before="40"/>
              <w:jc w:val="left"/>
            </w:pPr>
            <w:r>
              <w:rPr>
                <w:rFonts w:ascii="Arial" w:cs="Arial" w:eastAsia="Arial" w:hAnsi="Arial"/>
                <w:b w:val="false"/>
                <w:bCs w:val="false"/>
                <w:sz w:val="20"/>
                <w:szCs w:val="20"/>
              </w:rPr>
              <w:t xml:space="preserve">Available</w:t>
            </w:r>
          </w:p>
        </w:tc>
      </w:tr>
      <w:tr>
        <w:tc>
          <w:tcPr>
            <w:tcW w:type="pct" w:w="25%"/>
            <w:vAlign w:val="center"/>
          </w:tcPr>
          <w:p>
            <w:pPr>
              <w:spacing w:after="40" w:before="40"/>
              <w:jc w:val="left"/>
            </w:pPr>
            <w:r>
              <w:rPr>
                <w:rFonts w:ascii="Arial" w:cs="Arial" w:eastAsia="Arial" w:hAnsi="Arial"/>
                <w:b w:val="false"/>
                <w:bCs w:val="false"/>
                <w:sz w:val="20"/>
                <w:szCs w:val="20"/>
              </w:rPr>
              <w:t xml:space="preserve">Muslim Safety Net</w:t>
            </w:r>
          </w:p>
        </w:tc>
        <w:tc>
          <w:tcPr>
            <w:tcW w:type="pct" w:w="25%"/>
            <w:vAlign w:val="center"/>
          </w:tcPr>
          <w:p>
            <w:pPr>
              <w:spacing w:after="40" w:before="40"/>
              <w:jc w:val="left"/>
            </w:pPr>
            <w:r>
              <w:rPr>
                <w:rFonts w:ascii="Arial" w:cs="Arial" w:eastAsia="Arial" w:hAnsi="Arial"/>
                <w:b w:val="false"/>
                <w:bCs w:val="false"/>
                <w:sz w:val="20"/>
                <w:szCs w:val="20"/>
              </w:rPr>
              <w:t xml:space="preserve">Community safety, legal support</w:t>
            </w:r>
          </w:p>
        </w:tc>
        <w:tc>
          <w:tcPr>
            <w:tcW w:type="pct" w:w="30%"/>
            <w:vAlign w:val="center"/>
          </w:tcPr>
          <w:p>
            <w:pPr>
              <w:spacing w:after="40" w:before="40"/>
              <w:jc w:val="left"/>
            </w:pPr>
            <w:r>
              <w:rPr>
                <w:rFonts w:ascii="Arial" w:cs="Arial" w:eastAsia="Arial" w:hAnsi="Arial"/>
                <w:b w:val="false"/>
                <w:bCs w:val="false"/>
                <w:sz w:val="20"/>
                <w:szCs w:val="20"/>
              </w:rPr>
              <w:t xml:space="preserve">Grassroots referral network</w:t>
            </w:r>
          </w:p>
        </w:tc>
        <w:tc>
          <w:tcPr>
            <w:tcW w:type="pct" w:w="20%"/>
            <w:vAlign w:val="center"/>
          </w:tcPr>
          <w:p>
            <w:pPr>
              <w:spacing w:after="40" w:before="40"/>
              <w:jc w:val="left"/>
            </w:pPr>
            <w:r>
              <w:rPr>
                <w:rFonts w:ascii="Arial" w:cs="Arial" w:eastAsia="Arial" w:hAnsi="Arial"/>
                <w:b w:val="false"/>
                <w:bCs w:val="false"/>
                <w:sz w:val="20"/>
                <w:szCs w:val="20"/>
              </w:rPr>
              <w:t xml:space="preserve">Available</w:t>
            </w:r>
          </w:p>
        </w:tc>
      </w:tr>
      <w:tr>
        <w:tc>
          <w:tcPr>
            <w:tcW w:type="pct" w:w="25%"/>
            <w:shd w:fill="F2F2F2" w:val="clear"/>
            <w:vAlign w:val="center"/>
          </w:tcPr>
          <w:p>
            <w:pPr>
              <w:spacing w:after="40" w:before="40"/>
              <w:jc w:val="left"/>
            </w:pPr>
            <w:r>
              <w:rPr>
                <w:rFonts w:ascii="Arial" w:cs="Arial" w:eastAsia="Arial" w:hAnsi="Arial"/>
                <w:b w:val="false"/>
                <w:bCs w:val="false"/>
                <w:sz w:val="20"/>
                <w:szCs w:val="20"/>
              </w:rPr>
              <w:t xml:space="preserve">Liberty</w:t>
            </w:r>
          </w:p>
        </w:tc>
        <w:tc>
          <w:tcPr>
            <w:tcW w:type="pct" w:w="25%"/>
            <w:shd w:fill="F2F2F2" w:val="clear"/>
            <w:vAlign w:val="center"/>
          </w:tcPr>
          <w:p>
            <w:pPr>
              <w:spacing w:after="40" w:before="40"/>
              <w:jc w:val="left"/>
            </w:pPr>
            <w:r>
              <w:rPr>
                <w:rFonts w:ascii="Arial" w:cs="Arial" w:eastAsia="Arial" w:hAnsi="Arial"/>
                <w:b w:val="false"/>
                <w:bCs w:val="false"/>
                <w:sz w:val="20"/>
                <w:szCs w:val="20"/>
              </w:rPr>
              <w:t xml:space="preserve">Civil liberties, human rights</w:t>
            </w:r>
          </w:p>
        </w:tc>
        <w:tc>
          <w:tcPr>
            <w:tcW w:type="pct" w:w="30%"/>
            <w:shd w:fill="F2F2F2" w:val="clear"/>
            <w:vAlign w:val="center"/>
          </w:tcPr>
          <w:p>
            <w:pPr>
              <w:spacing w:after="40" w:before="40"/>
              <w:jc w:val="left"/>
            </w:pPr>
            <w:r>
              <w:rPr>
                <w:rFonts w:ascii="Arial" w:cs="Arial" w:eastAsia="Arial" w:hAnsi="Arial"/>
                <w:b w:val="false"/>
                <w:bCs w:val="false"/>
                <w:sz w:val="20"/>
                <w:szCs w:val="20"/>
              </w:rPr>
              <w:t xml:space="preserve">Legal expertise, test cases</w:t>
            </w:r>
          </w:p>
        </w:tc>
        <w:tc>
          <w:tcPr>
            <w:tcW w:type="pct" w:w="20%"/>
            <w:shd w:fill="F2F2F2" w:val="clear"/>
            <w:vAlign w:val="center"/>
          </w:tcPr>
          <w:p>
            <w:pPr>
              <w:spacing w:after="40" w:before="40"/>
              <w:jc w:val="left"/>
            </w:pPr>
            <w:r>
              <w:rPr>
                <w:rFonts w:ascii="Arial" w:cs="Arial" w:eastAsia="Arial" w:hAnsi="Arial"/>
                <w:b w:val="false"/>
                <w:bCs w:val="false"/>
                <w:sz w:val="20"/>
                <w:szCs w:val="20"/>
              </w:rPr>
              <w:t xml:space="preserve">Available</w:t>
            </w:r>
          </w:p>
        </w:tc>
      </w:tr>
    </w:tbl>
    <w:p>
      <w:pPr>
        <w:pStyle w:val="Heading1"/>
        <w:pageBreakBefore/>
        <w:spacing w:after="120"/>
        <w:jc w:val="left"/>
      </w:pPr>
      <w:r>
        <w:rPr>
          <w:rFonts w:ascii="Arial" w:cs="Arial" w:eastAsia="Arial" w:hAnsi="Arial"/>
          <w:b w:val="false"/>
          <w:bCs w:val="false"/>
          <w:i w:val="false"/>
          <w:iCs w:val="false"/>
          <w:sz w:val="22"/>
          <w:szCs w:val="22"/>
        </w:rPr>
        <w:t xml:space="preserve">6. Investment Required</w:t>
      </w:r>
    </w:p>
    <w:p>
      <w:pPr>
        <w:spacing w:after="160"/>
        <w:jc w:val="left"/>
      </w:pPr>
      <w:r>
        <w:rPr>
          <w:rFonts w:ascii="Arial" w:cs="Arial" w:eastAsia="Arial" w:hAnsi="Arial"/>
          <w:b w:val="false"/>
          <w:bCs w:val="false"/>
          <w:i w:val="false"/>
          <w:iCs w:val="false"/>
          <w:sz w:val="22"/>
          <w:szCs w:val="22"/>
        </w:rPr>
        <w:t xml:space="preserve">The core technology has been built and is operational. However, an honest assessment of total costs must include staff time, legal review, and ongoing management — not just infrastructure.</w:t>
      </w:r>
    </w:p>
    <w:p>
      <w:pPr>
        <w:spacing w:after="60"/>
      </w:pP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tblGrid>
      <w:tr>
        <w:trPr>
          <w:tblHeader/>
        </w:trPr>
        <w:tc>
          <w:tcPr>
            <w:tcW w:type="pct" w:w="45%"/>
            <w:shd w:fill="14532D" w:val="clear"/>
            <w:vAlign w:val="center"/>
          </w:tcPr>
          <w:p>
            <w:pPr>
              <w:spacing w:after="40" w:before="40"/>
              <w:jc w:val="left"/>
            </w:pPr>
            <w:r>
              <w:rPr>
                <w:rFonts w:ascii="Arial" w:cs="Arial" w:eastAsia="Arial" w:hAnsi="Arial"/>
                <w:b/>
                <w:bCs/>
                <w:color w:val="FFFFFF"/>
                <w:sz w:val="20"/>
                <w:szCs w:val="20"/>
              </w:rPr>
              <w:t xml:space="preserve">Item</w:t>
            </w:r>
          </w:p>
        </w:tc>
        <w:tc>
          <w:tcPr>
            <w:tcW w:type="pct" w:w="30%"/>
            <w:shd w:fill="14532D" w:val="clear"/>
            <w:vAlign w:val="center"/>
          </w:tcPr>
          <w:p>
            <w:pPr>
              <w:spacing w:after="40" w:before="40"/>
              <w:jc w:val="left"/>
            </w:pPr>
            <w:r>
              <w:rPr>
                <w:rFonts w:ascii="Arial" w:cs="Arial" w:eastAsia="Arial" w:hAnsi="Arial"/>
                <w:b/>
                <w:bCs/>
                <w:color w:val="FFFFFF"/>
                <w:sz w:val="20"/>
                <w:szCs w:val="20"/>
              </w:rPr>
              <w:t xml:space="preserve">Cost</w:t>
            </w:r>
          </w:p>
        </w:tc>
        <w:tc>
          <w:tcPr>
            <w:tcW w:type="pct" w:w="25%"/>
            <w:shd w:fill="14532D" w:val="clear"/>
            <w:vAlign w:val="center"/>
          </w:tcPr>
          <w:p>
            <w:pPr>
              <w:spacing w:after="40" w:before="40"/>
              <w:jc w:val="left"/>
            </w:pPr>
            <w:r>
              <w:rPr>
                <w:rFonts w:ascii="Arial" w:cs="Arial" w:eastAsia="Arial" w:hAnsi="Arial"/>
                <w:b/>
                <w:bCs/>
                <w:color w:val="FFFFFF"/>
                <w:sz w:val="20"/>
                <w:szCs w:val="20"/>
              </w:rPr>
              <w:t xml:space="preserve">Status</w:t>
            </w:r>
          </w:p>
        </w:tc>
      </w:tr>
      <w:tr>
        <w:tc>
          <w:tcPr>
            <w:tcW w:type="pct" w:w="45%"/>
            <w:vAlign w:val="center"/>
          </w:tcPr>
          <w:p>
            <w:pPr>
              <w:spacing w:after="40" w:before="40"/>
              <w:jc w:val="left"/>
            </w:pPr>
            <w:r>
              <w:rPr>
                <w:rFonts w:ascii="Arial" w:cs="Arial" w:eastAsia="Arial" w:hAnsi="Arial"/>
                <w:b w:val="false"/>
                <w:bCs w:val="false"/>
                <w:sz w:val="20"/>
                <w:szCs w:val="20"/>
              </w:rPr>
              <w:t xml:space="preserve">Technology (outreach engine)</w:t>
            </w:r>
          </w:p>
        </w:tc>
        <w:tc>
          <w:tcPr>
            <w:tcW w:type="pct" w:w="30%"/>
            <w:vAlign w:val="center"/>
          </w:tcPr>
          <w:p>
            <w:pPr>
              <w:spacing w:after="40" w:before="40"/>
              <w:jc w:val="left"/>
            </w:pPr>
            <w:r>
              <w:rPr>
                <w:rFonts w:ascii="Arial" w:cs="Arial" w:eastAsia="Arial" w:hAnsi="Arial"/>
                <w:b w:val="false"/>
                <w:bCs w:val="false"/>
                <w:sz w:val="20"/>
                <w:szCs w:val="20"/>
              </w:rPr>
              <w:t xml:space="preserve">£0</w:t>
            </w:r>
          </w:p>
        </w:tc>
        <w:tc>
          <w:tcPr>
            <w:tcW w:type="pct" w:w="25%"/>
            <w:vAlign w:val="center"/>
          </w:tcPr>
          <w:p>
            <w:pPr>
              <w:spacing w:after="40" w:before="40"/>
              <w:jc w:val="left"/>
            </w:pPr>
            <w:r>
              <w:rPr>
                <w:rFonts w:ascii="Arial" w:cs="Arial" w:eastAsia="Arial" w:hAnsi="Arial"/>
                <w:b w:val="false"/>
                <w:bCs w:val="false"/>
                <w:sz w:val="20"/>
                <w:szCs w:val="20"/>
              </w:rPr>
              <w:t xml:space="preserve">Built and deployed</w:t>
            </w:r>
          </w:p>
        </w:tc>
      </w:tr>
      <w:tr>
        <w:tc>
          <w:tcPr>
            <w:tcW w:type="pct" w:w="45%"/>
            <w:shd w:fill="F2F2F2" w:val="clear"/>
            <w:vAlign w:val="center"/>
          </w:tcPr>
          <w:p>
            <w:pPr>
              <w:spacing w:after="40" w:before="40"/>
              <w:jc w:val="left"/>
            </w:pPr>
            <w:r>
              <w:rPr>
                <w:rFonts w:ascii="Arial" w:cs="Arial" w:eastAsia="Arial" w:hAnsi="Arial"/>
                <w:b w:val="false"/>
                <w:bCs w:val="false"/>
                <w:sz w:val="20"/>
                <w:szCs w:val="20"/>
              </w:rPr>
              <w:t xml:space="preserve">Infrastructure (Railway hosting)</w:t>
            </w:r>
          </w:p>
        </w:tc>
        <w:tc>
          <w:tcPr>
            <w:tcW w:type="pct" w:w="30%"/>
            <w:shd w:fill="F2F2F2" w:val="clear"/>
            <w:vAlign w:val="center"/>
          </w:tcPr>
          <w:p>
            <w:pPr>
              <w:spacing w:after="40" w:before="40"/>
              <w:jc w:val="left"/>
            </w:pPr>
            <w:r>
              <w:rPr>
                <w:rFonts w:ascii="Arial" w:cs="Arial" w:eastAsia="Arial" w:hAnsi="Arial"/>
                <w:b w:val="false"/>
                <w:bCs w:val="false"/>
                <w:sz w:val="20"/>
                <w:szCs w:val="20"/>
              </w:rPr>
              <w:t xml:space="preserve">~£30/mo (~£360/yr)</w:t>
            </w:r>
          </w:p>
        </w:tc>
        <w:tc>
          <w:tcPr>
            <w:tcW w:type="pct" w:w="25%"/>
            <w:shd w:fill="F2F2F2" w:val="clear"/>
            <w:vAlign w:val="center"/>
          </w:tcPr>
          <w:p>
            <w:pPr>
              <w:spacing w:after="40" w:before="40"/>
              <w:jc w:val="left"/>
            </w:pPr>
            <w:r>
              <w:rPr>
                <w:rFonts w:ascii="Arial" w:cs="Arial" w:eastAsia="Arial" w:hAnsi="Arial"/>
                <w:b w:val="false"/>
                <w:bCs w:val="false"/>
                <w:sz w:val="20"/>
                <w:szCs w:val="20"/>
              </w:rPr>
              <w:t xml:space="preserve">Live</w:t>
            </w:r>
          </w:p>
        </w:tc>
      </w:tr>
      <w:tr>
        <w:tc>
          <w:tcPr>
            <w:tcW w:type="pct" w:w="45%"/>
            <w:vAlign w:val="center"/>
          </w:tcPr>
          <w:p>
            <w:pPr>
              <w:spacing w:after="40" w:before="40"/>
              <w:jc w:val="left"/>
            </w:pPr>
            <w:r>
              <w:rPr>
                <w:rFonts w:ascii="Arial" w:cs="Arial" w:eastAsia="Arial" w:hAnsi="Arial"/>
                <w:b w:val="false"/>
                <w:bCs w:val="false"/>
                <w:sz w:val="20"/>
                <w:szCs w:val="20"/>
              </w:rPr>
              <w:t xml:space="preserve">SendGrid (email)</w:t>
            </w:r>
          </w:p>
        </w:tc>
        <w:tc>
          <w:tcPr>
            <w:tcW w:type="pct" w:w="30%"/>
            <w:vAlign w:val="center"/>
          </w:tcPr>
          <w:p>
            <w:pPr>
              <w:spacing w:after="40" w:before="40"/>
              <w:jc w:val="left"/>
            </w:pPr>
            <w:r>
              <w:rPr>
                <w:rFonts w:ascii="Arial" w:cs="Arial" w:eastAsia="Arial" w:hAnsi="Arial"/>
                <w:b w:val="false"/>
                <w:bCs w:val="false"/>
                <w:sz w:val="20"/>
                <w:szCs w:val="20"/>
              </w:rPr>
              <w:t xml:space="preserve">Free tier → £15/mo at scale</w:t>
            </w:r>
          </w:p>
        </w:tc>
        <w:tc>
          <w:tcPr>
            <w:tcW w:type="pct" w:w="25%"/>
            <w:vAlign w:val="center"/>
          </w:tcPr>
          <w:p>
            <w:pPr>
              <w:spacing w:after="40" w:before="40"/>
              <w:jc w:val="left"/>
            </w:pPr>
            <w:r>
              <w:rPr>
                <w:rFonts w:ascii="Arial" w:cs="Arial" w:eastAsia="Arial" w:hAnsi="Arial"/>
                <w:b w:val="false"/>
                <w:bCs w:val="false"/>
                <w:sz w:val="20"/>
                <w:szCs w:val="20"/>
              </w:rPr>
              <w:t xml:space="preserve">Configured</w:t>
            </w:r>
          </w:p>
        </w:tc>
      </w:tr>
      <w:tr>
        <w:tc>
          <w:tcPr>
            <w:tcW w:type="pct" w:w="45%"/>
            <w:shd w:fill="F2F2F2" w:val="clear"/>
            <w:vAlign w:val="center"/>
          </w:tcPr>
          <w:p>
            <w:pPr>
              <w:spacing w:after="40" w:before="40"/>
              <w:jc w:val="left"/>
            </w:pPr>
            <w:r>
              <w:rPr>
                <w:rFonts w:ascii="Arial" w:cs="Arial" w:eastAsia="Arial" w:hAnsi="Arial"/>
                <w:b w:val="false"/>
                <w:bCs w:val="false"/>
                <w:sz w:val="20"/>
                <w:szCs w:val="20"/>
              </w:rPr>
              <w:t xml:space="preserve">LLM APIs (Gemini/Claude)</w:t>
            </w:r>
          </w:p>
        </w:tc>
        <w:tc>
          <w:tcPr>
            <w:tcW w:type="pct" w:w="30%"/>
            <w:shd w:fill="F2F2F2" w:val="clear"/>
            <w:vAlign w:val="center"/>
          </w:tcPr>
          <w:p>
            <w:pPr>
              <w:spacing w:after="40" w:before="40"/>
              <w:jc w:val="left"/>
            </w:pPr>
            <w:r>
              <w:rPr>
                <w:rFonts w:ascii="Arial" w:cs="Arial" w:eastAsia="Arial" w:hAnsi="Arial"/>
                <w:b w:val="false"/>
                <w:bCs w:val="false"/>
                <w:sz w:val="20"/>
                <w:szCs w:val="20"/>
              </w:rPr>
              <w:t xml:space="preserve">~£10–30/mo</w:t>
            </w:r>
          </w:p>
        </w:tc>
        <w:tc>
          <w:tcPr>
            <w:tcW w:type="pct" w:w="25%"/>
            <w:shd w:fill="F2F2F2" w:val="clear"/>
            <w:vAlign w:val="center"/>
          </w:tcPr>
          <w:p>
            <w:pPr>
              <w:spacing w:after="40" w:before="40"/>
              <w:jc w:val="left"/>
            </w:pPr>
            <w:r>
              <w:rPr>
                <w:rFonts w:ascii="Arial" w:cs="Arial" w:eastAsia="Arial" w:hAnsi="Arial"/>
                <w:b w:val="false"/>
                <w:bCs w:val="false"/>
                <w:sz w:val="20"/>
                <w:szCs w:val="20"/>
              </w:rPr>
              <w:t xml:space="preserve">Configured</w:t>
            </w:r>
          </w:p>
        </w:tc>
      </w:tr>
      <w:tr>
        <w:tc>
          <w:tcPr>
            <w:tcW w:type="pct" w:w="45%"/>
            <w:vAlign w:val="center"/>
          </w:tcPr>
          <w:p>
            <w:pPr>
              <w:spacing w:after="40" w:before="40"/>
              <w:jc w:val="left"/>
            </w:pPr>
            <w:r>
              <w:rPr>
                <w:rFonts w:ascii="Arial" w:cs="Arial" w:eastAsia="Arial" w:hAnsi="Arial"/>
                <w:b w:val="false"/>
                <w:bCs w:val="false"/>
                <w:sz w:val="20"/>
                <w:szCs w:val="20"/>
              </w:rPr>
              <w:t xml:space="preserve">External SRA legal review</w:t>
            </w:r>
          </w:p>
        </w:tc>
        <w:tc>
          <w:tcPr>
            <w:tcW w:type="pct" w:w="30%"/>
            <w:vAlign w:val="center"/>
          </w:tcPr>
          <w:p>
            <w:pPr>
              <w:spacing w:after="40" w:before="40"/>
              <w:jc w:val="left"/>
            </w:pPr>
            <w:r>
              <w:rPr>
                <w:rFonts w:ascii="Arial" w:cs="Arial" w:eastAsia="Arial" w:hAnsi="Arial"/>
                <w:b w:val="false"/>
                <w:bCs w:val="false"/>
                <w:sz w:val="20"/>
                <w:szCs w:val="20"/>
              </w:rPr>
              <w:t xml:space="preserve">£3,000–5,000 (one-off)</w:t>
            </w:r>
          </w:p>
        </w:tc>
        <w:tc>
          <w:tcPr>
            <w:tcW w:type="pct" w:w="25%"/>
            <w:vAlign w:val="center"/>
          </w:tcPr>
          <w:p>
            <w:pPr>
              <w:spacing w:after="40" w:before="40"/>
              <w:jc w:val="left"/>
            </w:pPr>
            <w:r>
              <w:rPr>
                <w:rFonts w:ascii="Arial" w:cs="Arial" w:eastAsia="Arial" w:hAnsi="Arial"/>
                <w:b w:val="false"/>
                <w:bCs w:val="false"/>
                <w:sz w:val="20"/>
                <w:szCs w:val="20"/>
              </w:rPr>
              <w:t xml:space="preserve">Required before monetisation</w:t>
            </w:r>
          </w:p>
        </w:tc>
      </w:tr>
      <w:tr>
        <w:tc>
          <w:tcPr>
            <w:tcW w:type="pct" w:w="45%"/>
            <w:shd w:fill="F2F2F2" w:val="clear"/>
            <w:vAlign w:val="center"/>
          </w:tcPr>
          <w:p>
            <w:pPr>
              <w:spacing w:after="40" w:before="40"/>
              <w:jc w:val="left"/>
            </w:pPr>
            <w:r>
              <w:rPr>
                <w:rFonts w:ascii="Arial" w:cs="Arial" w:eastAsia="Arial" w:hAnsi="Arial"/>
                <w:b w:val="false"/>
                <w:bCs w:val="false"/>
                <w:sz w:val="20"/>
                <w:szCs w:val="20"/>
              </w:rPr>
              <w:t xml:space="preserve">Staff time (6-week outreach)</w:t>
            </w:r>
          </w:p>
        </w:tc>
        <w:tc>
          <w:tcPr>
            <w:tcW w:type="pct" w:w="30%"/>
            <w:shd w:fill="F2F2F2" w:val="clear"/>
            <w:vAlign w:val="center"/>
          </w:tcPr>
          <w:p>
            <w:pPr>
              <w:spacing w:after="40" w:before="40"/>
              <w:jc w:val="left"/>
            </w:pPr>
            <w:r>
              <w:rPr>
                <w:rFonts w:ascii="Arial" w:cs="Arial" w:eastAsia="Arial" w:hAnsi="Arial"/>
                <w:b w:val="false"/>
                <w:bCs w:val="false"/>
                <w:sz w:val="20"/>
                <w:szCs w:val="20"/>
              </w:rPr>
              <w:t xml:space="preserve">~£1,500 (est. 3hrs/wk @ £80/hr)</w:t>
            </w:r>
          </w:p>
        </w:tc>
        <w:tc>
          <w:tcPr>
            <w:tcW w:type="pct" w:w="25%"/>
            <w:shd w:fill="F2F2F2" w:val="clear"/>
            <w:vAlign w:val="center"/>
          </w:tcPr>
          <w:p>
            <w:pPr>
              <w:spacing w:after="40" w:before="40"/>
              <w:jc w:val="left"/>
            </w:pPr>
            <w:r>
              <w:rPr>
                <w:rFonts w:ascii="Arial" w:cs="Arial" w:eastAsia="Arial" w:hAnsi="Arial"/>
                <w:b w:val="false"/>
                <w:bCs w:val="false"/>
                <w:sz w:val="20"/>
                <w:szCs w:val="20"/>
              </w:rPr>
              <w:t xml:space="preserve">Internal cost</w:t>
            </w:r>
          </w:p>
        </w:tc>
      </w:tr>
      <w:tr>
        <w:tc>
          <w:tcPr>
            <w:tcW w:type="pct" w:w="45%"/>
            <w:vAlign w:val="center"/>
          </w:tcPr>
          <w:p>
            <w:pPr>
              <w:spacing w:after="40" w:before="40"/>
              <w:jc w:val="left"/>
            </w:pPr>
            <w:r>
              <w:rPr>
                <w:rFonts w:ascii="Arial" w:cs="Arial" w:eastAsia="Arial" w:hAnsi="Arial"/>
                <w:b w:val="false"/>
                <w:bCs w:val="false"/>
                <w:sz w:val="20"/>
                <w:szCs w:val="20"/>
              </w:rPr>
              <w:t xml:space="preserve">Ongoing management</w:t>
            </w:r>
          </w:p>
        </w:tc>
        <w:tc>
          <w:tcPr>
            <w:tcW w:type="pct" w:w="30%"/>
            <w:vAlign w:val="center"/>
          </w:tcPr>
          <w:p>
            <w:pPr>
              <w:spacing w:after="40" w:before="40"/>
              <w:jc w:val="left"/>
            </w:pPr>
            <w:r>
              <w:rPr>
                <w:rFonts w:ascii="Arial" w:cs="Arial" w:eastAsia="Arial" w:hAnsi="Arial"/>
                <w:b w:val="false"/>
                <w:bCs w:val="false"/>
                <w:sz w:val="20"/>
                <w:szCs w:val="20"/>
              </w:rPr>
              <w:t xml:space="preserve">~£2,400/yr (est. 2hrs/wk @ £25/hr)</w:t>
            </w:r>
          </w:p>
        </w:tc>
        <w:tc>
          <w:tcPr>
            <w:tcW w:type="pct" w:w="25%"/>
            <w:vAlign w:val="center"/>
          </w:tcPr>
          <w:p>
            <w:pPr>
              <w:spacing w:after="40" w:before="40"/>
              <w:jc w:val="left"/>
            </w:pPr>
            <w:r>
              <w:rPr>
                <w:rFonts w:ascii="Arial" w:cs="Arial" w:eastAsia="Arial" w:hAnsi="Arial"/>
                <w:b w:val="false"/>
                <w:bCs w:val="false"/>
                <w:sz w:val="20"/>
                <w:szCs w:val="20"/>
              </w:rPr>
              <w:t xml:space="preserve">GDPR, complaints, updates</w:t>
            </w:r>
          </w:p>
        </w:tc>
      </w:tr>
      <w:tr>
        <w:tc>
          <w:tcPr>
            <w:tcW w:type="pct" w:w="45%"/>
            <w:shd w:fill="F2F2F2" w:val="clear"/>
            <w:vAlign w:val="center"/>
          </w:tcPr>
          <w:p>
            <w:pPr>
              <w:spacing w:after="40" w:before="40"/>
              <w:jc w:val="left"/>
            </w:pPr>
            <w:r>
              <w:rPr>
                <w:rFonts w:ascii="Arial" w:cs="Arial" w:eastAsia="Arial" w:hAnsi="Arial"/>
                <w:b w:val="false"/>
                <w:bCs w:val="false"/>
                <w:sz w:val="20"/>
                <w:szCs w:val="20"/>
              </w:rPr>
              <w:t xml:space="preserve">Total Year 1</w:t>
            </w:r>
          </w:p>
        </w:tc>
        <w:tc>
          <w:tcPr>
            <w:tcW w:type="pct" w:w="30%"/>
            <w:shd w:fill="F2F2F2" w:val="clear"/>
            <w:vAlign w:val="center"/>
          </w:tcPr>
          <w:p>
            <w:pPr>
              <w:spacing w:after="40" w:before="40"/>
              <w:jc w:val="left"/>
            </w:pPr>
            <w:r>
              <w:rPr>
                <w:rFonts w:ascii="Arial" w:cs="Arial" w:eastAsia="Arial" w:hAnsi="Arial"/>
                <w:b w:val="false"/>
                <w:bCs w:val="false"/>
                <w:sz w:val="20"/>
                <w:szCs w:val="20"/>
              </w:rPr>
              <w:t xml:space="preserve">~£7,000–9,000</w:t>
            </w:r>
          </w:p>
        </w:tc>
        <w:tc>
          <w:tcPr>
            <w:tcW w:type="pct" w:w="25%"/>
            <w:shd w:fill="F2F2F2" w:val="clear"/>
            <w:vAlign w:val="center"/>
          </w:tcPr>
          <w:p>
            <w:pPr>
              <w:spacing w:after="40" w:before="40"/>
              <w:jc w:val="left"/>
            </w:pPr>
            <w:r>
              <w:rPr>
                <w:rFonts w:ascii="Arial" w:cs="Arial" w:eastAsia="Arial" w:hAnsi="Arial"/>
                <w:b w:val="false"/>
                <w:bCs w:val="false"/>
                <w:sz w:val="20"/>
                <w:szCs w:val="20"/>
              </w:rPr>
              <w:t xml:space="preserve"/>
            </w:r>
          </w:p>
        </w:tc>
      </w:tr>
      <w:tr>
        <w:tc>
          <w:tcPr>
            <w:tcW w:type="pct" w:w="45%"/>
            <w:vAlign w:val="center"/>
          </w:tcPr>
          <w:p>
            <w:pPr>
              <w:spacing w:after="40" w:before="40"/>
              <w:jc w:val="left"/>
            </w:pPr>
            <w:r>
              <w:rPr>
                <w:rFonts w:ascii="Arial" w:cs="Arial" w:eastAsia="Arial" w:hAnsi="Arial"/>
                <w:b w:val="false"/>
                <w:bCs w:val="false"/>
                <w:sz w:val="20"/>
                <w:szCs w:val="20"/>
              </w:rPr>
              <w:t xml:space="preserve">Ongoing (Year 2+)</w:t>
            </w:r>
          </w:p>
        </w:tc>
        <w:tc>
          <w:tcPr>
            <w:tcW w:type="pct" w:w="30%"/>
            <w:vAlign w:val="center"/>
          </w:tcPr>
          <w:p>
            <w:pPr>
              <w:spacing w:after="40" w:before="40"/>
              <w:jc w:val="left"/>
            </w:pPr>
            <w:r>
              <w:rPr>
                <w:rFonts w:ascii="Arial" w:cs="Arial" w:eastAsia="Arial" w:hAnsi="Arial"/>
                <w:b w:val="false"/>
                <w:bCs w:val="false"/>
                <w:sz w:val="20"/>
                <w:szCs w:val="20"/>
              </w:rPr>
              <w:t xml:space="preserve">~£3,500/yr</w:t>
            </w:r>
          </w:p>
        </w:tc>
        <w:tc>
          <w:tcPr>
            <w:tcW w:type="pct" w:w="25%"/>
            <w:vAlign w:val="center"/>
          </w:tcPr>
          <w:p>
            <w:pPr>
              <w:spacing w:after="40" w:before="40"/>
              <w:jc w:val="left"/>
            </w:pPr>
            <w:r>
              <w:rPr>
                <w:rFonts w:ascii="Arial" w:cs="Arial" w:eastAsia="Arial" w:hAnsi="Arial"/>
                <w:b w:val="false"/>
                <w:bCs w:val="false"/>
                <w:sz w:val="20"/>
                <w:szCs w:val="20"/>
              </w:rPr>
              <w:t xml:space="preserve"/>
            </w:r>
          </w:p>
        </w:tc>
      </w:tr>
    </w:tbl>
    <w:p>
      <w:pPr>
        <w:spacing w:after="60"/>
      </w:pPr>
    </w:p>
    <w:p>
      <w:pPr>
        <w:spacing w:after="120"/>
        <w:jc w:val="left"/>
      </w:pPr>
      <w:r>
        <w:rPr>
          <w:rFonts w:ascii="Arial" w:cs="Arial" w:eastAsia="Arial" w:hAnsi="Arial"/>
          <w:b w:val="false"/>
          <w:bCs w:val="false"/>
          <w:i/>
          <w:iCs/>
          <w:sz w:val="22"/>
          <w:szCs w:val="22"/>
        </w:rPr>
        <w:t xml:space="preserve">The £100 figure in the original estimate only covered raw infrastructure. The true Year 1 cost including SRA legal review and staff time is £7,000–9,000. This is still minimal relative to the revenue potential and community impact. Even the conservative revenue scenario (£24K/yr) comfortably exceeds ongoing costs from Year 2 onwards.</w:t>
      </w:r>
    </w:p>
    <w:p>
      <w:pPr>
        <w:pStyle w:val="Heading1"/>
        <w:pageBreakBefore/>
        <w:spacing w:after="120"/>
        <w:jc w:val="left"/>
      </w:pPr>
      <w:r>
        <w:rPr>
          <w:rFonts w:ascii="Arial" w:cs="Arial" w:eastAsia="Arial" w:hAnsi="Arial"/>
          <w:b w:val="false"/>
          <w:bCs w:val="false"/>
          <w:i w:val="false"/>
          <w:iCs w:val="false"/>
          <w:sz w:val="22"/>
          <w:szCs w:val="22"/>
        </w:rPr>
        <w:t xml:space="preserve">7. Regulatory &amp; Legal Compliance</w:t>
      </w:r>
    </w:p>
    <w:p>
      <w:pPr>
        <w:spacing w:after="160"/>
        <w:jc w:val="left"/>
      </w:pPr>
      <w:r>
        <w:rPr>
          <w:rFonts w:ascii="Arial" w:cs="Arial" w:eastAsia="Arial" w:hAnsi="Arial"/>
          <w:b w:val="false"/>
          <w:bCs w:val="false"/>
          <w:i w:val="false"/>
          <w:iCs w:val="false"/>
          <w:sz w:val="22"/>
          <w:szCs w:val="22"/>
        </w:rPr>
        <w:t xml:space="preserve">The directory must comply with several regulatory frameworks. We have identified the key compliance requirements and proposed mitigations. This section is deliberately candid about risks — it is better to address them now than be surprised later.</w:t>
      </w:r>
    </w:p>
    <w:p>
      <w:pPr>
        <w:spacing w:after="60"/>
      </w:pPr>
    </w:p>
    <w:p>
      <w:pPr>
        <w:pStyle w:val="Heading2"/>
        <w:spacing w:after="120"/>
        <w:jc w:val="left"/>
      </w:pPr>
      <w:r>
        <w:rPr>
          <w:rFonts w:ascii="Arial" w:cs="Arial" w:eastAsia="Arial" w:hAnsi="Arial"/>
          <w:b w:val="false"/>
          <w:bCs w:val="false"/>
          <w:i w:val="false"/>
          <w:iCs w:val="false"/>
          <w:sz w:val="22"/>
          <w:szCs w:val="22"/>
        </w:rPr>
        <w:t xml:space="preserve">7.1 SRA Referral Fee and Introducer Rules</w:t>
      </w:r>
    </w:p>
    <w:p>
      <w:pPr>
        <w:spacing w:after="80"/>
        <w:jc w:val="left"/>
      </w:pPr>
      <w:r>
        <w:rPr>
          <w:rFonts w:ascii="Arial" w:cs="Arial" w:eastAsia="Arial" w:hAnsi="Arial"/>
          <w:b/>
          <w:bCs/>
          <w:i w:val="false"/>
          <w:iCs w:val="false"/>
          <w:sz w:val="22"/>
          <w:szCs w:val="22"/>
        </w:rPr>
        <w:t xml:space="preserve">LASPO and PI Referral Fees:</w:t>
      </w:r>
    </w:p>
    <w:p>
      <w:pPr>
        <w:pStyle w:val="ListParagraph"/>
        <w:numPr>
          <w:ilvl w:val="0"/>
          <w:numId w:val="1"/>
        </w:numPr>
        <w:spacing w:after="60"/>
      </w:pPr>
      <w:r>
        <w:rPr>
          <w:rFonts w:ascii="Arial" w:cs="Arial" w:eastAsia="Arial" w:hAnsi="Arial"/>
          <w:sz w:val="22"/>
          <w:szCs w:val="22"/>
        </w:rPr>
        <w:t xml:space="preserve">The Legal Aid, Sentencing and Punishment of Offenders Act 2012 (LASPO) prohibits referral fees in personal injury cases.</w:t>
      </w:r>
    </w:p>
    <w:p>
      <w:pPr>
        <w:pStyle w:val="ListParagraph"/>
        <w:numPr>
          <w:ilvl w:val="0"/>
          <w:numId w:val="1"/>
        </w:numPr>
        <w:spacing w:after="60"/>
      </w:pPr>
      <w:r>
        <w:rPr>
          <w:rFonts w:ascii="Arial" w:cs="Arial" w:eastAsia="Arial" w:hAnsi="Arial"/>
          <w:sz w:val="22"/>
          <w:szCs w:val="22"/>
        </w:rPr>
        <w:t xml:space="preserve">Our model does not charge referral fees for PI cases — lead generation fees apply only to non-PI practice areas.</w:t>
      </w:r>
    </w:p>
    <w:p>
      <w:pPr>
        <w:spacing w:after="60"/>
      </w:pPr>
    </w:p>
    <w:p>
      <w:pPr>
        <w:spacing w:after="80"/>
        <w:jc w:val="left"/>
      </w:pPr>
      <w:r>
        <w:rPr>
          <w:rFonts w:ascii="Arial" w:cs="Arial" w:eastAsia="Arial" w:hAnsi="Arial"/>
          <w:b/>
          <w:bCs/>
          <w:i w:val="false"/>
          <w:iCs w:val="false"/>
          <w:sz w:val="22"/>
          <w:szCs w:val="22"/>
        </w:rPr>
        <w:t xml:space="preserve">SRA Codes of Conduct — Principles 3 &amp; 7 (Introducer Obligations):</w:t>
      </w:r>
    </w:p>
    <w:p>
      <w:pPr>
        <w:pStyle w:val="ListParagraph"/>
        <w:numPr>
          <w:ilvl w:val="0"/>
          <w:numId w:val="1"/>
        </w:numPr>
        <w:spacing w:after="60"/>
      </w:pPr>
      <w:r>
        <w:rPr>
          <w:rFonts w:ascii="Arial" w:cs="Arial" w:eastAsia="Arial" w:hAnsi="Arial"/>
          <w:sz w:val="22"/>
          <w:szCs w:val="22"/>
        </w:rPr>
        <w:t xml:space="preserve">ALL referral and lead-generation fees are regulated under SRA rules, not just Personal Injury. Principle 7 (legal and regulatory obligations) and Principle 3 (public trust) impose broad duties on solicitors receiving introductions.</w:t>
      </w:r>
    </w:p>
    <w:p>
      <w:pPr>
        <w:pStyle w:val="ListParagraph"/>
        <w:numPr>
          <w:ilvl w:val="0"/>
          <w:numId w:val="1"/>
        </w:numPr>
        <w:spacing w:after="60"/>
      </w:pPr>
      <w:r>
        <w:rPr>
          <w:rFonts w:ascii="Arial" w:cs="Arial" w:eastAsia="Arial" w:hAnsi="Arial"/>
          <w:sz w:val="22"/>
          <w:szCs w:val="22"/>
        </w:rPr>
        <w:t xml:space="preserve">Solicitors using AskAdil must inform their clients specifically about any financial arrangement with AskAdil as an introducer. This is a mandatory disclosure obligation under the SRA Standards and Regulations.</w:t>
      </w:r>
    </w:p>
    <w:p>
      <w:pPr>
        <w:pStyle w:val="ListParagraph"/>
        <w:numPr>
          <w:ilvl w:val="0"/>
          <w:numId w:val="1"/>
        </w:numPr>
        <w:spacing w:after="60"/>
      </w:pPr>
      <w:r>
        <w:rPr>
          <w:rFonts w:ascii="Arial" w:cs="Arial" w:eastAsia="Arial" w:hAnsi="Arial"/>
          <w:sz w:val="22"/>
          <w:szCs w:val="22"/>
        </w:rPr>
        <w:t xml:space="preserve">The £5–25 lead generation fee must be disclosed to the end user, not simply labelled as a ‘paid listing’. Transparency is non-negotiable — the directory must make clear to users that some solicitors pay for referrals.</w:t>
      </w:r>
    </w:p>
    <w:p>
      <w:pPr>
        <w:pStyle w:val="ListParagraph"/>
        <w:numPr>
          <w:ilvl w:val="0"/>
          <w:numId w:val="1"/>
        </w:numPr>
        <w:spacing w:after="60"/>
      </w:pPr>
      <w:r>
        <w:rPr>
          <w:rFonts w:ascii="Arial" w:cs="Arial" w:eastAsia="Arial" w:hAnsi="Arial"/>
          <w:sz w:val="22"/>
          <w:szCs w:val="22"/>
        </w:rPr>
        <w:t xml:space="preserve">All solicitor listings will clearly disclose whether the listing is free or paid (premium), and the nature of any financial arrangement.</w:t>
      </w:r>
    </w:p>
    <w:p>
      <w:pPr>
        <w:spacing w:after="60"/>
      </w:pPr>
    </w:p>
    <w:p>
      <w:pPr>
        <w:spacing w:after="80"/>
        <w:jc w:val="left"/>
      </w:pPr>
      <w:r>
        <w:rPr>
          <w:rFonts w:ascii="Arial" w:cs="Arial" w:eastAsia="Arial" w:hAnsi="Arial"/>
          <w:b/>
          <w:bCs/>
          <w:i w:val="false"/>
          <w:iCs w:val="false"/>
          <w:sz w:val="22"/>
          <w:szCs w:val="22"/>
        </w:rPr>
        <w:t xml:space="preserve">PI/Discrimination Boundary Risk:</w:t>
      </w:r>
    </w:p>
    <w:p>
      <w:pPr>
        <w:pStyle w:val="ListParagraph"/>
        <w:numPr>
          <w:ilvl w:val="0"/>
          <w:numId w:val="1"/>
        </w:numPr>
        <w:spacing w:after="60"/>
      </w:pPr>
      <w:r>
        <w:rPr>
          <w:rFonts w:ascii="Arial" w:cs="Arial" w:eastAsia="Arial" w:hAnsi="Arial"/>
          <w:sz w:val="22"/>
          <w:szCs w:val="22"/>
        </w:rPr>
        <w:t xml:space="preserve">Hate crime and discrimination cases (a core AskAdil practice area) frequently involve claims for psychological injury. This blurs into Personal Injury, potentially triggering the LASPO referral fee ban.</w:t>
      </w:r>
    </w:p>
    <w:p>
      <w:pPr>
        <w:pStyle w:val="ListParagraph"/>
        <w:numPr>
          <w:ilvl w:val="0"/>
          <w:numId w:val="1"/>
        </w:numPr>
        <w:spacing w:after="60"/>
      </w:pPr>
      <w:r>
        <w:rPr>
          <w:rFonts w:ascii="Arial" w:cs="Arial" w:eastAsia="Arial" w:hAnsi="Arial"/>
          <w:sz w:val="22"/>
          <w:szCs w:val="22"/>
        </w:rPr>
        <w:t xml:space="preserve">The boundary between a ‘discrimination case’ and a ‘personal injury case’ is not always clear-cut. A claim for compensation for anxiety or PTSD arising from Islamophobic harassment could be classified as PI.</w:t>
      </w:r>
    </w:p>
    <w:p>
      <w:pPr>
        <w:pStyle w:val="ListParagraph"/>
        <w:numPr>
          <w:ilvl w:val="0"/>
          <w:numId w:val="1"/>
        </w:numPr>
        <w:spacing w:after="60"/>
      </w:pPr>
      <w:r>
        <w:rPr>
          <w:rFonts w:ascii="Arial" w:cs="Arial" w:eastAsia="Arial" w:hAnsi="Arial"/>
          <w:sz w:val="22"/>
          <w:szCs w:val="22"/>
        </w:rPr>
        <w:t xml:space="preserve">Mitigation: exclude ALL cases with any personal injury element from lead generation fees entirely. For discrimination-specialist firms, charge only for subscription/advertising — never per-lead.</w:t>
      </w:r>
    </w:p>
    <w:p>
      <w:pPr>
        <w:pStyle w:val="ListParagraph"/>
        <w:numPr>
          <w:ilvl w:val="0"/>
          <w:numId w:val="1"/>
        </w:numPr>
        <w:spacing w:after="60"/>
      </w:pPr>
      <w:r>
        <w:rPr>
          <w:rFonts w:ascii="Arial" w:cs="Arial" w:eastAsia="Arial" w:hAnsi="Arial"/>
          <w:sz w:val="22"/>
          <w:szCs w:val="22"/>
        </w:rPr>
        <w:t xml:space="preserve">Alternative approach: use a flat subscription model for discrimination firms, removing any per-referral fee and thereby avoiding the LASPO boundary question entirely.</w:t>
      </w:r>
    </w:p>
    <w:p>
      <w:pPr>
        <w:spacing w:after="160"/>
        <w:jc w:val="left"/>
      </w:pPr>
      <w:r>
        <w:rPr>
          <w:rFonts w:ascii="Arial" w:cs="Arial" w:eastAsia="Arial" w:hAnsi="Arial"/>
          <w:b w:val="false"/>
          <w:bCs w:val="false"/>
          <w:i/>
          <w:iCs/>
          <w:color w:val="555555"/>
          <w:sz w:val="22"/>
          <w:szCs w:val="22"/>
        </w:rPr>
        <w:t xml:space="preserve">This boundary risk is the single most important legal issue to resolve before monetisation. The external SRA legal review (budgeted at £3,000–5,000 in section 6) must specifically address this question.</w:t>
      </w:r>
    </w:p>
    <w:p>
      <w:pPr>
        <w:spacing w:after="60"/>
      </w:pPr>
    </w:p>
    <w:p>
      <w:pPr>
        <w:pStyle w:val="Heading2"/>
        <w:spacing w:after="120"/>
        <w:jc w:val="left"/>
      </w:pPr>
      <w:r>
        <w:rPr>
          <w:rFonts w:ascii="Arial" w:cs="Arial" w:eastAsia="Arial" w:hAnsi="Arial"/>
          <w:b w:val="false"/>
          <w:bCs w:val="false"/>
          <w:i w:val="false"/>
          <w:iCs w:val="false"/>
          <w:sz w:val="22"/>
          <w:szCs w:val="22"/>
        </w:rPr>
        <w:t xml:space="preserve">7.2 GDPR Compliance</w:t>
      </w:r>
    </w:p>
    <w:p>
      <w:pPr>
        <w:pStyle w:val="ListParagraph"/>
        <w:numPr>
          <w:ilvl w:val="0"/>
          <w:numId w:val="1"/>
        </w:numPr>
        <w:spacing w:after="60"/>
      </w:pPr>
      <w:r>
        <w:rPr>
          <w:rFonts w:ascii="Arial" w:cs="Arial" w:eastAsia="Arial" w:hAnsi="Arial"/>
          <w:sz w:val="22"/>
          <w:szCs w:val="22"/>
        </w:rPr>
        <w:t xml:space="preserve">All outreach is consent-based: solicitors must opt in to be listed.</w:t>
      </w:r>
    </w:p>
    <w:p>
      <w:pPr>
        <w:pStyle w:val="ListParagraph"/>
        <w:numPr>
          <w:ilvl w:val="0"/>
          <w:numId w:val="1"/>
        </w:numPr>
        <w:spacing w:after="60"/>
      </w:pPr>
      <w:r>
        <w:rPr>
          <w:rFonts w:ascii="Arial" w:cs="Arial" w:eastAsia="Arial" w:hAnsi="Arial"/>
          <w:sz w:val="22"/>
          <w:szCs w:val="22"/>
        </w:rPr>
        <w:t xml:space="preserve">Right to removal: any solicitor can request delisting at any time.</w:t>
      </w:r>
    </w:p>
    <w:p>
      <w:pPr>
        <w:pStyle w:val="ListParagraph"/>
        <w:numPr>
          <w:ilvl w:val="0"/>
          <w:numId w:val="1"/>
        </w:numPr>
        <w:spacing w:after="60"/>
      </w:pPr>
      <w:r>
        <w:rPr>
          <w:rFonts w:ascii="Arial" w:cs="Arial" w:eastAsia="Arial" w:hAnsi="Arial"/>
          <w:sz w:val="22"/>
          <w:szCs w:val="22"/>
        </w:rPr>
        <w:t xml:space="preserve">Privacy policy and data processing terms will be provided to all listed solicitors.</w:t>
      </w:r>
    </w:p>
    <w:p>
      <w:pPr>
        <w:pStyle w:val="ListParagraph"/>
        <w:numPr>
          <w:ilvl w:val="0"/>
          <w:numId w:val="1"/>
        </w:numPr>
        <w:spacing w:after="60"/>
      </w:pPr>
      <w:r>
        <w:rPr>
          <w:rFonts w:ascii="Arial" w:cs="Arial" w:eastAsia="Arial" w:hAnsi="Arial"/>
          <w:sz w:val="22"/>
          <w:szCs w:val="22"/>
        </w:rPr>
        <w:t xml:space="preserve">User data (enquiries) is processed in accordance with AskAdil’s existing privacy policy.</w:t>
      </w:r>
    </w:p>
    <w:p>
      <w:pPr>
        <w:spacing w:after="60"/>
      </w:pPr>
    </w:p>
    <w:p>
      <w:pPr>
        <w:pStyle w:val="Heading2"/>
        <w:spacing w:after="120"/>
        <w:jc w:val="left"/>
      </w:pPr>
      <w:r>
        <w:rPr>
          <w:rFonts w:ascii="Arial" w:cs="Arial" w:eastAsia="Arial" w:hAnsi="Arial"/>
          <w:b w:val="false"/>
          <w:bCs w:val="false"/>
          <w:i w:val="false"/>
          <w:iCs w:val="false"/>
          <w:sz w:val="22"/>
          <w:szCs w:val="22"/>
        </w:rPr>
        <w:t xml:space="preserve">7.3 Editorial Independence</w:t>
      </w:r>
    </w:p>
    <w:p>
      <w:pPr>
        <w:pStyle w:val="ListParagraph"/>
        <w:numPr>
          <w:ilvl w:val="0"/>
          <w:numId w:val="1"/>
        </w:numPr>
        <w:spacing w:after="60"/>
      </w:pPr>
      <w:r>
        <w:rPr>
          <w:rFonts w:ascii="Arial" w:cs="Arial" w:eastAsia="Arial" w:hAnsi="Arial"/>
          <w:sz w:val="22"/>
          <w:szCs w:val="22"/>
        </w:rPr>
        <w:t xml:space="preserve">Payment for premium listings does not influence AI recommendations — matching is based on specialism, location, and user need.</w:t>
      </w:r>
    </w:p>
    <w:p>
      <w:pPr>
        <w:pStyle w:val="ListParagraph"/>
        <w:numPr>
          <w:ilvl w:val="0"/>
          <w:numId w:val="1"/>
        </w:numPr>
        <w:spacing w:after="60"/>
      </w:pPr>
      <w:r>
        <w:rPr>
          <w:rFonts w:ascii="Arial" w:cs="Arial" w:eastAsia="Arial" w:hAnsi="Arial"/>
          <w:sz w:val="22"/>
          <w:szCs w:val="22"/>
        </w:rPr>
        <w:t xml:space="preserve">Premium listings receive enhanced profiles and visibility, but do not receive preferential ranking in AI-generated recommendations.</w:t>
      </w:r>
    </w:p>
    <w:p>
      <w:pPr>
        <w:pStyle w:val="ListParagraph"/>
        <w:numPr>
          <w:ilvl w:val="0"/>
          <w:numId w:val="1"/>
        </w:numPr>
        <w:spacing w:after="60"/>
      </w:pPr>
      <w:r>
        <w:rPr>
          <w:rFonts w:ascii="Arial" w:cs="Arial" w:eastAsia="Arial" w:hAnsi="Arial"/>
          <w:sz w:val="22"/>
          <w:szCs w:val="22"/>
        </w:rPr>
        <w:t xml:space="preserve">Clear disclaimers state that AskAdil does not endorse, guarantee, or take responsibility for the quality of legal advice provided by listed solicitors.</w:t>
      </w:r>
    </w:p>
    <w:p>
      <w:pPr>
        <w:pStyle w:val="Heading1"/>
        <w:pageBreakBefore/>
        <w:spacing w:after="120"/>
        <w:jc w:val="left"/>
      </w:pPr>
      <w:r>
        <w:rPr>
          <w:rFonts w:ascii="Arial" w:cs="Arial" w:eastAsia="Arial" w:hAnsi="Arial"/>
          <w:b w:val="false"/>
          <w:bCs w:val="false"/>
          <w:i w:val="false"/>
          <w:iCs w:val="false"/>
          <w:sz w:val="22"/>
          <w:szCs w:val="22"/>
        </w:rPr>
        <w:t xml:space="preserve">8. Risk Analysis</w:t>
      </w: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gridCol w:w="100"/>
        <w:gridCol w:w="100"/>
      </w:tblGrid>
      <w:tr>
        <w:trPr>
          <w:tblHeader/>
        </w:trPr>
        <w:tc>
          <w:tcPr>
            <w:tcW w:type="pct" w:w="22%"/>
            <w:shd w:fill="14532D" w:val="clear"/>
            <w:vAlign w:val="center"/>
          </w:tcPr>
          <w:p>
            <w:pPr>
              <w:spacing w:after="40" w:before="40"/>
              <w:jc w:val="left"/>
            </w:pPr>
            <w:r>
              <w:rPr>
                <w:rFonts w:ascii="Arial" w:cs="Arial" w:eastAsia="Arial" w:hAnsi="Arial"/>
                <w:b/>
                <w:bCs/>
                <w:color w:val="FFFFFF"/>
                <w:sz w:val="20"/>
                <w:szCs w:val="20"/>
              </w:rPr>
              <w:t xml:space="preserve">Risk</w:t>
            </w:r>
          </w:p>
        </w:tc>
        <w:tc>
          <w:tcPr>
            <w:tcW w:type="pct" w:w="12%"/>
            <w:shd w:fill="14532D" w:val="clear"/>
            <w:vAlign w:val="center"/>
          </w:tcPr>
          <w:p>
            <w:pPr>
              <w:spacing w:after="40" w:before="40"/>
              <w:jc w:val="left"/>
            </w:pPr>
            <w:r>
              <w:rPr>
                <w:rFonts w:ascii="Arial" w:cs="Arial" w:eastAsia="Arial" w:hAnsi="Arial"/>
                <w:b/>
                <w:bCs/>
                <w:color w:val="FFFFFF"/>
                <w:sz w:val="20"/>
                <w:szCs w:val="20"/>
              </w:rPr>
              <w:t xml:space="preserve">Likelihood</w:t>
            </w:r>
          </w:p>
        </w:tc>
        <w:tc>
          <w:tcPr>
            <w:tcW w:type="pct" w:w="12%"/>
            <w:shd w:fill="14532D" w:val="clear"/>
            <w:vAlign w:val="center"/>
          </w:tcPr>
          <w:p>
            <w:pPr>
              <w:spacing w:after="40" w:before="40"/>
              <w:jc w:val="left"/>
            </w:pPr>
            <w:r>
              <w:rPr>
                <w:rFonts w:ascii="Arial" w:cs="Arial" w:eastAsia="Arial" w:hAnsi="Arial"/>
                <w:b/>
                <w:bCs/>
                <w:color w:val="FFFFFF"/>
                <w:sz w:val="20"/>
                <w:szCs w:val="20"/>
              </w:rPr>
              <w:t xml:space="preserve">Impact</w:t>
            </w:r>
          </w:p>
        </w:tc>
        <w:tc>
          <w:tcPr>
            <w:tcW w:type="pct" w:w="54%"/>
            <w:shd w:fill="14532D" w:val="clear"/>
            <w:vAlign w:val="center"/>
          </w:tcPr>
          <w:p>
            <w:pPr>
              <w:spacing w:after="40" w:before="40"/>
              <w:jc w:val="left"/>
            </w:pPr>
            <w:r>
              <w:rPr>
                <w:rFonts w:ascii="Arial" w:cs="Arial" w:eastAsia="Arial" w:hAnsi="Arial"/>
                <w:b/>
                <w:bCs/>
                <w:color w:val="FFFFFF"/>
                <w:sz w:val="20"/>
                <w:szCs w:val="20"/>
              </w:rPr>
              <w:t xml:space="preserve">Mitigation</w:t>
            </w:r>
          </w:p>
        </w:tc>
      </w:tr>
      <w:tr>
        <w:tc>
          <w:tcPr>
            <w:tcW w:type="pct" w:w="22%"/>
            <w:vAlign w:val="center"/>
          </w:tcPr>
          <w:p>
            <w:pPr>
              <w:spacing w:after="40" w:before="40"/>
              <w:jc w:val="left"/>
            </w:pPr>
            <w:r>
              <w:rPr>
                <w:rFonts w:ascii="Arial" w:cs="Arial" w:eastAsia="Arial" w:hAnsi="Arial"/>
                <w:b w:val="false"/>
                <w:bCs w:val="false"/>
                <w:sz w:val="20"/>
                <w:szCs w:val="20"/>
              </w:rPr>
              <w:t xml:space="preserve">Low response rate from solicitors</w:t>
            </w:r>
          </w:p>
        </w:tc>
        <w:tc>
          <w:tcPr>
            <w:tcW w:type="pct" w:w="12%"/>
            <w:vAlign w:val="center"/>
          </w:tcPr>
          <w:p>
            <w:pPr>
              <w:spacing w:after="40" w:before="40"/>
              <w:jc w:val="left"/>
            </w:pPr>
            <w:r>
              <w:rPr>
                <w:rFonts w:ascii="Arial" w:cs="Arial" w:eastAsia="Arial" w:hAnsi="Arial"/>
                <w:b w:val="false"/>
                <w:bCs w:val="false"/>
                <w:sz w:val="20"/>
                <w:szCs w:val="20"/>
              </w:rPr>
              <w:t xml:space="preserve">Medium</w:t>
            </w:r>
          </w:p>
        </w:tc>
        <w:tc>
          <w:tcPr>
            <w:tcW w:type="pct" w:w="12%"/>
            <w:vAlign w:val="center"/>
          </w:tcPr>
          <w:p>
            <w:pPr>
              <w:spacing w:after="40" w:before="40"/>
              <w:jc w:val="left"/>
            </w:pPr>
            <w:r>
              <w:rPr>
                <w:rFonts w:ascii="Arial" w:cs="Arial" w:eastAsia="Arial" w:hAnsi="Arial"/>
                <w:b w:val="false"/>
                <w:bCs w:val="false"/>
                <w:sz w:val="20"/>
                <w:szCs w:val="20"/>
              </w:rPr>
              <w:t xml:space="preserve">Medium</w:t>
            </w:r>
          </w:p>
        </w:tc>
        <w:tc>
          <w:tcPr>
            <w:tcW w:type="pct" w:w="54%"/>
            <w:vAlign w:val="center"/>
          </w:tcPr>
          <w:p>
            <w:pPr>
              <w:spacing w:after="40" w:before="40"/>
              <w:jc w:val="left"/>
            </w:pPr>
            <w:r>
              <w:rPr>
                <w:rFonts w:ascii="Arial" w:cs="Arial" w:eastAsia="Arial" w:hAnsi="Arial"/>
                <w:b w:val="false"/>
                <w:bCs w:val="false"/>
                <w:sz w:val="20"/>
                <w:szCs w:val="20"/>
              </w:rPr>
              <w:t xml:space="preserve">Outreach on MCB letterhead, AI-personalised emails, up to 2 follow-ups per firm</w:t>
            </w:r>
          </w:p>
        </w:tc>
      </w:tr>
      <w:tr>
        <w:tc>
          <w:tcPr>
            <w:tcW w:type="pct" w:w="22%"/>
            <w:shd w:fill="F2F2F2" w:val="clear"/>
            <w:vAlign w:val="center"/>
          </w:tcPr>
          <w:p>
            <w:pPr>
              <w:spacing w:after="40" w:before="40"/>
              <w:jc w:val="left"/>
            </w:pPr>
            <w:r>
              <w:rPr>
                <w:rFonts w:ascii="Arial" w:cs="Arial" w:eastAsia="Arial" w:hAnsi="Arial"/>
                <w:b w:val="false"/>
                <w:bCs w:val="false"/>
                <w:sz w:val="20"/>
                <w:szCs w:val="20"/>
              </w:rPr>
              <w:t xml:space="preserve">Regulatory action (SRA)</w:t>
            </w:r>
          </w:p>
        </w:tc>
        <w:tc>
          <w:tcPr>
            <w:tcW w:type="pct" w:w="12%"/>
            <w:shd w:fill="F2F2F2" w:val="clear"/>
            <w:vAlign w:val="center"/>
          </w:tcPr>
          <w:p>
            <w:pPr>
              <w:spacing w:after="40" w:before="40"/>
              <w:jc w:val="left"/>
            </w:pPr>
            <w:r>
              <w:rPr>
                <w:rFonts w:ascii="Arial" w:cs="Arial" w:eastAsia="Arial" w:hAnsi="Arial"/>
                <w:b w:val="false"/>
                <w:bCs w:val="false"/>
                <w:sz w:val="20"/>
                <w:szCs w:val="20"/>
              </w:rPr>
              <w:t xml:space="preserve">Low</w:t>
            </w:r>
          </w:p>
        </w:tc>
        <w:tc>
          <w:tcPr>
            <w:tcW w:type="pct" w:w="12%"/>
            <w:shd w:fill="F2F2F2" w:val="clear"/>
            <w:vAlign w:val="center"/>
          </w:tcPr>
          <w:p>
            <w:pPr>
              <w:spacing w:after="40" w:before="40"/>
              <w:jc w:val="left"/>
            </w:pPr>
            <w:r>
              <w:rPr>
                <w:rFonts w:ascii="Arial" w:cs="Arial" w:eastAsia="Arial" w:hAnsi="Arial"/>
                <w:b w:val="false"/>
                <w:bCs w:val="false"/>
                <w:sz w:val="20"/>
                <w:szCs w:val="20"/>
              </w:rPr>
              <w:t xml:space="preserve">High</w:t>
            </w:r>
          </w:p>
        </w:tc>
        <w:tc>
          <w:tcPr>
            <w:tcW w:type="pct" w:w="54%"/>
            <w:shd w:fill="F2F2F2" w:val="clear"/>
            <w:vAlign w:val="center"/>
          </w:tcPr>
          <w:p>
            <w:pPr>
              <w:spacing w:after="40" w:before="40"/>
              <w:jc w:val="left"/>
            </w:pPr>
            <w:r>
              <w:rPr>
                <w:rFonts w:ascii="Arial" w:cs="Arial" w:eastAsia="Arial" w:hAnsi="Arial"/>
                <w:b w:val="false"/>
                <w:bCs w:val="false"/>
                <w:sz w:val="20"/>
                <w:szCs w:val="20"/>
              </w:rPr>
              <w:t xml:space="preserve">External SRA legal review before monetisation; no PI referral fees; full disclosure per SRA Principles 3 &amp; 7; mandatory client disclosure of introducer fees</w:t>
            </w:r>
          </w:p>
        </w:tc>
      </w:tr>
      <w:tr>
        <w:tc>
          <w:tcPr>
            <w:tcW w:type="pct" w:w="22%"/>
            <w:vAlign w:val="center"/>
          </w:tcPr>
          <w:p>
            <w:pPr>
              <w:spacing w:after="40" w:before="40"/>
              <w:jc w:val="left"/>
            </w:pPr>
            <w:r>
              <w:rPr>
                <w:rFonts w:ascii="Arial" w:cs="Arial" w:eastAsia="Arial" w:hAnsi="Arial"/>
                <w:b w:val="false"/>
                <w:bCs w:val="false"/>
                <w:sz w:val="20"/>
                <w:szCs w:val="20"/>
              </w:rPr>
              <w:t xml:space="preserve">PI/Discrimination boundary</w:t>
            </w:r>
          </w:p>
        </w:tc>
        <w:tc>
          <w:tcPr>
            <w:tcW w:type="pct" w:w="12%"/>
            <w:vAlign w:val="center"/>
          </w:tcPr>
          <w:p>
            <w:pPr>
              <w:spacing w:after="40" w:before="40"/>
              <w:jc w:val="left"/>
            </w:pPr>
            <w:r>
              <w:rPr>
                <w:rFonts w:ascii="Arial" w:cs="Arial" w:eastAsia="Arial" w:hAnsi="Arial"/>
                <w:b w:val="false"/>
                <w:bCs w:val="false"/>
                <w:sz w:val="20"/>
                <w:szCs w:val="20"/>
              </w:rPr>
              <w:t xml:space="preserve">Medium</w:t>
            </w:r>
          </w:p>
        </w:tc>
        <w:tc>
          <w:tcPr>
            <w:tcW w:type="pct" w:w="12%"/>
            <w:vAlign w:val="center"/>
          </w:tcPr>
          <w:p>
            <w:pPr>
              <w:spacing w:after="40" w:before="40"/>
              <w:jc w:val="left"/>
            </w:pPr>
            <w:r>
              <w:rPr>
                <w:rFonts w:ascii="Arial" w:cs="Arial" w:eastAsia="Arial" w:hAnsi="Arial"/>
                <w:b w:val="false"/>
                <w:bCs w:val="false"/>
                <w:sz w:val="20"/>
                <w:szCs w:val="20"/>
              </w:rPr>
              <w:t xml:space="preserve">High</w:t>
            </w:r>
          </w:p>
        </w:tc>
        <w:tc>
          <w:tcPr>
            <w:tcW w:type="pct" w:w="54%"/>
            <w:vAlign w:val="center"/>
          </w:tcPr>
          <w:p>
            <w:pPr>
              <w:spacing w:after="40" w:before="40"/>
              <w:jc w:val="left"/>
            </w:pPr>
            <w:r>
              <w:rPr>
                <w:rFonts w:ascii="Arial" w:cs="Arial" w:eastAsia="Arial" w:hAnsi="Arial"/>
                <w:b w:val="false"/>
                <w:bCs w:val="false"/>
                <w:sz w:val="20"/>
                <w:szCs w:val="20"/>
              </w:rPr>
              <w:t xml:space="preserve">Exclude cases with PI element from lead gen fees. Charge subscriptions only for discrimination firms. Seek specific SRA guidance on boundary cases.</w:t>
            </w:r>
          </w:p>
        </w:tc>
      </w:tr>
      <w:tr>
        <w:tc>
          <w:tcPr>
            <w:tcW w:type="pct" w:w="22%"/>
            <w:shd w:fill="F2F2F2" w:val="clear"/>
            <w:vAlign w:val="center"/>
          </w:tcPr>
          <w:p>
            <w:pPr>
              <w:spacing w:after="40" w:before="40"/>
              <w:jc w:val="left"/>
            </w:pPr>
            <w:r>
              <w:rPr>
                <w:rFonts w:ascii="Arial" w:cs="Arial" w:eastAsia="Arial" w:hAnsi="Arial"/>
                <w:b w:val="false"/>
                <w:bCs w:val="false"/>
                <w:sz w:val="20"/>
                <w:szCs w:val="20"/>
              </w:rPr>
              <w:t xml:space="preserve">Reputational damage to MCB</w:t>
            </w:r>
          </w:p>
        </w:tc>
        <w:tc>
          <w:tcPr>
            <w:tcW w:type="pct" w:w="12%"/>
            <w:shd w:fill="F2F2F2" w:val="clear"/>
            <w:vAlign w:val="center"/>
          </w:tcPr>
          <w:p>
            <w:pPr>
              <w:spacing w:after="40" w:before="40"/>
              <w:jc w:val="left"/>
            </w:pPr>
            <w:r>
              <w:rPr>
                <w:rFonts w:ascii="Arial" w:cs="Arial" w:eastAsia="Arial" w:hAnsi="Arial"/>
                <w:b w:val="false"/>
                <w:bCs w:val="false"/>
                <w:sz w:val="20"/>
                <w:szCs w:val="20"/>
              </w:rPr>
              <w:t xml:space="preserve">Low</w:t>
            </w:r>
          </w:p>
        </w:tc>
        <w:tc>
          <w:tcPr>
            <w:tcW w:type="pct" w:w="12%"/>
            <w:shd w:fill="F2F2F2" w:val="clear"/>
            <w:vAlign w:val="center"/>
          </w:tcPr>
          <w:p>
            <w:pPr>
              <w:spacing w:after="40" w:before="40"/>
              <w:jc w:val="left"/>
            </w:pPr>
            <w:r>
              <w:rPr>
                <w:rFonts w:ascii="Arial" w:cs="Arial" w:eastAsia="Arial" w:hAnsi="Arial"/>
                <w:b w:val="false"/>
                <w:bCs w:val="false"/>
                <w:sz w:val="20"/>
                <w:szCs w:val="20"/>
              </w:rPr>
              <w:t xml:space="preserve">High</w:t>
            </w:r>
          </w:p>
        </w:tc>
        <w:tc>
          <w:tcPr>
            <w:tcW w:type="pct" w:w="54%"/>
            <w:shd w:fill="F2F2F2" w:val="clear"/>
            <w:vAlign w:val="center"/>
          </w:tcPr>
          <w:p>
            <w:pPr>
              <w:spacing w:after="40" w:before="40"/>
              <w:jc w:val="left"/>
            </w:pPr>
            <w:r>
              <w:rPr>
                <w:rFonts w:ascii="Arial" w:cs="Arial" w:eastAsia="Arial" w:hAnsi="Arial"/>
                <w:b w:val="false"/>
                <w:bCs w:val="false"/>
                <w:sz w:val="20"/>
                <w:szCs w:val="20"/>
              </w:rPr>
              <w:t xml:space="preserve">MCB oversight of all outreach communications; every email is human-reviewed before sending; dry-run tested; professional tone</w:t>
            </w:r>
          </w:p>
        </w:tc>
      </w:tr>
      <w:tr>
        <w:tc>
          <w:tcPr>
            <w:tcW w:type="pct" w:w="22%"/>
            <w:vAlign w:val="center"/>
          </w:tcPr>
          <w:p>
            <w:pPr>
              <w:spacing w:after="40" w:before="40"/>
              <w:jc w:val="left"/>
            </w:pPr>
            <w:r>
              <w:rPr>
                <w:rFonts w:ascii="Arial" w:cs="Arial" w:eastAsia="Arial" w:hAnsi="Arial"/>
                <w:b w:val="false"/>
                <w:bCs w:val="false"/>
                <w:sz w:val="20"/>
                <w:szCs w:val="20"/>
              </w:rPr>
              <w:t xml:space="preserve">Data protection breach</w:t>
            </w:r>
          </w:p>
        </w:tc>
        <w:tc>
          <w:tcPr>
            <w:tcW w:type="pct" w:w="12%"/>
            <w:vAlign w:val="center"/>
          </w:tcPr>
          <w:p>
            <w:pPr>
              <w:spacing w:after="40" w:before="40"/>
              <w:jc w:val="left"/>
            </w:pPr>
            <w:r>
              <w:rPr>
                <w:rFonts w:ascii="Arial" w:cs="Arial" w:eastAsia="Arial" w:hAnsi="Arial"/>
                <w:b w:val="false"/>
                <w:bCs w:val="false"/>
                <w:sz w:val="20"/>
                <w:szCs w:val="20"/>
              </w:rPr>
              <w:t xml:space="preserve">Low</w:t>
            </w:r>
          </w:p>
        </w:tc>
        <w:tc>
          <w:tcPr>
            <w:tcW w:type="pct" w:w="12%"/>
            <w:vAlign w:val="center"/>
          </w:tcPr>
          <w:p>
            <w:pPr>
              <w:spacing w:after="40" w:before="40"/>
              <w:jc w:val="left"/>
            </w:pPr>
            <w:r>
              <w:rPr>
                <w:rFonts w:ascii="Arial" w:cs="Arial" w:eastAsia="Arial" w:hAnsi="Arial"/>
                <w:b w:val="false"/>
                <w:bCs w:val="false"/>
                <w:sz w:val="20"/>
                <w:szCs w:val="20"/>
              </w:rPr>
              <w:t xml:space="preserve">Medium</w:t>
            </w:r>
          </w:p>
        </w:tc>
        <w:tc>
          <w:tcPr>
            <w:tcW w:type="pct" w:w="54%"/>
            <w:vAlign w:val="center"/>
          </w:tcPr>
          <w:p>
            <w:pPr>
              <w:spacing w:after="40" w:before="40"/>
              <w:jc w:val="left"/>
            </w:pPr>
            <w:r>
              <w:rPr>
                <w:rFonts w:ascii="Arial" w:cs="Arial" w:eastAsia="Arial" w:hAnsi="Arial"/>
                <w:b w:val="false"/>
                <w:bCs w:val="false"/>
                <w:sz w:val="20"/>
                <w:szCs w:val="20"/>
              </w:rPr>
              <w:t xml:space="preserve">GDPR-compliant architecture; consent-based listing; right to removal; encrypted data storage</w:t>
            </w:r>
          </w:p>
        </w:tc>
      </w:tr>
      <w:tr>
        <w:tc>
          <w:tcPr>
            <w:tcW w:type="pct" w:w="22%"/>
            <w:shd w:fill="F2F2F2" w:val="clear"/>
            <w:vAlign w:val="center"/>
          </w:tcPr>
          <w:p>
            <w:pPr>
              <w:spacing w:after="40" w:before="40"/>
              <w:jc w:val="left"/>
            </w:pPr>
            <w:r>
              <w:rPr>
                <w:rFonts w:ascii="Arial" w:cs="Arial" w:eastAsia="Arial" w:hAnsi="Arial"/>
                <w:b w:val="false"/>
                <w:bCs w:val="false"/>
                <w:sz w:val="20"/>
                <w:szCs w:val="20"/>
              </w:rPr>
              <w:t xml:space="preserve">Competitor enters market</w:t>
            </w:r>
          </w:p>
        </w:tc>
        <w:tc>
          <w:tcPr>
            <w:tcW w:type="pct" w:w="12%"/>
            <w:shd w:fill="F2F2F2" w:val="clear"/>
            <w:vAlign w:val="center"/>
          </w:tcPr>
          <w:p>
            <w:pPr>
              <w:spacing w:after="40" w:before="40"/>
              <w:jc w:val="left"/>
            </w:pPr>
            <w:r>
              <w:rPr>
                <w:rFonts w:ascii="Arial" w:cs="Arial" w:eastAsia="Arial" w:hAnsi="Arial"/>
                <w:b w:val="false"/>
                <w:bCs w:val="false"/>
                <w:sz w:val="20"/>
                <w:szCs w:val="20"/>
              </w:rPr>
              <w:t xml:space="preserve">Low</w:t>
            </w:r>
          </w:p>
        </w:tc>
        <w:tc>
          <w:tcPr>
            <w:tcW w:type="pct" w:w="12%"/>
            <w:shd w:fill="F2F2F2" w:val="clear"/>
            <w:vAlign w:val="center"/>
          </w:tcPr>
          <w:p>
            <w:pPr>
              <w:spacing w:after="40" w:before="40"/>
              <w:jc w:val="left"/>
            </w:pPr>
            <w:r>
              <w:rPr>
                <w:rFonts w:ascii="Arial" w:cs="Arial" w:eastAsia="Arial" w:hAnsi="Arial"/>
                <w:b w:val="false"/>
                <w:bCs w:val="false"/>
                <w:sz w:val="20"/>
                <w:szCs w:val="20"/>
              </w:rPr>
              <w:t xml:space="preserve">Medium</w:t>
            </w:r>
          </w:p>
        </w:tc>
        <w:tc>
          <w:tcPr>
            <w:tcW w:type="pct" w:w="54%"/>
            <w:shd w:fill="F2F2F2" w:val="clear"/>
            <w:vAlign w:val="center"/>
          </w:tcPr>
          <w:p>
            <w:pPr>
              <w:spacing w:after="40" w:before="40"/>
              <w:jc w:val="left"/>
            </w:pPr>
            <w:r>
              <w:rPr>
                <w:rFonts w:ascii="Arial" w:cs="Arial" w:eastAsia="Arial" w:hAnsi="Arial"/>
                <w:b w:val="false"/>
                <w:bCs w:val="false"/>
                <w:sz w:val="20"/>
                <w:szCs w:val="20"/>
              </w:rPr>
              <w:t xml:space="preserve">First-mover advantage; MCB’s direct involvement provides unique trust signal; established community reach</w:t>
            </w:r>
          </w:p>
        </w:tc>
      </w:tr>
      <w:tr>
        <w:tc>
          <w:tcPr>
            <w:tcW w:type="pct" w:w="22%"/>
            <w:vAlign w:val="center"/>
          </w:tcPr>
          <w:p>
            <w:pPr>
              <w:spacing w:after="40" w:before="40"/>
              <w:jc w:val="left"/>
            </w:pPr>
            <w:r>
              <w:rPr>
                <w:rFonts w:ascii="Arial" w:cs="Arial" w:eastAsia="Arial" w:hAnsi="Arial"/>
                <w:b w:val="false"/>
                <w:bCs w:val="false"/>
                <w:sz w:val="20"/>
                <w:szCs w:val="20"/>
              </w:rPr>
              <w:t xml:space="preserve">Revenue below projections</w:t>
            </w:r>
          </w:p>
        </w:tc>
        <w:tc>
          <w:tcPr>
            <w:tcW w:type="pct" w:w="12%"/>
            <w:vAlign w:val="center"/>
          </w:tcPr>
          <w:p>
            <w:pPr>
              <w:spacing w:after="40" w:before="40"/>
              <w:jc w:val="left"/>
            </w:pPr>
            <w:r>
              <w:rPr>
                <w:rFonts w:ascii="Arial" w:cs="Arial" w:eastAsia="Arial" w:hAnsi="Arial"/>
                <w:b w:val="false"/>
                <w:bCs w:val="false"/>
                <w:sz w:val="20"/>
                <w:szCs w:val="20"/>
              </w:rPr>
              <w:t xml:space="preserve">Medium</w:t>
            </w:r>
          </w:p>
        </w:tc>
        <w:tc>
          <w:tcPr>
            <w:tcW w:type="pct" w:w="12%"/>
            <w:vAlign w:val="center"/>
          </w:tcPr>
          <w:p>
            <w:pPr>
              <w:spacing w:after="40" w:before="40"/>
              <w:jc w:val="left"/>
            </w:pPr>
            <w:r>
              <w:rPr>
                <w:rFonts w:ascii="Arial" w:cs="Arial" w:eastAsia="Arial" w:hAnsi="Arial"/>
                <w:b w:val="false"/>
                <w:bCs w:val="false"/>
                <w:sz w:val="20"/>
                <w:szCs w:val="20"/>
              </w:rPr>
              <w:t xml:space="preserve">Low</w:t>
            </w:r>
          </w:p>
        </w:tc>
        <w:tc>
          <w:tcPr>
            <w:tcW w:type="pct" w:w="54%"/>
            <w:vAlign w:val="center"/>
          </w:tcPr>
          <w:p>
            <w:pPr>
              <w:spacing w:after="40" w:before="40"/>
              <w:jc w:val="left"/>
            </w:pPr>
            <w:r>
              <w:rPr>
                <w:rFonts w:ascii="Arial" w:cs="Arial" w:eastAsia="Arial" w:hAnsi="Arial"/>
                <w:b w:val="false"/>
                <w:bCs w:val="false"/>
                <w:sz w:val="20"/>
                <w:szCs w:val="20"/>
              </w:rPr>
              <w:t xml:space="preserve">Free tier ensures community value regardless of commercial performance; low operating costs</w:t>
            </w:r>
          </w:p>
        </w:tc>
      </w:tr>
    </w:tbl>
    <w:p>
      <w:pPr>
        <w:pStyle w:val="Heading1"/>
        <w:pageBreakBefore/>
        <w:spacing w:after="120"/>
        <w:jc w:val="left"/>
      </w:pPr>
      <w:r>
        <w:rPr>
          <w:rFonts w:ascii="Arial" w:cs="Arial" w:eastAsia="Arial" w:hAnsi="Arial"/>
          <w:b w:val="false"/>
          <w:bCs w:val="false"/>
          <w:i w:val="false"/>
          <w:iCs w:val="false"/>
          <w:sz w:val="22"/>
          <w:szCs w:val="22"/>
        </w:rPr>
        <w:t xml:space="preserve">9. Strategic Model: Why a Hybrid Approach, Not Hate-Crime Only</w:t>
      </w:r>
    </w:p>
    <w:p>
      <w:pPr>
        <w:spacing w:after="120"/>
        <w:jc w:val="left"/>
      </w:pPr>
      <w:r>
        <w:rPr>
          <w:rFonts w:ascii="Arial" w:cs="Arial" w:eastAsia="Arial" w:hAnsi="Arial"/>
          <w:b w:val="false"/>
          <w:bCs w:val="false"/>
          <w:i w:val="false"/>
          <w:iCs w:val="false"/>
          <w:sz w:val="22"/>
          <w:szCs w:val="22"/>
        </w:rPr>
        <w:t xml:space="preserve">A legitimate question for the executive team: should the directory focus exclusively on hate-crime and Islamophobia cases, given MCB’s community mandate? This section explains why a hate-crime-only model would be counterproductive, and recommends a hybrid approach that serves victims while ensuring financial sustainability.</w:t>
      </w:r>
    </w:p>
    <w:p>
      <w:pPr>
        <w:spacing w:after="60"/>
      </w:pPr>
    </w:p>
    <w:p>
      <w:pPr>
        <w:pStyle w:val="Heading2"/>
        <w:spacing w:after="120"/>
        <w:jc w:val="left"/>
      </w:pPr>
      <w:r>
        <w:rPr>
          <w:rFonts w:ascii="Arial" w:cs="Arial" w:eastAsia="Arial" w:hAnsi="Arial"/>
          <w:b w:val="false"/>
          <w:bCs w:val="false"/>
          <w:i w:val="false"/>
          <w:iCs w:val="false"/>
          <w:sz w:val="22"/>
          <w:szCs w:val="22"/>
        </w:rPr>
        <w:t xml:space="preserve">Why Hate-Crime Only Would Fail</w:t>
      </w:r>
    </w:p>
    <w:p>
      <w:pPr>
        <w:spacing w:after="60"/>
      </w:pPr>
    </w:p>
    <w:p>
      <w:pPr>
        <w:spacing w:after="160"/>
        <w:jc w:val="left"/>
      </w:pPr>
      <w:r>
        <w:rPr>
          <w:rFonts w:ascii="Arial" w:cs="Arial" w:eastAsia="Arial" w:hAnsi="Arial"/>
          <w:b/>
          <w:bCs/>
          <w:i w:val="false"/>
          <w:iCs w:val="false"/>
          <w:sz w:val="22"/>
          <w:szCs w:val="22"/>
        </w:rPr>
        <w:t xml:space="preserve">1. It kills the revenue model. </w:t>
      </w:r>
      <w:r>
        <w:rPr>
          <w:rFonts w:ascii="Arial" w:cs="Arial" w:eastAsia="Arial" w:hAnsi="Arial"/>
          <w:b w:val="false"/>
          <w:bCs w:val="false"/>
          <w:i w:val="false"/>
          <w:iCs w:val="false"/>
          <w:sz w:val="22"/>
          <w:szCs w:val="22"/>
        </w:rPr>
        <w:t xml:space="preserve">Hate-crime victims typically lack funds for private fees — cases are handled via Legal Aid, pro bono, or No-Win-No-Fee. Law firms will pay £25 for a lead on a high-value Islamic divorce or estate plan. They will not pay for distressed hate-crime enquiries. Restricting to hate-crime drops projected revenue to near zero.</w:t>
      </w:r>
    </w:p>
    <w:p>
      <w:pPr>
        <w:spacing w:after="160"/>
        <w:jc w:val="left"/>
      </w:pPr>
      <w:r>
        <w:rPr>
          <w:rFonts w:ascii="Arial" w:cs="Arial" w:eastAsia="Arial" w:hAnsi="Arial"/>
          <w:b/>
          <w:bCs/>
          <w:i w:val="false"/>
          <w:iCs w:val="false"/>
          <w:sz w:val="22"/>
          <w:szCs w:val="22"/>
        </w:rPr>
        <w:t xml:space="preserve">2. It maximises regulatory danger. </w:t>
      </w:r>
      <w:r>
        <w:rPr>
          <w:rFonts w:ascii="Arial" w:cs="Arial" w:eastAsia="Arial" w:hAnsi="Arial"/>
          <w:b w:val="false"/>
          <w:bCs w:val="false"/>
          <w:i w:val="false"/>
          <w:iCs w:val="false"/>
          <w:sz w:val="22"/>
          <w:szCs w:val="22"/>
        </w:rPr>
        <w:t xml:space="preserve">Hate-crime assaults frequently involve psychological trauma or physical injury claims, blurring into Personal Injury territory. Charging lead-generation fees on cases with a PI element risks regulatory breach under LASPO. By contrast, Islamic Wills and Halal Conveyancing leads are entirely legal and low-risk.</w:t>
      </w:r>
    </w:p>
    <w:p>
      <w:pPr>
        <w:spacing w:after="160"/>
        <w:jc w:val="left"/>
      </w:pPr>
      <w:r>
        <w:rPr>
          <w:rFonts w:ascii="Arial" w:cs="Arial" w:eastAsia="Arial" w:hAnsi="Arial"/>
          <w:b/>
          <w:bCs/>
          <w:i w:val="false"/>
          <w:iCs w:val="false"/>
          <w:sz w:val="22"/>
          <w:szCs w:val="22"/>
        </w:rPr>
        <w:t xml:space="preserve">3. It duplicates existing charity work. </w:t>
      </w:r>
      <w:r>
        <w:rPr>
          <w:rFonts w:ascii="Arial" w:cs="Arial" w:eastAsia="Arial" w:hAnsi="Arial"/>
          <w:b w:val="false"/>
          <w:bCs w:val="false"/>
          <w:i w:val="false"/>
          <w:iCs w:val="false"/>
          <w:sz w:val="22"/>
          <w:szCs w:val="22"/>
        </w:rPr>
        <w:t xml:space="preserve">Tell MAMA, the IRU, CAGE, and IHRC already handle hate-crime reporting, victim support, and legal referrals. A hate-crime-only directory would compete with MCB’s own community partners rather than complement them. AskAdil’s genuine first-mover advantage lies in everyday legal services.</w:t>
      </w:r>
    </w:p>
    <w:p>
      <w:pPr>
        <w:spacing w:after="240"/>
        <w:jc w:val="left"/>
      </w:pPr>
      <w:r>
        <w:rPr>
          <w:rFonts w:ascii="Arial" w:cs="Arial" w:eastAsia="Arial" w:hAnsi="Arial"/>
          <w:b/>
          <w:bCs/>
          <w:i w:val="false"/>
          <w:iCs w:val="false"/>
          <w:sz w:val="22"/>
          <w:szCs w:val="22"/>
        </w:rPr>
        <w:t xml:space="preserve">4. It ignores organic demand. </w:t>
      </w:r>
      <w:r>
        <w:rPr>
          <w:rFonts w:ascii="Arial" w:cs="Arial" w:eastAsia="Arial" w:hAnsi="Arial"/>
          <w:b w:val="false"/>
          <w:bCs w:val="false"/>
          <w:i w:val="false"/>
          <w:iCs w:val="false"/>
          <w:sz w:val="22"/>
          <w:szCs w:val="22"/>
        </w:rPr>
        <w:t xml:space="preserve">Community members ask AskAdil questions like “How do I find a Muslim solicitor?” and “Can you recommend a lawyer who understands Islamic law?” The bulk of demand is for Islamic family law, wills, and finance — the intersection of British law and Sharia. Cutting these means ignoring what users actually need.</w:t>
      </w:r>
    </w:p>
    <w:p>
      <w:pPr>
        <w:pStyle w:val="Heading2"/>
        <w:spacing w:after="120"/>
        <w:jc w:val="left"/>
      </w:pPr>
      <w:r>
        <w:rPr>
          <w:rFonts w:ascii="Arial" w:cs="Arial" w:eastAsia="Arial" w:hAnsi="Arial"/>
          <w:b w:val="false"/>
          <w:bCs w:val="false"/>
          <w:i w:val="false"/>
          <w:iCs w:val="false"/>
          <w:sz w:val="22"/>
          <w:szCs w:val="22"/>
        </w:rPr>
        <w:t xml:space="preserve">Recommended: Hybrid/Subsidised Model</w:t>
      </w:r>
    </w:p>
    <w:p>
      <w:pPr>
        <w:spacing w:after="60"/>
      </w:pPr>
    </w:p>
    <w:tbl>
      <w:tblPr>
        <w:tblW w:type="pct" w:w="100%"/>
        <w:tblBorders>
          <w:top w:val="single" w:color="CCCCCC" w:sz="1"/>
          <w:left w:val="single" w:color="CCCCCC" w:sz="1"/>
          <w:bottom w:val="single" w:color="CCCCCC" w:sz="1"/>
          <w:right w:val="single" w:color="CCCCCC" w:sz="1"/>
          <w:insideH w:val="single" w:color="CCCCCC" w:sz="1"/>
          <w:insideV w:val="single" w:color="CCCCCC" w:sz="1"/>
        </w:tblBorders>
      </w:tblPr>
      <w:tblGrid>
        <w:gridCol w:w="100"/>
        <w:gridCol w:w="100"/>
      </w:tblGrid>
      <w:tr>
        <w:trPr>
          <w:tblHeader/>
        </w:trPr>
        <w:tc>
          <w:tcPr>
            <w:tcW w:type="pct" w:w="50%"/>
            <w:shd w:fill="14532D" w:val="clear"/>
            <w:vAlign w:val="center"/>
          </w:tcPr>
          <w:p>
            <w:pPr>
              <w:spacing w:after="40" w:before="40"/>
              <w:jc w:val="left"/>
            </w:pPr>
            <w:r>
              <w:rPr>
                <w:rFonts w:ascii="Arial" w:cs="Arial" w:eastAsia="Arial" w:hAnsi="Arial"/>
                <w:b/>
                <w:bCs/>
                <w:color w:val="FFFFFF"/>
                <w:sz w:val="20"/>
                <w:szCs w:val="20"/>
              </w:rPr>
              <w:t xml:space="preserve">Commercial Tier (Revenue-Generating)</w:t>
            </w:r>
          </w:p>
        </w:tc>
        <w:tc>
          <w:tcPr>
            <w:tcW w:type="pct" w:w="50%"/>
            <w:shd w:fill="14532D" w:val="clear"/>
            <w:vAlign w:val="center"/>
          </w:tcPr>
          <w:p>
            <w:pPr>
              <w:spacing w:after="40" w:before="40"/>
              <w:jc w:val="left"/>
            </w:pPr>
            <w:r>
              <w:rPr>
                <w:rFonts w:ascii="Arial" w:cs="Arial" w:eastAsia="Arial" w:hAnsi="Arial"/>
                <w:b/>
                <w:bCs/>
                <w:color w:val="FFFFFF"/>
                <w:sz w:val="20"/>
                <w:szCs w:val="20"/>
              </w:rPr>
              <w:t xml:space="preserve">Community Tier (Free Public Service)</w:t>
            </w:r>
          </w:p>
        </w:tc>
      </w:tr>
      <w:tr>
        <w:tc>
          <w:tcPr>
            <w:tcW w:type="pct" w:w="50%"/>
            <w:vAlign w:val="center"/>
          </w:tcPr>
          <w:p>
            <w:pPr>
              <w:spacing w:after="40" w:before="40"/>
              <w:jc w:val="left"/>
            </w:pPr>
            <w:r>
              <w:rPr>
                <w:rFonts w:ascii="Arial" w:cs="Arial" w:eastAsia="Arial" w:hAnsi="Arial"/>
                <w:b w:val="false"/>
                <w:bCs w:val="false"/>
                <w:sz w:val="20"/>
                <w:szCs w:val="20"/>
              </w:rPr>
              <w:t xml:space="preserve">Islamic Family Law &amp; Divorce</w:t>
            </w:r>
          </w:p>
        </w:tc>
        <w:tc>
          <w:tcPr>
            <w:tcW w:type="pct" w:w="50%"/>
            <w:vAlign w:val="center"/>
          </w:tcPr>
          <w:p>
            <w:pPr>
              <w:spacing w:after="40" w:before="40"/>
              <w:jc w:val="left"/>
            </w:pPr>
            <w:r>
              <w:rPr>
                <w:rFonts w:ascii="Arial" w:cs="Arial" w:eastAsia="Arial" w:hAnsi="Arial"/>
                <w:b w:val="false"/>
                <w:bCs w:val="false"/>
                <w:sz w:val="20"/>
                <w:szCs w:val="20"/>
              </w:rPr>
              <w:t xml:space="preserve">Discrimination &amp; Hate Crime</w:t>
            </w:r>
          </w:p>
        </w:tc>
      </w:tr>
      <w:tr>
        <w:tc>
          <w:tcPr>
            <w:tcW w:type="pct" w:w="50%"/>
            <w:shd w:fill="F2F2F2" w:val="clear"/>
            <w:vAlign w:val="center"/>
          </w:tcPr>
          <w:p>
            <w:pPr>
              <w:spacing w:after="40" w:before="40"/>
              <w:jc w:val="left"/>
            </w:pPr>
            <w:r>
              <w:rPr>
                <w:rFonts w:ascii="Arial" w:cs="Arial" w:eastAsia="Arial" w:hAnsi="Arial"/>
                <w:b w:val="false"/>
                <w:bCs w:val="false"/>
                <w:sz w:val="20"/>
                <w:szCs w:val="20"/>
              </w:rPr>
              <w:t xml:space="preserve">Islamic Wills &amp; Inheritance</w:t>
            </w:r>
          </w:p>
        </w:tc>
        <w:tc>
          <w:tcPr>
            <w:tcW w:type="pct" w:w="50%"/>
            <w:shd w:fill="F2F2F2" w:val="clear"/>
            <w:vAlign w:val="center"/>
          </w:tcPr>
          <w:p>
            <w:pPr>
              <w:spacing w:after="40" w:before="40"/>
              <w:jc w:val="left"/>
            </w:pPr>
            <w:r>
              <w:rPr>
                <w:rFonts w:ascii="Arial" w:cs="Arial" w:eastAsia="Arial" w:hAnsi="Arial"/>
                <w:b w:val="false"/>
                <w:bCs w:val="false"/>
                <w:sz w:val="20"/>
                <w:szCs w:val="20"/>
              </w:rPr>
              <w:t xml:space="preserve">Islamophobia cases</w:t>
            </w:r>
          </w:p>
        </w:tc>
      </w:tr>
      <w:tr>
        <w:tc>
          <w:tcPr>
            <w:tcW w:type="pct" w:w="50%"/>
            <w:vAlign w:val="center"/>
          </w:tcPr>
          <w:p>
            <w:pPr>
              <w:spacing w:after="40" w:before="40"/>
              <w:jc w:val="left"/>
            </w:pPr>
            <w:r>
              <w:rPr>
                <w:rFonts w:ascii="Arial" w:cs="Arial" w:eastAsia="Arial" w:hAnsi="Arial"/>
                <w:b w:val="false"/>
                <w:bCs w:val="false"/>
                <w:sz w:val="20"/>
                <w:szCs w:val="20"/>
              </w:rPr>
              <w:t xml:space="preserve">Islamic Finance &amp; Conveyancing</w:t>
            </w:r>
          </w:p>
        </w:tc>
        <w:tc>
          <w:tcPr>
            <w:tcW w:type="pct" w:w="50%"/>
            <w:vAlign w:val="center"/>
          </w:tcPr>
          <w:p>
            <w:pPr>
              <w:spacing w:after="40" w:before="40"/>
              <w:jc w:val="left"/>
            </w:pPr>
            <w:r>
              <w:rPr>
                <w:rFonts w:ascii="Arial" w:cs="Arial" w:eastAsia="Arial" w:hAnsi="Arial"/>
                <w:b w:val="false"/>
                <w:bCs w:val="false"/>
                <w:sz w:val="20"/>
                <w:szCs w:val="20"/>
              </w:rPr>
              <w:t xml:space="preserve">Actions against police</w:t>
            </w:r>
          </w:p>
        </w:tc>
      </w:tr>
      <w:tr>
        <w:tc>
          <w:tcPr>
            <w:tcW w:type="pct" w:w="50%"/>
            <w:shd w:fill="F2F2F2" w:val="clear"/>
            <w:vAlign w:val="center"/>
          </w:tcPr>
          <w:p>
            <w:pPr>
              <w:spacing w:after="40" w:before="40"/>
              <w:jc w:val="left"/>
            </w:pPr>
            <w:r>
              <w:rPr>
                <w:rFonts w:ascii="Arial" w:cs="Arial" w:eastAsia="Arial" w:hAnsi="Arial"/>
                <w:b w:val="false"/>
                <w:bCs w:val="false"/>
                <w:sz w:val="20"/>
                <w:szCs w:val="20"/>
              </w:rPr>
              <w:t xml:space="preserve">Employment Law</w:t>
            </w:r>
          </w:p>
        </w:tc>
        <w:tc>
          <w:tcPr>
            <w:tcW w:type="pct" w:w="50%"/>
            <w:shd w:fill="F2F2F2" w:val="clear"/>
            <w:vAlign w:val="center"/>
          </w:tcPr>
          <w:p>
            <w:pPr>
              <w:spacing w:after="40" w:before="40"/>
              <w:jc w:val="left"/>
            </w:pPr>
            <w:r>
              <w:rPr>
                <w:rFonts w:ascii="Arial" w:cs="Arial" w:eastAsia="Arial" w:hAnsi="Arial"/>
                <w:b w:val="false"/>
                <w:bCs w:val="false"/>
                <w:sz w:val="20"/>
                <w:szCs w:val="20"/>
              </w:rPr>
              <w:t xml:space="preserve">Prevent programme cases</w:t>
            </w:r>
          </w:p>
        </w:tc>
      </w:tr>
      <w:tr>
        <w:tc>
          <w:tcPr>
            <w:tcW w:type="pct" w:w="50%"/>
            <w:vAlign w:val="center"/>
          </w:tcPr>
          <w:p>
            <w:pPr>
              <w:spacing w:after="40" w:before="40"/>
              <w:jc w:val="left"/>
            </w:pPr>
            <w:r>
              <w:rPr>
                <w:rFonts w:ascii="Arial" w:cs="Arial" w:eastAsia="Arial" w:hAnsi="Arial"/>
                <w:b w:val="false"/>
                <w:bCs w:val="false"/>
                <w:sz w:val="20"/>
                <w:szCs w:val="20"/>
              </w:rPr>
              <w:t xml:space="preserve">Immigration</w:t>
            </w:r>
          </w:p>
        </w:tc>
        <w:tc>
          <w:tcPr>
            <w:tcW w:type="pct" w:w="50%"/>
            <w:vAlign w:val="center"/>
          </w:tcPr>
          <w:p>
            <w:pPr>
              <w:spacing w:after="40" w:before="40"/>
              <w:jc w:val="left"/>
            </w:pPr>
            <w:r>
              <w:rPr>
                <w:rFonts w:ascii="Arial" w:cs="Arial" w:eastAsia="Arial" w:hAnsi="Arial"/>
                <w:b w:val="false"/>
                <w:bCs w:val="false"/>
                <w:sz w:val="20"/>
                <w:szCs w:val="20"/>
              </w:rPr>
              <w:t xml:space="preserve">Pro bono &amp; Legal Aid referrals</w:t>
            </w:r>
          </w:p>
        </w:tc>
      </w:tr>
      <w:tr>
        <w:tc>
          <w:tcPr>
            <w:tcW w:type="pct" w:w="50%"/>
            <w:shd w:fill="F2F2F2" w:val="clear"/>
            <w:vAlign w:val="center"/>
          </w:tcPr>
          <w:p>
            <w:pPr>
              <w:spacing w:after="40" w:before="40"/>
              <w:jc w:val="left"/>
            </w:pPr>
            <w:r>
              <w:rPr>
                <w:rFonts w:ascii="Arial" w:cs="Arial" w:eastAsia="Arial" w:hAnsi="Arial"/>
                <w:b w:val="false"/>
                <w:bCs w:val="false"/>
                <w:sz w:val="20"/>
                <w:szCs w:val="20"/>
              </w:rPr>
              <w:t xml:space="preserve">Monetised: Premium listings, lead gen fees, sponsored content</w:t>
            </w:r>
          </w:p>
        </w:tc>
        <w:tc>
          <w:tcPr>
            <w:tcW w:type="pct" w:w="50%"/>
            <w:shd w:fill="F2F2F2" w:val="clear"/>
            <w:vAlign w:val="center"/>
          </w:tcPr>
          <w:p>
            <w:pPr>
              <w:spacing w:after="40" w:before="40"/>
              <w:jc w:val="left"/>
            </w:pPr>
            <w:r>
              <w:rPr>
                <w:rFonts w:ascii="Arial" w:cs="Arial" w:eastAsia="Arial" w:hAnsi="Arial"/>
                <w:b w:val="false"/>
                <w:bCs w:val="false"/>
                <w:sz w:val="20"/>
                <w:szCs w:val="20"/>
              </w:rPr>
              <w:t xml:space="preserve">Never monetised: No lead gen fees, no premium required</w:t>
            </w:r>
          </w:p>
        </w:tc>
      </w:tr>
      <w:tr>
        <w:tc>
          <w:tcPr>
            <w:tcW w:type="pct" w:w="50%"/>
            <w:vAlign w:val="center"/>
          </w:tcPr>
          <w:p>
            <w:pPr>
              <w:spacing w:after="40" w:before="40"/>
              <w:jc w:val="left"/>
            </w:pPr>
            <w:r>
              <w:rPr>
                <w:rFonts w:ascii="Arial" w:cs="Arial" w:eastAsia="Arial" w:hAnsi="Arial"/>
                <w:b w:val="false"/>
                <w:bCs w:val="false"/>
                <w:sz w:val="20"/>
                <w:szCs w:val="20"/>
              </w:rPr>
              <w:t xml:space="preserve">Generates £90–238K/yr revenue</w:t>
            </w:r>
          </w:p>
        </w:tc>
        <w:tc>
          <w:tcPr>
            <w:tcW w:type="pct" w:w="50%"/>
            <w:vAlign w:val="center"/>
          </w:tcPr>
          <w:p>
            <w:pPr>
              <w:spacing w:after="40" w:before="40"/>
              <w:jc w:val="left"/>
            </w:pPr>
            <w:r>
              <w:rPr>
                <w:rFonts w:ascii="Arial" w:cs="Arial" w:eastAsia="Arial" w:hAnsi="Arial"/>
                <w:b w:val="false"/>
                <w:bCs w:val="false"/>
                <w:sz w:val="20"/>
                <w:szCs w:val="20"/>
              </w:rPr>
              <w:t xml:space="preserve">Funded by commercial tier</w:t>
            </w:r>
          </w:p>
        </w:tc>
      </w:tr>
    </w:tbl>
    <w:p>
      <w:pPr>
        <w:spacing w:after="60"/>
      </w:pPr>
    </w:p>
    <w:p>
      <w:pPr>
        <w:spacing w:after="120"/>
        <w:jc w:val="left"/>
      </w:pPr>
      <w:r>
        <w:rPr>
          <w:rFonts w:ascii="Arial" w:cs="Arial" w:eastAsia="Arial" w:hAnsi="Arial"/>
          <w:b w:val="false"/>
          <w:bCs w:val="false"/>
          <w:i w:val="false"/>
          <w:iCs w:val="false"/>
          <w:sz w:val="22"/>
          <w:szCs w:val="22"/>
        </w:rPr>
        <w:t xml:space="preserve">This model ensures MCB’s directory serves both community need and financial sustainability. The hybrid approach neutralises the SRA/LASPO regulatory risk entirely, ensures the directory serves the community’s actual day-to-day legal needs, and generates the revenue needed to sustain the service long-term. The commercial tier funds the community tier — a model proven by organisations like Citizens Advice and many Law Centres.</w:t>
      </w:r>
    </w:p>
    <w:p>
      <w:pPr>
        <w:spacing w:after="60"/>
      </w:pPr>
    </w:p>
    <w:p>
      <w:pPr>
        <w:pStyle w:val="Heading1"/>
        <w:pageBreakBefore/>
        <w:spacing w:after="120"/>
        <w:jc w:val="left"/>
      </w:pPr>
      <w:r>
        <w:rPr>
          <w:rFonts w:ascii="Arial" w:cs="Arial" w:eastAsia="Arial" w:hAnsi="Arial"/>
          <w:b w:val="false"/>
          <w:bCs w:val="false"/>
          <w:i w:val="false"/>
          <w:iCs w:val="false"/>
          <w:sz w:val="22"/>
          <w:szCs w:val="22"/>
        </w:rPr>
        <w:t xml:space="preserve">10. Recommendation</w:t>
      </w:r>
    </w:p>
    <w:p>
      <w:pPr>
        <w:spacing w:after="60"/>
      </w:pPr>
    </w:p>
    <w:p>
      <w:pPr>
        <w:spacing w:after="240"/>
        <w:jc w:val="left"/>
      </w:pPr>
      <w:r>
        <w:rPr>
          <w:rFonts w:ascii="Arial" w:cs="Arial" w:eastAsia="Arial" w:hAnsi="Arial"/>
          <w:b/>
          <w:bCs/>
          <w:i w:val="false"/>
          <w:iCs w:val="false"/>
          <w:color w:val="14532D"/>
          <w:sz w:val="28"/>
          <w:szCs w:val="28"/>
        </w:rPr>
        <w:t xml:space="preserve">Recommendation: </w:t>
      </w:r>
      <w:r>
        <w:rPr>
          <w:rFonts w:ascii="Arial" w:cs="Arial" w:eastAsia="Arial" w:hAnsi="Arial"/>
          <w:b/>
          <w:bCs/>
          <w:i w:val="false"/>
          <w:iCs w:val="false"/>
          <w:color w:val="14532D"/>
          <w:sz w:val="28"/>
          <w:szCs w:val="28"/>
        </w:rPr>
        <w:t xml:space="preserve">GO</w:t>
      </w:r>
    </w:p>
    <w:p>
      <w:pPr>
        <w:spacing w:after="160"/>
        <w:jc w:val="left"/>
      </w:pPr>
      <w:r>
        <w:rPr>
          <w:rFonts w:ascii="Arial" w:cs="Arial" w:eastAsia="Arial" w:hAnsi="Arial"/>
          <w:b w:val="false"/>
          <w:bCs w:val="false"/>
          <w:i w:val="false"/>
          <w:iCs w:val="false"/>
          <w:sz w:val="22"/>
          <w:szCs w:val="22"/>
        </w:rPr>
        <w:t xml:space="preserve">We recommend proceeding with the AskAdil Solicitor Directory, subject to the following conditions:</w:t>
      </w:r>
    </w:p>
    <w:p>
      <w:pPr>
        <w:spacing w:after="60"/>
      </w:pPr>
    </w:p>
    <w:p>
      <w:pPr>
        <w:spacing w:after="120"/>
        <w:jc w:val="left"/>
      </w:pPr>
      <w:r>
        <w:rPr>
          <w:rFonts w:ascii="Arial" w:cs="Arial" w:eastAsia="Arial" w:hAnsi="Arial"/>
          <w:b/>
          <w:bCs/>
          <w:i w:val="false"/>
          <w:iCs w:val="false"/>
          <w:sz w:val="22"/>
          <w:szCs w:val="22"/>
        </w:rPr>
        <w:t xml:space="preserve">Condition 1: </w:t>
      </w:r>
      <w:r>
        <w:rPr>
          <w:rFonts w:ascii="Arial" w:cs="Arial" w:eastAsia="Arial" w:hAnsi="Arial"/>
          <w:b w:val="false"/>
          <w:bCs w:val="false"/>
          <w:i w:val="false"/>
          <w:iCs w:val="false"/>
          <w:sz w:val="22"/>
          <w:szCs w:val="22"/>
        </w:rPr>
        <w:t xml:space="preserve">All outreach emails are human-reviewed and approved before sending. No automated mass-emailing without oversight.</w:t>
      </w:r>
    </w:p>
    <w:p>
      <w:pPr>
        <w:spacing w:after="120"/>
        <w:jc w:val="left"/>
      </w:pPr>
      <w:r>
        <w:rPr>
          <w:rFonts w:ascii="Arial" w:cs="Arial" w:eastAsia="Arial" w:hAnsi="Arial"/>
          <w:b/>
          <w:bCs/>
          <w:i w:val="false"/>
          <w:iCs w:val="false"/>
          <w:sz w:val="22"/>
          <w:szCs w:val="22"/>
        </w:rPr>
        <w:t xml:space="preserve">Condition 2: </w:t>
      </w:r>
      <w:r>
        <w:rPr>
          <w:rFonts w:ascii="Arial" w:cs="Arial" w:eastAsia="Arial" w:hAnsi="Arial"/>
          <w:b w:val="false"/>
          <w:bCs w:val="false"/>
          <w:i w:val="false"/>
          <w:iCs w:val="false"/>
          <w:sz w:val="22"/>
          <w:szCs w:val="22"/>
        </w:rPr>
        <w:t xml:space="preserve">SRA compliance is reviewed by an external solicitor before the monetisation phase begins (prior to Q3 2026).</w:t>
      </w:r>
    </w:p>
    <w:p>
      <w:pPr>
        <w:spacing w:after="240"/>
        <w:jc w:val="left"/>
      </w:pPr>
      <w:r>
        <w:rPr>
          <w:rFonts w:ascii="Arial" w:cs="Arial" w:eastAsia="Arial" w:hAnsi="Arial"/>
          <w:b/>
          <w:bCs/>
          <w:i w:val="false"/>
          <w:iCs w:val="false"/>
          <w:sz w:val="22"/>
          <w:szCs w:val="22"/>
        </w:rPr>
        <w:t xml:space="preserve">Condition 3: </w:t>
      </w:r>
      <w:r>
        <w:rPr>
          <w:rFonts w:ascii="Arial" w:cs="Arial" w:eastAsia="Arial" w:hAnsi="Arial"/>
          <w:b w:val="false"/>
          <w:bCs w:val="false"/>
          <w:i w:val="false"/>
          <w:iCs w:val="false"/>
          <w:sz w:val="22"/>
          <w:szCs w:val="22"/>
        </w:rPr>
        <w:t xml:space="preserve">Quarterly progress reports are provided to the MCB executive team, covering: directory growth, user engagement, solicitor feedback, and revenue progress.</w:t>
      </w:r>
    </w:p>
    <w:p>
      <w:pPr>
        <w:spacing w:after="60"/>
      </w:pPr>
    </w:p>
    <w:p>
      <w:pPr>
        <w:spacing w:after="120"/>
        <w:jc w:val="left"/>
      </w:pPr>
      <w:r>
        <w:rPr>
          <w:rFonts w:ascii="Arial" w:cs="Arial" w:eastAsia="Arial" w:hAnsi="Arial"/>
          <w:b/>
          <w:bCs/>
          <w:i w:val="false"/>
          <w:iCs w:val="false"/>
          <w:sz w:val="22"/>
          <w:szCs w:val="22"/>
        </w:rPr>
        <w:t xml:space="preserve">The rationale for this recommendation is clear:</w:t>
      </w:r>
    </w:p>
    <w:p>
      <w:pPr>
        <w:pStyle w:val="ListParagraph"/>
        <w:numPr>
          <w:ilvl w:val="0"/>
          <w:numId w:val="1"/>
        </w:numPr>
        <w:spacing w:after="60"/>
      </w:pPr>
      <w:r>
        <w:rPr>
          <w:rFonts w:ascii="Arial" w:cs="Arial" w:eastAsia="Arial" w:hAnsi="Arial"/>
          <w:sz w:val="22"/>
          <w:szCs w:val="22"/>
        </w:rPr>
        <w:t xml:space="preserve">The technology is built and tested — no further development investment is required.</w:t>
      </w:r>
    </w:p>
    <w:p>
      <w:pPr>
        <w:pStyle w:val="ListParagraph"/>
        <w:numPr>
          <w:ilvl w:val="0"/>
          <w:numId w:val="1"/>
        </w:numPr>
        <w:spacing w:after="60"/>
      </w:pPr>
      <w:r>
        <w:rPr>
          <w:rFonts w:ascii="Arial" w:cs="Arial" w:eastAsia="Arial" w:hAnsi="Arial"/>
          <w:sz w:val="22"/>
          <w:szCs w:val="22"/>
        </w:rPr>
        <w:t xml:space="preserve">The community need is demonstrable and urgent.</w:t>
      </w:r>
    </w:p>
    <w:p>
      <w:pPr>
        <w:pStyle w:val="ListParagraph"/>
        <w:numPr>
          <w:ilvl w:val="0"/>
          <w:numId w:val="1"/>
        </w:numPr>
        <w:spacing w:after="60"/>
      </w:pPr>
      <w:r>
        <w:rPr>
          <w:rFonts w:ascii="Arial" w:cs="Arial" w:eastAsia="Arial" w:hAnsi="Arial"/>
          <w:sz w:val="22"/>
          <w:szCs w:val="22"/>
        </w:rPr>
        <w:t xml:space="preserve">The financial risk is low (£7,000–9,000 Year 1 including SRA legal review, ~£3,500/yr ongoing).</w:t>
      </w:r>
    </w:p>
    <w:p>
      <w:pPr>
        <w:pStyle w:val="ListParagraph"/>
        <w:numPr>
          <w:ilvl w:val="0"/>
          <w:numId w:val="1"/>
        </w:numPr>
        <w:spacing w:after="60"/>
      </w:pPr>
      <w:r>
        <w:rPr>
          <w:rFonts w:ascii="Arial" w:cs="Arial" w:eastAsia="Arial" w:hAnsi="Arial"/>
          <w:sz w:val="22"/>
          <w:szCs w:val="22"/>
        </w:rPr>
        <w:t xml:space="preserve">The revenue potential is significant (£24K–238K/year depending on scenario; base case £90K/yr is self-sustaining).</w:t>
      </w:r>
    </w:p>
    <w:p>
      <w:pPr>
        <w:pStyle w:val="ListParagraph"/>
        <w:numPr>
          <w:ilvl w:val="0"/>
          <w:numId w:val="1"/>
        </w:numPr>
        <w:spacing w:after="60"/>
      </w:pPr>
      <w:r>
        <w:rPr>
          <w:rFonts w:ascii="Arial" w:cs="Arial" w:eastAsia="Arial" w:hAnsi="Arial"/>
          <w:sz w:val="22"/>
          <w:szCs w:val="22"/>
        </w:rPr>
        <w:t xml:space="preserve">MCB is uniquely positioned to succeed where others have failed, due to its trust and reach.</w:t>
      </w:r>
    </w:p>
    <w:p>
      <w:pPr>
        <w:pStyle w:val="ListParagraph"/>
        <w:numPr>
          <w:ilvl w:val="0"/>
          <w:numId w:val="1"/>
        </w:numPr>
        <w:spacing w:after="60"/>
      </w:pPr>
      <w:r>
        <w:rPr>
          <w:rFonts w:ascii="Arial" w:cs="Arial" w:eastAsia="Arial" w:hAnsi="Arial"/>
          <w:sz w:val="22"/>
          <w:szCs w:val="22"/>
        </w:rPr>
        <w:t xml:space="preserve">Delay risks ceding first-mover advantage to commercial or less community-aligned competitors.</w:t>
      </w:r>
    </w:p>
    <w:p>
      <w:pPr>
        <w:pStyle w:val="Heading1"/>
        <w:pageBreakBefore/>
        <w:spacing w:after="120"/>
        <w:jc w:val="left"/>
      </w:pPr>
      <w:r>
        <w:rPr>
          <w:rFonts w:ascii="Arial" w:cs="Arial" w:eastAsia="Arial" w:hAnsi="Arial"/>
          <w:b w:val="false"/>
          <w:bCs w:val="false"/>
          <w:i w:val="false"/>
          <w:iCs w:val="false"/>
          <w:sz w:val="22"/>
          <w:szCs w:val="22"/>
        </w:rPr>
        <w:t xml:space="preserve">11. Decision Required</w:t>
      </w:r>
    </w:p>
    <w:p>
      <w:pPr>
        <w:spacing w:after="240"/>
        <w:jc w:val="left"/>
      </w:pPr>
      <w:r>
        <w:rPr>
          <w:rFonts w:ascii="Arial" w:cs="Arial" w:eastAsia="Arial" w:hAnsi="Arial"/>
          <w:b w:val="false"/>
          <w:bCs w:val="false"/>
          <w:i w:val="false"/>
          <w:iCs w:val="false"/>
          <w:sz w:val="22"/>
          <w:szCs w:val="22"/>
        </w:rPr>
        <w:t xml:space="preserve">The MCB Executive Team is asked to approve the following two decisions:</w:t>
      </w:r>
    </w:p>
    <w:p>
      <w:pPr>
        <w:spacing w:after="60"/>
      </w:pPr>
    </w:p>
    <w:p>
      <w:pPr>
        <w:pStyle w:val="Heading2"/>
        <w:spacing w:after="120"/>
        <w:jc w:val="left"/>
      </w:pPr>
      <w:r>
        <w:rPr>
          <w:rFonts w:ascii="Arial" w:cs="Arial" w:eastAsia="Arial" w:hAnsi="Arial"/>
          <w:b w:val="false"/>
          <w:bCs w:val="false"/>
          <w:i w:val="false"/>
          <w:iCs w:val="false"/>
          <w:sz w:val="22"/>
          <w:szCs w:val="22"/>
        </w:rPr>
        <w:t xml:space="preserve">Decision 1: Approve Outreach</w:t>
      </w:r>
    </w:p>
    <w:p>
      <w:pPr>
        <w:spacing w:after="120"/>
        <w:jc w:val="left"/>
      </w:pPr>
      <w:r>
        <w:rPr>
          <w:rFonts w:ascii="Arial" w:cs="Arial" w:eastAsia="Arial" w:hAnsi="Arial"/>
          <w:b w:val="false"/>
          <w:bCs w:val="false"/>
          <w:i w:val="false"/>
          <w:iCs w:val="false"/>
          <w:sz w:val="22"/>
          <w:szCs w:val="22"/>
        </w:rPr>
        <w:t xml:space="preserve">Authorise the AskAdil team to begin contacting 50 solicitor firms on behalf of MCB, using human-reviewed, personalised outreach emails.</w:t>
      </w:r>
    </w:p>
    <w:p>
      <w:pPr>
        <w:spacing w:after="60"/>
      </w:pPr>
    </w:p>
    <w:p>
      <w:pPr>
        <w:spacing w:after="120"/>
        <w:ind w:left="720"/>
      </w:pPr>
      <w:r>
        <w:rPr>
          <w:rFonts w:ascii="Courier New" w:cs="Courier New" w:eastAsia="Courier New" w:hAnsi="Courier New"/>
          <w:b/>
          <w:bCs/>
          <w:sz w:val="24"/>
          <w:szCs w:val="24"/>
        </w:rPr>
        <w:t xml:space="preserve">[  ]  </w:t>
      </w:r>
      <w:r>
        <w:rPr>
          <w:rFonts w:ascii="Arial" w:cs="Arial" w:eastAsia="Arial" w:hAnsi="Arial"/>
          <w:sz w:val="22"/>
          <w:szCs w:val="22"/>
        </w:rPr>
        <w:t xml:space="preserve">APPROVED — Authorise outreach to 50 solicitor firms on behalf of MCB</w:t>
      </w:r>
    </w:p>
    <w:p>
      <w:pPr>
        <w:spacing w:after="60"/>
      </w:pPr>
    </w:p>
    <w:p>
      <w:pPr>
        <w:spacing w:after="120"/>
        <w:ind w:left="720"/>
      </w:pPr>
      <w:r>
        <w:rPr>
          <w:rFonts w:ascii="Courier New" w:cs="Courier New" w:eastAsia="Courier New" w:hAnsi="Courier New"/>
          <w:b/>
          <w:bCs/>
          <w:sz w:val="24"/>
          <w:szCs w:val="24"/>
        </w:rPr>
        <w:t xml:space="preserve">[  ]  </w:t>
      </w:r>
      <w:r>
        <w:rPr>
          <w:rFonts w:ascii="Arial" w:cs="Arial" w:eastAsia="Arial" w:hAnsi="Arial"/>
          <w:sz w:val="22"/>
          <w:szCs w:val="22"/>
        </w:rPr>
        <w:t xml:space="preserve">APPROVED WITH CONDITIONS — Proceed with the following modifications:</w:t>
      </w:r>
    </w:p>
    <w:p>
      <w:pPr>
        <w:spacing w:after="60"/>
        <w:ind w:left="1008"/>
      </w:pPr>
      <w:r>
        <w:rPr>
          <w:rFonts w:ascii="Arial" w:cs="Arial" w:eastAsia="Arial" w:hAnsi="Arial"/>
          <w:color w:val="999999"/>
          <w:sz w:val="22"/>
          <w:szCs w:val="22"/>
        </w:rPr>
        <w:t xml:space="preserve">Conditions: ___________________________________________________________________</w:t>
      </w:r>
    </w:p>
    <w:p>
      <w:pPr>
        <w:spacing w:after="120"/>
        <w:ind w:left="1008"/>
      </w:pPr>
      <w:r>
        <w:rPr>
          <w:rFonts w:ascii="Arial" w:cs="Arial" w:eastAsia="Arial" w:hAnsi="Arial"/>
          <w:color w:val="999999"/>
          <w:sz w:val="22"/>
          <w:szCs w:val="22"/>
        </w:rPr>
        <w:t xml:space="preserve">_____________________________________________________________________________</w:t>
      </w:r>
    </w:p>
    <w:p>
      <w:pPr>
        <w:spacing w:after="60"/>
      </w:pPr>
    </w:p>
    <w:p>
      <w:pPr>
        <w:spacing w:after="120"/>
        <w:ind w:left="720"/>
      </w:pPr>
      <w:r>
        <w:rPr>
          <w:rFonts w:ascii="Courier New" w:cs="Courier New" w:eastAsia="Courier New" w:hAnsi="Courier New"/>
          <w:b/>
          <w:bCs/>
          <w:sz w:val="24"/>
          <w:szCs w:val="24"/>
        </w:rPr>
        <w:t xml:space="preserve">[  ]  </w:t>
      </w:r>
      <w:r>
        <w:rPr>
          <w:rFonts w:ascii="Arial" w:cs="Arial" w:eastAsia="Arial" w:hAnsi="Arial"/>
          <w:sz w:val="22"/>
          <w:szCs w:val="22"/>
        </w:rPr>
        <w:t xml:space="preserve">DEFERRED — Revisit at the next executive meeting</w:t>
      </w:r>
    </w:p>
    <w:p>
      <w:pPr>
        <w:spacing w:after="60"/>
      </w:pPr>
    </w:p>
    <w:p>
      <w:pPr>
        <w:spacing w:after="120"/>
        <w:ind w:left="720"/>
      </w:pPr>
      <w:r>
        <w:rPr>
          <w:rFonts w:ascii="Courier New" w:cs="Courier New" w:eastAsia="Courier New" w:hAnsi="Courier New"/>
          <w:b/>
          <w:bCs/>
          <w:sz w:val="24"/>
          <w:szCs w:val="24"/>
        </w:rPr>
        <w:t xml:space="preserve">[  ]  </w:t>
      </w:r>
      <w:r>
        <w:rPr>
          <w:rFonts w:ascii="Arial" w:cs="Arial" w:eastAsia="Arial" w:hAnsi="Arial"/>
          <w:sz w:val="22"/>
          <w:szCs w:val="22"/>
        </w:rPr>
        <w:t xml:space="preserve">DECLINED — Do not proceed</w:t>
      </w:r>
    </w:p>
    <w:p>
      <w:pPr>
        <w:spacing w:after="60"/>
      </w:pPr>
    </w:p>
    <w:p>
      <w:pPr>
        <w:spacing w:after="60"/>
      </w:pPr>
    </w:p>
    <w:p>
      <w:pPr>
        <w:pStyle w:val="Heading2"/>
        <w:spacing w:after="120"/>
        <w:jc w:val="left"/>
      </w:pPr>
      <w:r>
        <w:rPr>
          <w:rFonts w:ascii="Arial" w:cs="Arial" w:eastAsia="Arial" w:hAnsi="Arial"/>
          <w:b w:val="false"/>
          <w:bCs w:val="false"/>
          <w:i w:val="false"/>
          <w:iCs w:val="false"/>
          <w:sz w:val="22"/>
          <w:szCs w:val="22"/>
        </w:rPr>
        <w:t xml:space="preserve">Decision 2: Promote via MCB Channels (Phase 2)</w:t>
      </w:r>
    </w:p>
    <w:p>
      <w:pPr>
        <w:spacing w:after="120"/>
        <w:jc w:val="left"/>
      </w:pPr>
      <w:r>
        <w:rPr>
          <w:rFonts w:ascii="Arial" w:cs="Arial" w:eastAsia="Arial" w:hAnsi="Arial"/>
          <w:b w:val="false"/>
          <w:bCs w:val="false"/>
          <w:i w:val="false"/>
          <w:iCs w:val="false"/>
          <w:sz w:val="22"/>
          <w:szCs w:val="22"/>
        </w:rPr>
        <w:t xml:space="preserve">Once 25+ firms are listed in the directory, share the directory with mosques and MCB newsletter subscribers to drive community adoption.</w:t>
      </w:r>
    </w:p>
    <w:p>
      <w:pPr>
        <w:spacing w:after="60"/>
      </w:pPr>
    </w:p>
    <w:p>
      <w:pPr>
        <w:spacing w:after="120"/>
        <w:ind w:left="720"/>
      </w:pPr>
      <w:r>
        <w:rPr>
          <w:rFonts w:ascii="Courier New" w:cs="Courier New" w:eastAsia="Courier New" w:hAnsi="Courier New"/>
          <w:b/>
          <w:bCs/>
          <w:sz w:val="24"/>
          <w:szCs w:val="24"/>
        </w:rPr>
        <w:t xml:space="preserve">[  ]  </w:t>
      </w:r>
      <w:r>
        <w:rPr>
          <w:rFonts w:ascii="Arial" w:cs="Arial" w:eastAsia="Arial" w:hAnsi="Arial"/>
          <w:sz w:val="22"/>
          <w:szCs w:val="22"/>
        </w:rPr>
        <w:t xml:space="preserve">APPROVED — Promote via MCB channels once 25+ firms are listed</w:t>
      </w:r>
    </w:p>
    <w:p>
      <w:pPr>
        <w:spacing w:after="60"/>
      </w:pPr>
    </w:p>
    <w:p>
      <w:pPr>
        <w:spacing w:after="120"/>
        <w:ind w:left="720"/>
      </w:pPr>
      <w:r>
        <w:rPr>
          <w:rFonts w:ascii="Courier New" w:cs="Courier New" w:eastAsia="Courier New" w:hAnsi="Courier New"/>
          <w:b/>
          <w:bCs/>
          <w:sz w:val="24"/>
          <w:szCs w:val="24"/>
        </w:rPr>
        <w:t xml:space="preserve">[  ]  </w:t>
      </w:r>
      <w:r>
        <w:rPr>
          <w:rFonts w:ascii="Arial" w:cs="Arial" w:eastAsia="Arial" w:hAnsi="Arial"/>
          <w:sz w:val="22"/>
          <w:szCs w:val="22"/>
        </w:rPr>
        <w:t xml:space="preserve">APPROVED WITH CONDITIONS — Proceed with the following modifications:</w:t>
      </w:r>
    </w:p>
    <w:p>
      <w:pPr>
        <w:spacing w:after="60"/>
        <w:ind w:left="1008"/>
      </w:pPr>
      <w:r>
        <w:rPr>
          <w:rFonts w:ascii="Arial" w:cs="Arial" w:eastAsia="Arial" w:hAnsi="Arial"/>
          <w:color w:val="999999"/>
          <w:sz w:val="22"/>
          <w:szCs w:val="22"/>
        </w:rPr>
        <w:t xml:space="preserve">Conditions: ___________________________________________________________________</w:t>
      </w:r>
    </w:p>
    <w:p>
      <w:pPr>
        <w:spacing w:after="120"/>
        <w:ind w:left="1008"/>
      </w:pPr>
      <w:r>
        <w:rPr>
          <w:rFonts w:ascii="Arial" w:cs="Arial" w:eastAsia="Arial" w:hAnsi="Arial"/>
          <w:color w:val="999999"/>
          <w:sz w:val="22"/>
          <w:szCs w:val="22"/>
        </w:rPr>
        <w:t xml:space="preserve">_____________________________________________________________________________</w:t>
      </w:r>
    </w:p>
    <w:p>
      <w:pPr>
        <w:spacing w:after="60"/>
      </w:pPr>
    </w:p>
    <w:p>
      <w:pPr>
        <w:spacing w:after="120"/>
        <w:ind w:left="720"/>
      </w:pPr>
      <w:r>
        <w:rPr>
          <w:rFonts w:ascii="Courier New" w:cs="Courier New" w:eastAsia="Courier New" w:hAnsi="Courier New"/>
          <w:b/>
          <w:bCs/>
          <w:sz w:val="24"/>
          <w:szCs w:val="24"/>
        </w:rPr>
        <w:t xml:space="preserve">[  ]  </w:t>
      </w:r>
      <w:r>
        <w:rPr>
          <w:rFonts w:ascii="Arial" w:cs="Arial" w:eastAsia="Arial" w:hAnsi="Arial"/>
          <w:sz w:val="22"/>
          <w:szCs w:val="22"/>
        </w:rPr>
        <w:t xml:space="preserve">DEFERRED — Revisit at the next executive meeting</w:t>
      </w:r>
    </w:p>
    <w:p>
      <w:pPr>
        <w:spacing w:after="60"/>
      </w:pPr>
    </w:p>
    <w:p>
      <w:pPr>
        <w:spacing w:after="120"/>
        <w:ind w:left="720"/>
      </w:pPr>
      <w:r>
        <w:rPr>
          <w:rFonts w:ascii="Courier New" w:cs="Courier New" w:eastAsia="Courier New" w:hAnsi="Courier New"/>
          <w:b/>
          <w:bCs/>
          <w:sz w:val="24"/>
          <w:szCs w:val="24"/>
        </w:rPr>
        <w:t xml:space="preserve">[  ]  </w:t>
      </w:r>
      <w:r>
        <w:rPr>
          <w:rFonts w:ascii="Arial" w:cs="Arial" w:eastAsia="Arial" w:hAnsi="Arial"/>
          <w:sz w:val="22"/>
          <w:szCs w:val="22"/>
        </w:rPr>
        <w:t xml:space="preserve">DECLINED — Do not proceed</w:t>
      </w:r>
    </w:p>
    <w:p>
      <w:pPr>
        <w:spacing w:after="60"/>
      </w:pPr>
    </w:p>
    <w:p>
      <w:pPr>
        <w:spacing w:after="60"/>
      </w:pPr>
    </w:p>
    <w:p>
      <w:pPr>
        <w:spacing w:after="240"/>
        <w:jc w:val="center"/>
      </w:pPr>
      <w:r>
        <w:rPr>
          <w:color w:val="CCCCCC"/>
          <w:sz w:val="16"/>
          <w:szCs w:val="16"/>
        </w:rPr>
        <w:t xml:space="preserve">━━━━━━━━━━━━━━━━━━━━━━━━━━━━━━━━━━━━━━━━━━━━━━━━━━</w:t>
      </w:r>
    </w:p>
    <w:p>
      <w:pPr>
        <w:spacing w:after="120" w:before="240"/>
      </w:pPr>
      <w:r>
        <w:rPr>
          <w:rFonts w:ascii="Arial" w:cs="Arial" w:eastAsia="Arial" w:hAnsi="Arial"/>
          <w:sz w:val="22"/>
          <w:szCs w:val="22"/>
        </w:rPr>
        <w:t xml:space="preserve">Approved by: </w:t>
      </w:r>
      <w:r>
        <w:rPr>
          <w:rFonts w:ascii="Arial" w:cs="Arial" w:eastAsia="Arial" w:hAnsi="Arial"/>
          <w:sz w:val="22"/>
          <w:szCs w:val="22"/>
        </w:rPr>
        <w:t xml:space="preserve">________________________________________</w:t>
      </w:r>
      <w:r>
        <w:rPr>
          <w:rFonts w:ascii="Arial" w:cs="Arial" w:eastAsia="Arial" w:hAnsi="Arial"/>
          <w:sz w:val="22"/>
          <w:szCs w:val="22"/>
        </w:rPr>
        <w:t xml:space="preserve">    Date: </w:t>
      </w:r>
      <w:r>
        <w:rPr>
          <w:rFonts w:ascii="Arial" w:cs="Arial" w:eastAsia="Arial" w:hAnsi="Arial"/>
          <w:sz w:val="22"/>
          <w:szCs w:val="22"/>
        </w:rPr>
        <w:t xml:space="preserve">________________</w:t>
      </w:r>
    </w:p>
    <w:p>
      <w:pPr>
        <w:spacing w:after="120" w:before="240"/>
      </w:pPr>
      <w:r>
        <w:rPr>
          <w:rFonts w:ascii="Arial" w:cs="Arial" w:eastAsia="Arial" w:hAnsi="Arial"/>
          <w:sz w:val="22"/>
          <w:szCs w:val="22"/>
        </w:rPr>
        <w:t xml:space="preserve">Name &amp; Title: </w:t>
      </w:r>
      <w:r>
        <w:rPr>
          <w:rFonts w:ascii="Arial" w:cs="Arial" w:eastAsia="Arial" w:hAnsi="Arial"/>
          <w:sz w:val="22"/>
          <w:szCs w:val="22"/>
        </w:rPr>
        <w:t xml:space="preserve">________________________________________</w:t>
      </w:r>
      <w:r>
        <w:rPr>
          <w:rFonts w:ascii="Arial" w:cs="Arial" w:eastAsia="Arial" w:hAnsi="Arial"/>
          <w:sz w:val="22"/>
          <w:szCs w:val="22"/>
        </w:rPr>
        <w:t xml:space="preserve">    Date: </w:t>
      </w:r>
      <w:r>
        <w:rPr>
          <w:rFonts w:ascii="Arial" w:cs="Arial" w:eastAsia="Arial" w:hAnsi="Arial"/>
          <w:sz w:val="22"/>
          <w:szCs w:val="22"/>
        </w:rPr>
        <w:t xml:space="preserve">________________</w:t>
      </w:r>
    </w:p>
    <w:p>
      <w:pPr>
        <w:spacing w:after="60"/>
      </w:pPr>
    </w:p>
    <w:p>
      <w:pPr>
        <w:spacing w:after="60"/>
      </w:pPr>
    </w:p>
    <w:p>
      <w:pPr>
        <w:pStyle w:val="Heading1"/>
        <w:pageBreakBefore/>
        <w:spacing w:after="120"/>
        <w:jc w:val="left"/>
      </w:pPr>
      <w:r>
        <w:rPr>
          <w:rFonts w:ascii="Arial" w:cs="Arial" w:eastAsia="Arial" w:hAnsi="Arial"/>
          <w:b w:val="false"/>
          <w:bCs w:val="false"/>
          <w:i w:val="false"/>
          <w:iCs w:val="false"/>
          <w:sz w:val="22"/>
          <w:szCs w:val="22"/>
        </w:rPr>
        <w:t xml:space="preserve">Appendices</w:t>
      </w:r>
    </w:p>
    <w:p>
      <w:pPr>
        <w:spacing w:after="200"/>
        <w:jc w:val="left"/>
      </w:pPr>
      <w:r>
        <w:rPr>
          <w:rFonts w:ascii="Arial" w:cs="Arial" w:eastAsia="Arial" w:hAnsi="Arial"/>
          <w:b w:val="false"/>
          <w:bCs w:val="false"/>
          <w:i w:val="false"/>
          <w:iCs w:val="false"/>
          <w:sz w:val="22"/>
          <w:szCs w:val="22"/>
        </w:rPr>
        <w:t xml:space="preserve">The following appendices are available as separate documents and can be provided upon request:</w:t>
      </w:r>
    </w:p>
    <w:p>
      <w:pPr>
        <w:spacing w:after="60"/>
      </w:pPr>
    </w:p>
    <w:p>
      <w:pPr>
        <w:spacing w:after="120"/>
        <w:jc w:val="left"/>
      </w:pPr>
      <w:r>
        <w:rPr>
          <w:rFonts w:ascii="Arial" w:cs="Arial" w:eastAsia="Arial" w:hAnsi="Arial"/>
          <w:b/>
          <w:bCs/>
          <w:i w:val="false"/>
          <w:iCs w:val="false"/>
          <w:sz w:val="22"/>
          <w:szCs w:val="22"/>
        </w:rPr>
        <w:t xml:space="preserve">Appendix A: </w:t>
      </w:r>
      <w:r>
        <w:rPr>
          <w:rFonts w:ascii="Arial" w:cs="Arial" w:eastAsia="Arial" w:hAnsi="Arial"/>
          <w:b w:val="false"/>
          <w:bCs w:val="false"/>
          <w:i w:val="false"/>
          <w:iCs w:val="false"/>
          <w:sz w:val="22"/>
          <w:szCs w:val="22"/>
        </w:rPr>
        <w:t xml:space="preserve">Full Solicitor Directory — solicitor-directory-comprehensive.json (machine-readable database of all researched firms, with full contact details, specialisms, and metadata)</w:t>
      </w:r>
    </w:p>
    <w:p>
      <w:pPr>
        <w:spacing w:after="120"/>
        <w:jc w:val="left"/>
      </w:pPr>
      <w:r>
        <w:rPr>
          <w:rFonts w:ascii="Arial" w:cs="Arial" w:eastAsia="Arial" w:hAnsi="Arial"/>
          <w:b/>
          <w:bCs/>
          <w:i w:val="false"/>
          <w:iCs w:val="false"/>
          <w:sz w:val="22"/>
          <w:szCs w:val="22"/>
        </w:rPr>
        <w:t xml:space="preserve">Appendix B: </w:t>
      </w:r>
      <w:r>
        <w:rPr>
          <w:rFonts w:ascii="Arial" w:cs="Arial" w:eastAsia="Arial" w:hAnsi="Arial"/>
          <w:b w:val="false"/>
          <w:bCs w:val="false"/>
          <w:i w:val="false"/>
          <w:iCs w:val="false"/>
          <w:sz w:val="22"/>
          <w:szCs w:val="22"/>
        </w:rPr>
        <w:t xml:space="preserve">Monetisation Strategy Document — Detailed revenue model, pricing tiers, competitive analysis, and financial projections</w:t>
      </w:r>
    </w:p>
    <w:p>
      <w:pPr>
        <w:spacing w:after="120"/>
        <w:jc w:val="left"/>
      </w:pPr>
      <w:r>
        <w:rPr>
          <w:rFonts w:ascii="Arial" w:cs="Arial" w:eastAsia="Arial" w:hAnsi="Arial"/>
          <w:b/>
          <w:bCs/>
          <w:i w:val="false"/>
          <w:iCs w:val="false"/>
          <w:sz w:val="22"/>
          <w:szCs w:val="22"/>
        </w:rPr>
        <w:t xml:space="preserve">Appendix C: </w:t>
      </w:r>
      <w:r>
        <w:rPr>
          <w:rFonts w:ascii="Arial" w:cs="Arial" w:eastAsia="Arial" w:hAnsi="Arial"/>
          <w:b w:val="false"/>
          <w:bCs w:val="false"/>
          <w:i w:val="false"/>
          <w:iCs w:val="false"/>
          <w:sz w:val="22"/>
          <w:szCs w:val="22"/>
        </w:rPr>
        <w:t xml:space="preserve">Outreach Email Templates — Sample personalised emails for each practice area, follow-up sequences, and response handling procedures</w:t>
      </w:r>
    </w:p>
    <w:p>
      <w:pPr>
        <w:spacing w:after="120"/>
        <w:jc w:val="left"/>
      </w:pPr>
      <w:r>
        <w:rPr>
          <w:rFonts w:ascii="Arial" w:cs="Arial" w:eastAsia="Arial" w:hAnsi="Arial"/>
          <w:b/>
          <w:bCs/>
          <w:i w:val="false"/>
          <w:iCs w:val="false"/>
          <w:sz w:val="22"/>
          <w:szCs w:val="22"/>
        </w:rPr>
        <w:t xml:space="preserve">Appendix D: </w:t>
      </w:r>
      <w:r>
        <w:rPr>
          <w:rFonts w:ascii="Arial" w:cs="Arial" w:eastAsia="Arial" w:hAnsi="Arial"/>
          <w:b w:val="false"/>
          <w:bCs w:val="false"/>
          <w:i w:val="false"/>
          <w:iCs w:val="false"/>
          <w:sz w:val="22"/>
          <w:szCs w:val="22"/>
        </w:rPr>
        <w:t xml:space="preserve">Technical Architecture — Outreach engine design specification, API documentation, infrastructure diagram, and security architecture</w:t>
      </w:r>
    </w:p>
    <w:p>
      <w:pPr>
        <w:spacing w:after="60"/>
      </w:pPr>
    </w:p>
    <w:p>
      <w:pPr>
        <w:spacing w:after="60"/>
      </w:pPr>
    </w:p>
    <w:p>
      <w:pPr>
        <w:spacing w:after="120"/>
        <w:jc w:val="center"/>
      </w:pPr>
      <w:r>
        <w:rPr>
          <w:color w:val="CCCCCC"/>
          <w:sz w:val="16"/>
          <w:szCs w:val="16"/>
        </w:rPr>
        <w:t xml:space="preserve">━━━━━━━━━━━━━━━━━━━━━━━━━━━━━━━━━━━━━━━━━━━━━━━━━━</w:t>
      </w:r>
    </w:p>
    <w:p>
      <w:pPr>
        <w:spacing w:after="60"/>
        <w:jc w:val="center"/>
      </w:pPr>
      <w:r>
        <w:rPr>
          <w:rFonts w:ascii="Arial" w:cs="Arial" w:eastAsia="Arial" w:hAnsi="Arial"/>
          <w:i/>
          <w:iCs/>
          <w:color w:val="999999"/>
          <w:sz w:val="20"/>
          <w:szCs w:val="20"/>
        </w:rPr>
        <w:t xml:space="preserve">End of Document</w:t>
      </w:r>
    </w:p>
    <w:p>
      <w:pPr>
        <w:jc w:val="center"/>
      </w:pPr>
      <w:r>
        <w:rPr>
          <w:rFonts w:ascii="Arial" w:cs="Arial" w:eastAsia="Arial" w:hAnsi="Arial"/>
          <w:color w:val="999999"/>
          <w:sz w:val="16"/>
          <w:szCs w:val="16"/>
        </w:rPr>
        <w:t xml:space="preserve">CONFIDENTIAL — MCB Internal  |  AskAdil Solicitor Directory Business Case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AskAdil Solicitor Directory — Business Case  |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CONFIDENTIAL — MCB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20" w:before="360"/>
    </w:pPr>
    <w:rPr>
      <w:rFonts w:ascii="Arial" w:cs="Arial" w:eastAsia="Arial" w:hAnsi="Arial"/>
      <w:b/>
      <w:bCs/>
      <w:color w:val="14532D"/>
      <w:sz w:val="32"/>
      <w:szCs w:val="32"/>
    </w:rPr>
  </w:style>
  <w:style w:type="paragraph" w:styleId="Heading2">
    <w:name w:val="Heading 2"/>
    <w:basedOn w:val="Normal"/>
    <w:next w:val="Normal"/>
    <w:qFormat/>
    <w:pPr>
      <w:spacing w:after="120" w:before="240"/>
    </w:pPr>
    <w:rPr>
      <w:rFonts w:ascii="Arial" w:cs="Arial" w:eastAsia="Arial" w:hAnsi="Arial"/>
      <w:b/>
      <w:bCs/>
      <w:color w:val="14532D"/>
      <w:sz w:val="26"/>
      <w:szCs w:val="26"/>
    </w:rPr>
  </w:style>
  <w:style w:type="paragraph" w:styleId="Heading3">
    <w:name w:val="Heading 3"/>
    <w:basedOn w:val="Normal"/>
    <w:next w:val="Normal"/>
    <w:qFormat/>
    <w:pPr>
      <w:spacing w:after="80" w:before="200"/>
    </w:pPr>
    <w:rPr>
      <w:rFonts w:ascii="Arial" w:cs="Arial" w:eastAsia="Arial" w:hAnsi="Arial"/>
      <w:b/>
      <w:bCs/>
      <w:color w:val="3333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2026-03-30T08:40:25.007Z</dcterms:created>
  <dcterms:modified xsi:type="dcterms:W3CDTF">2026-03-30T08:40:25.008Z</dcterms:modified>
</cp:coreProperties>
</file>

<file path=docProps/custom.xml><?xml version="1.0" encoding="utf-8"?>
<Properties xmlns="http://schemas.openxmlformats.org/officeDocument/2006/custom-properties" xmlns:vt="http://schemas.openxmlformats.org/officeDocument/2006/docPropsVTypes"/>
</file>