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Aptos Display" w:hAnsi="Aptos Display" w:eastAsia="Noto Serif CJK SC"/>
          <w:b/>
          <w:color w:val="1A3752"/>
          <w:sz w:val="50"/>
        </w:rPr>
        <w:t>网文伪数学公式与功能总表</w:t>
      </w:r>
    </w:p>
    <w:p>
      <w:pPr>
        <w:jc w:val="center"/>
      </w:pPr>
      <w:r>
        <w:rPr>
          <w:rFonts w:ascii="Aptos" w:hAnsi="Aptos" w:eastAsia="Noto Sans CJK SC"/>
          <w:color w:val="4E6274"/>
          <w:sz w:val="25"/>
        </w:rPr>
        <w:t>统一尺度、AI参与伪概率、风险向量与确定动作 · v1.0 修订版</w:t>
      </w:r>
    </w:p>
    <w:p>
      <w:pPr>
        <w:spacing w:before="440"/>
        <w:jc w:val="center"/>
      </w:pPr>
      <w:r>
        <w:rPr>
          <w:rFonts w:ascii="Aptos" w:hAnsi="Aptos" w:eastAsia="Noto Sans CJK SC"/>
          <w:color w:val="373737"/>
          <w:sz w:val="20"/>
        </w:rPr>
        <w:t>适用范围：网文小说文本分析、版本比较、错误预警与定向修复</w:t>
      </w:r>
    </w:p>
    <w:p>
      <w:pPr>
        <w:spacing w:before="1700"/>
        <w:jc w:val="center"/>
      </w:pPr>
      <w:r>
        <w:rPr>
          <w:rFonts w:ascii="Aptos" w:hAnsi="Aptos" w:eastAsia="Noto Sans CJK SC"/>
          <w:color w:val="646464"/>
          <w:sz w:val="19"/>
        </w:rPr>
        <w:t>修订日期：2026-06-22</w:t>
      </w:r>
    </w:p>
    <w:p>
      <w:pPr>
        <w:jc w:val="center"/>
      </w:pPr>
      <w:r>
        <w:rPr>
          <w:rFonts w:ascii="Aptos" w:hAnsi="Aptos" w:eastAsia="Noto Sans CJK SC"/>
          <w:color w:val="82551E"/>
          <w:sz w:val="18"/>
        </w:rPr>
        <w:t>状态：公式一致性修订完成；经验阈值仍待同类型语料校准</w:t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rHeight w:hRule="atLeast"/>
          <w:tblHeader w:val="true"/>
          <w:cantSplit/>
        </w:trPr>
        <w:tc>
          <w:tcPr>
            <w:tcW w:type="dxa" w:w="1814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7370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8"/>
              </w:rPr>
              <w:t>修订目标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8"/>
              </w:rPr>
              <w:t>修复原版量纲混用、符号冲突、缺失聚合式、除零处理和不可计算风险向量；新增AI参与伪概率模型。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8"/>
              </w:rPr>
              <w:t>核心输出</w:t>
            </w:r>
          </w:p>
        </w:tc>
        <w:tc>
          <w:tcPr>
            <w:tcW w:type="dxa" w:w="7370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8"/>
              </w:rPr>
              <w:t>硬闸门、直接事实、0—4代理风险、文学表现剖面、AI参与伪概率区间、九维风险向量、确定修复动作。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8"/>
              </w:rPr>
              <w:t>概率边界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8"/>
              </w:rPr>
              <w:t>AI参与伪概率只表示文本风格与结构迹象，不是真实作者身份概率，不得用于处罚、版权归属或法律定案。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8"/>
              </w:rPr>
              <w:t>校准状态</w:t>
            </w:r>
          </w:p>
        </w:tc>
        <w:tc>
          <w:tcPr>
            <w:tcW w:type="dxa" w:w="7370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8"/>
              </w:rPr>
              <w:t>绝大多数公式为C0—C1；可做章内和版本比较，跨作者比较需C2，外部判断需C3。</w:t>
            </w:r>
          </w:p>
        </w:tc>
      </w:tr>
      <w:tr>
        <w:trPr>
          <w:trHeight w:hRule="atLeast"/>
          <w:cantSplit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8"/>
              </w:rPr>
              <w:t>版本规则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8"/>
              </w:rPr>
              <w:t>新增、删除、改权重或改阈值时，必须同步更新变量字典、边界测试、速查表与校准状态。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FF2CC"/>
            <w:tcBorders>
              <w:left w:val="single" w:sz="18" w:color="C9A227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keepLines/>
              <w:widowControl/>
            </w:pPr>
            <w:r>
              <w:rPr>
                <w:rFonts w:ascii="Aptos" w:hAnsi="Aptos" w:eastAsia="Noto Sans CJK SC"/>
                <w:b/>
                <w:color w:val="503C14"/>
                <w:sz w:val="18"/>
              </w:rPr>
              <w:t>核心立场：</w:t>
            </w:r>
            <w:r>
              <w:rPr>
                <w:rFonts w:ascii="Aptos" w:hAnsi="Aptos" w:eastAsia="Noto Sans CJK SC"/>
                <w:color w:val="373737"/>
                <w:sz w:val="18"/>
              </w:rPr>
              <w:t>本体系把不确定判断压缩成确定行动。伪概率和风险值是决策工具，不是自然事实。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p>
      <w:pPr>
        <w:pStyle w:val="ListBullet"/>
        <w:spacing w:after="40"/>
      </w:pPr>
      <w:r>
        <w:rPr>
          <w:rFonts w:ascii="Aptos" w:hAnsi="Aptos" w:eastAsia="Noto Sans CJK SC"/>
          <w:sz w:val="19"/>
        </w:rPr>
        <w:t>1. 公式等级、统一尺度与异常输入</w:t>
      </w:r>
    </w:p>
    <w:p>
      <w:pPr>
        <w:pStyle w:val="ListBullet"/>
        <w:spacing w:after="40"/>
      </w:pPr>
      <w:r>
        <w:rPr>
          <w:rFonts w:ascii="Aptos" w:hAnsi="Aptos" w:eastAsia="Noto Sans CJK SC"/>
          <w:sz w:val="19"/>
        </w:rPr>
        <w:t>2. 全局变量命名与评分锚点</w:t>
      </w:r>
    </w:p>
    <w:p>
      <w:pPr>
        <w:pStyle w:val="ListBullet"/>
        <w:spacing w:after="40"/>
      </w:pPr>
      <w:r>
        <w:rPr>
          <w:rFonts w:ascii="Aptos" w:hAnsi="Aptos" w:eastAsia="Noto Sans CJK SC"/>
          <w:sz w:val="19"/>
        </w:rPr>
        <w:t>3. AI参与伪概率模型</w:t>
      </w:r>
    </w:p>
    <w:p>
      <w:pPr>
        <w:pStyle w:val="ListBullet"/>
        <w:spacing w:after="40"/>
      </w:pPr>
      <w:r>
        <w:rPr>
          <w:rFonts w:ascii="Aptos" w:hAnsi="Aptos" w:eastAsia="Noto Sans CJK SC"/>
          <w:sz w:val="19"/>
        </w:rPr>
        <w:t>4. 章级硬闸门与综合判断</w:t>
      </w:r>
    </w:p>
    <w:p>
      <w:pPr>
        <w:pStyle w:val="ListBullet"/>
        <w:spacing w:after="40"/>
      </w:pPr>
      <w:r>
        <w:rPr>
          <w:rFonts w:ascii="Aptos" w:hAnsi="Aptos" w:eastAsia="Noto Sans CJK SC"/>
          <w:sz w:val="19"/>
        </w:rPr>
        <w:t>5. 叙事结构计算</w:t>
      </w:r>
    </w:p>
    <w:p>
      <w:pPr>
        <w:pStyle w:val="ListBullet"/>
        <w:spacing w:after="40"/>
      </w:pPr>
      <w:r>
        <w:rPr>
          <w:rFonts w:ascii="Aptos" w:hAnsi="Aptos" w:eastAsia="Noto Sans CJK SC"/>
          <w:sz w:val="19"/>
        </w:rPr>
        <w:t>6. 文风、AI味与文学表现</w:t>
      </w:r>
    </w:p>
    <w:p>
      <w:pPr>
        <w:pStyle w:val="ListBullet"/>
        <w:spacing w:after="40"/>
      </w:pPr>
      <w:r>
        <w:rPr>
          <w:rFonts w:ascii="Aptos" w:hAnsi="Aptos" w:eastAsia="Noto Sans CJK SC"/>
          <w:sz w:val="19"/>
        </w:rPr>
        <w:t>7. 创意与设定计算</w:t>
      </w:r>
    </w:p>
    <w:p>
      <w:pPr>
        <w:pStyle w:val="ListBullet"/>
        <w:spacing w:after="40"/>
      </w:pPr>
      <w:r>
        <w:rPr>
          <w:rFonts w:ascii="Aptos" w:hAnsi="Aptos" w:eastAsia="Noto Sans CJK SC"/>
          <w:sz w:val="19"/>
        </w:rPr>
        <w:t>8. 角色与心理计算</w:t>
      </w:r>
    </w:p>
    <w:p>
      <w:pPr>
        <w:pStyle w:val="ListBullet"/>
        <w:spacing w:after="40"/>
      </w:pPr>
      <w:r>
        <w:rPr>
          <w:rFonts w:ascii="Aptos" w:hAnsi="Aptos" w:eastAsia="Noto Sans CJK SC"/>
          <w:sz w:val="19"/>
        </w:rPr>
        <w:t>9. 技术连续性计算</w:t>
      </w:r>
    </w:p>
    <w:p>
      <w:pPr>
        <w:pStyle w:val="ListBullet"/>
        <w:spacing w:after="40"/>
      </w:pPr>
      <w:r>
        <w:rPr>
          <w:rFonts w:ascii="Aptos" w:hAnsi="Aptos" w:eastAsia="Noto Sans CJK SC"/>
          <w:sz w:val="19"/>
        </w:rPr>
        <w:t>10. 阅读与市场侧代理</w:t>
      </w:r>
    </w:p>
    <w:p>
      <w:pPr>
        <w:pStyle w:val="ListBullet"/>
        <w:spacing w:after="40"/>
      </w:pPr>
      <w:r>
        <w:rPr>
          <w:rFonts w:ascii="Aptos" w:hAnsi="Aptos" w:eastAsia="Noto Sans CJK SC"/>
          <w:sz w:val="19"/>
        </w:rPr>
        <w:t>11. 三个根层风险</w:t>
      </w:r>
    </w:p>
    <w:p>
      <w:pPr>
        <w:pStyle w:val="ListBullet"/>
        <w:spacing w:after="40"/>
      </w:pPr>
      <w:r>
        <w:rPr>
          <w:rFonts w:ascii="Aptos" w:hAnsi="Aptos" w:eastAsia="Noto Sans CJK SC"/>
          <w:sz w:val="19"/>
        </w:rPr>
        <w:t>12. 九维风险向量与决策输出</w:t>
      </w:r>
    </w:p>
    <w:p>
      <w:pPr>
        <w:pStyle w:val="ListBullet"/>
        <w:spacing w:after="40"/>
      </w:pPr>
      <w:r>
        <w:rPr>
          <w:rFonts w:ascii="Aptos" w:hAnsi="Aptos" w:eastAsia="Noto Sans CJK SC"/>
          <w:sz w:val="19"/>
        </w:rPr>
        <w:t>13. 禁用边界</w:t>
      </w:r>
    </w:p>
    <w:p>
      <w:pPr>
        <w:pStyle w:val="ListBullet"/>
        <w:spacing w:after="40"/>
      </w:pPr>
      <w:r>
        <w:rPr>
          <w:rFonts w:ascii="Aptos" w:hAnsi="Aptos" w:eastAsia="Noto Sans CJK SC"/>
          <w:sz w:val="19"/>
        </w:rPr>
        <w:t>14. 执行、校准与边界测试</w:t>
      </w:r>
    </w:p>
    <w:p>
      <w:pPr>
        <w:pStyle w:val="ListBullet"/>
        <w:spacing w:after="40"/>
      </w:pPr>
      <w:r>
        <w:rPr>
          <w:rFonts w:ascii="Aptos" w:hAnsi="Aptos" w:eastAsia="Noto Sans CJK SC"/>
          <w:sz w:val="19"/>
        </w:rPr>
        <w:t>15. 公式速查表</w:t>
      </w:r>
    </w:p>
    <w:p>
      <w:pPr>
        <w:pStyle w:val="ListBullet"/>
        <w:spacing w:after="40"/>
      </w:pPr>
      <w:r>
        <w:rPr>
          <w:rFonts w:ascii="Aptos" w:hAnsi="Aptos" w:eastAsia="Noto Sans CJK SC"/>
          <w:sz w:val="19"/>
        </w:rPr>
        <w:t>16. 参考依据</w:t>
      </w:r>
    </w:p>
    <w:p>
      <w:pPr>
        <w:pStyle w:val="Heading1"/>
      </w:pPr>
      <w:r>
        <w:t>1. 公式等级、统一尺度与异常输入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rHeight w:hRule="atLeast"/>
          <w:tblHeader w:val="true"/>
          <w:cantSplit/>
        </w:trPr>
        <w:tc>
          <w:tcPr>
            <w:tcW w:type="dxa" w:w="737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1701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4762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1871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trHeight w:hRule="atLeast"/>
          <w:cantSplit/>
        </w:trPr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F0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硬事实/布尔量</w:t>
            </w:r>
          </w:p>
        </w:tc>
        <w:tc>
          <w:tcPr>
            <w:tcW w:type="dxa" w:w="476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字数、次数、位置、是否冲突、闸门0/1。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可直接执行</w:t>
            </w:r>
          </w:p>
        </w:tc>
      </w:tr>
      <w:tr>
        <w:trPr>
          <w:trHeight w:hRule="atLeast"/>
          <w:cantSplit/>
        </w:trPr>
        <w:tc>
          <w:tcPr>
            <w:tcW w:type="dxa" w:w="737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F1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描述比率</w:t>
            </w:r>
          </w:p>
        </w:tc>
        <w:tc>
          <w:tcPr>
            <w:tcW w:type="dxa" w:w="476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密度、重复率、间隔、覆盖率。</w:t>
            </w:r>
          </w:p>
        </w:tc>
        <w:tc>
          <w:tcPr>
            <w:tcW w:type="dxa" w:w="187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预警与比较</w:t>
            </w:r>
          </w:p>
        </w:tc>
      </w:tr>
      <w:tr>
        <w:trPr>
          <w:trHeight w:hRule="atLeast"/>
          <w:cantSplit/>
        </w:trPr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F2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代理风险</w:t>
            </w:r>
          </w:p>
        </w:tc>
        <w:tc>
          <w:tcPr>
            <w:tcW w:type="dxa" w:w="476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多个可观测项组合后的0—4风险。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筛查与排序</w:t>
            </w:r>
          </w:p>
        </w:tc>
      </w:tr>
      <w:tr>
        <w:trPr>
          <w:trHeight w:hRule="atLeast"/>
          <w:cantSplit/>
        </w:trPr>
        <w:tc>
          <w:tcPr>
            <w:tcW w:type="dxa" w:w="737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F3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启发式判断</w:t>
            </w:r>
          </w:p>
        </w:tc>
        <w:tc>
          <w:tcPr>
            <w:tcW w:type="dxa" w:w="476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依赖人工编码、类型基线或区间评分。</w:t>
            </w:r>
          </w:p>
        </w:tc>
        <w:tc>
          <w:tcPr>
            <w:tcW w:type="dxa" w:w="187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必须复核</w:t>
            </w:r>
          </w:p>
        </w:tc>
      </w:tr>
      <w:tr>
        <w:trPr>
          <w:trHeight w:hRule="atLeast"/>
          <w:cantSplit/>
        </w:trPr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F4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伪概率</w:t>
            </w:r>
          </w:p>
        </w:tc>
        <w:tc>
          <w:tcPr>
            <w:tcW w:type="dxa" w:w="476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把F2/F3压缩成0—100%的倾向区间。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仅表达怀疑程度</w:t>
            </w:r>
          </w:p>
        </w:tc>
      </w:tr>
      <w:tr>
        <w:trPr>
          <w:trHeight w:hRule="atLeast"/>
          <w:cantSplit/>
        </w:trPr>
        <w:tc>
          <w:tcPr>
            <w:tcW w:type="dxa" w:w="737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X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禁用越权</w:t>
            </w:r>
          </w:p>
        </w:tc>
        <w:tc>
          <w:tcPr>
            <w:tcW w:type="dxa" w:w="476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真实作者概率、商业成功率、脑内化学量等无校准结论。</w:t>
            </w:r>
          </w:p>
        </w:tc>
        <w:tc>
          <w:tcPr>
            <w:tcW w:type="dxa" w:w="187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禁止定案</w:t>
            </w:r>
          </w:p>
        </w:tc>
      </w:tr>
    </w:tbl>
    <w:p>
      <w:pPr>
        <w:spacing w:after="0"/>
      </w:pPr>
    </w:p>
    <w:p>
      <w:pPr>
        <w:pStyle w:val="Heading2"/>
      </w:pPr>
      <w:r>
        <w:t>1.1 统一0—4尺度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R ∈ [0,4]</w:t>
            </w:r>
          </w:p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color w:val="5F5F5F"/>
                <w:sz w:val="16"/>
              </w:rPr>
              <w:t>所有进入聚合公式的子项必须先转换为0—4；风险值不表示客观文学质量。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Q(p) = 4 × clip(p,0,1)</w:t>
            </w:r>
          </w:p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color w:val="5F5F5F"/>
                <w:sz w:val="16"/>
              </w:rPr>
              <w:t>把0—1比例直接映射为0—4。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N(x;a,b) = clip(4 × (x−a)/(b−a),0,4)</w:t>
            </w:r>
          </w:p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color w:val="5F5F5F"/>
                <w:sz w:val="16"/>
              </w:rPr>
              <w:t>把次数、密度或距离映射到0—4；a为起警点，b为严重值。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WA(x,w) = Σ(i∈A) w_i x_i / Σ(i∈A) w_i</w:t>
            </w:r>
          </w:p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color w:val="5F5F5F"/>
                <w:sz w:val="16"/>
              </w:rPr>
              <w:t>A为非NA且样本充足的项目集合；聚合时按可用权重重新归一。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  <w:cantSplit/>
        </w:trPr>
        <w:tc>
          <w:tcPr>
            <w:tcW w:type="dxa" w:w="1701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区间</w:t>
            </w:r>
          </w:p>
        </w:tc>
        <w:tc>
          <w:tcPr>
            <w:tcW w:type="dxa" w:w="2268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5102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默认动作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0.0—0.9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通过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不处理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1.0—1.9</w:t>
            </w:r>
          </w:p>
        </w:tc>
        <w:tc>
          <w:tcPr>
            <w:tcW w:type="dxa" w:w="2268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观察</w:t>
            </w:r>
          </w:p>
        </w:tc>
        <w:tc>
          <w:tcPr>
            <w:tcW w:type="dxa" w:w="510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继续取样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2.0—2.9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定向修复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只修对应变量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3.0—4.0</w:t>
            </w:r>
          </w:p>
        </w:tc>
        <w:tc>
          <w:tcPr>
            <w:tcW w:type="dxa" w:w="2268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高风险</w:t>
            </w:r>
          </w:p>
        </w:tc>
        <w:tc>
          <w:tcPr>
            <w:tcW w:type="dxa" w:w="510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场景或章节重写</w:t>
            </w:r>
          </w:p>
        </w:tc>
      </w:tr>
    </w:tbl>
    <w:p>
      <w:pPr>
        <w:spacing w:after="0"/>
      </w:pPr>
    </w:p>
    <w:p>
      <w:pPr>
        <w:pStyle w:val="Heading2"/>
      </w:pPr>
      <w:r>
        <w:t>1.2 区间与不确定度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x = [x_min,x_max]</w:t>
            </w:r>
          </w:p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color w:val="5F5F5F"/>
                <w:sz w:val="16"/>
              </w:rPr>
              <w:t>下限采用严格解释，上限采用宽松解释。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Width(x)=x_max−x_min</w:t>
            </w:r>
          </w:p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color w:val="5F5F5F"/>
                <w:sz w:val="16"/>
              </w:rPr>
              <w:t>区间越宽，判断越依赖解释；优先人工复核。</w:t>
            </w:r>
          </w:p>
        </w:tc>
      </w:tr>
    </w:tbl>
    <w:p>
      <w:pPr>
        <w:spacing w:after="0"/>
      </w:pPr>
    </w:p>
    <w:p>
      <w:pPr>
        <w:pStyle w:val="Heading2"/>
      </w:pPr>
      <w:r>
        <w:t>1.3 NA、除零与最小样本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  <w:cantSplit/>
        </w:trPr>
        <w:tc>
          <w:tcPr>
            <w:tcW w:type="dxa" w:w="2268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情形</w:t>
            </w:r>
          </w:p>
        </w:tc>
        <w:tc>
          <w:tcPr>
            <w:tcW w:type="dxa" w:w="1984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4819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处理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分母=0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NA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不得自动记为0风险。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样本量&lt;n_min</w:t>
            </w:r>
          </w:p>
        </w:tc>
        <w:tc>
          <w:tcPr>
            <w:tcW w:type="dxa" w:w="198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LOW_SAMPLE</w:t>
            </w:r>
          </w:p>
        </w:tc>
        <w:tc>
          <w:tcPr>
            <w:tcW w:type="dxa" w:w="481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可显示原始值，不进入正式聚合。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指标不适用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NOT_APPLICABLE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从WA的可用集合A中排除。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可用子项少于聚合项一半</w:t>
            </w:r>
          </w:p>
        </w:tc>
        <w:tc>
          <w:tcPr>
            <w:tcW w:type="dxa" w:w="198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INSUFFICIENT_DATA</w:t>
            </w:r>
          </w:p>
        </w:tc>
        <w:tc>
          <w:tcPr>
            <w:tcW w:type="dxa" w:w="481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模块总风险不计算。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同一指标多个评审差异&gt;1分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REVIEW_CONFLICT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输出区间并人工裁决。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rHeight w:hRule="atLeast"/>
          <w:tblHeader w:val="true"/>
          <w:cantSplit/>
        </w:trPr>
        <w:tc>
          <w:tcPr>
            <w:tcW w:type="dxa" w:w="3402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指标类型</w:t>
            </w:r>
          </w:p>
        </w:tc>
        <w:tc>
          <w:tcPr>
            <w:tcW w:type="dxa" w:w="5669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默认最小样本 n_min</w:t>
            </w:r>
          </w:p>
        </w:tc>
      </w:tr>
      <w:tr>
        <w:trPr>
          <w:trHeight w:hRule="atLeast"/>
          <w:cantSplit/>
        </w:trP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句级比例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20句</w:t>
            </w:r>
          </w:p>
        </w:tc>
      </w:tr>
      <w:tr>
        <w:trPr>
          <w:trHeight w:hRule="atLeast"/>
          <w:cantSplit/>
        </w:trPr>
        <w:tc>
          <w:tcPr>
            <w:tcW w:type="dxa" w:w="340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对话比例</w:t>
            </w:r>
          </w:p>
        </w:tc>
        <w:tc>
          <w:tcPr>
            <w:tcW w:type="dxa" w:w="56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10轮对话</w:t>
            </w:r>
          </w:p>
        </w:tc>
      </w:tr>
      <w:tr>
        <w:trPr>
          <w:trHeight w:hRule="atLeast"/>
          <w:cantSplit/>
        </w:trP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人物声音比较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至少2人；每人≥100字对话或10轮</w:t>
            </w:r>
          </w:p>
        </w:tc>
      </w:tr>
      <w:tr>
        <w:trPr>
          <w:trHeight w:hRule="atLeast"/>
          <w:cantSplit/>
        </w:trPr>
        <w:tc>
          <w:tcPr>
            <w:tcW w:type="dxa" w:w="340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事件/选择比例</w:t>
            </w:r>
          </w:p>
        </w:tc>
        <w:tc>
          <w:tcPr>
            <w:tcW w:type="dxa" w:w="56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5个可编码事件</w:t>
            </w:r>
          </w:p>
        </w:tc>
      </w:tr>
      <w:tr>
        <w:trPr>
          <w:trHeight w:hRule="atLeast"/>
          <w:cantSplit/>
        </w:trPr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伏笔/问题比例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3个有效对象</w:t>
            </w:r>
          </w:p>
        </w:tc>
      </w:tr>
      <w:tr>
        <w:trPr>
          <w:trHeight w:hRule="atLeast"/>
          <w:cantSplit/>
        </w:trPr>
        <w:tc>
          <w:tcPr>
            <w:tcW w:type="dxa" w:w="340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AI参与伪概率</w:t>
            </w:r>
          </w:p>
        </w:tc>
        <w:tc>
          <w:tcPr>
            <w:tcW w:type="dxa" w:w="56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正文≥1200汉字；建议≥2500字</w:t>
            </w:r>
          </w:p>
        </w:tc>
      </w:tr>
    </w:tbl>
    <w:p>
      <w:pPr>
        <w:spacing w:after="0"/>
      </w:pPr>
    </w:p>
    <w:p>
      <w:pPr>
        <w:pStyle w:val="Heading1"/>
      </w:pPr>
      <w:r>
        <w:t>2. 全局变量命名与评分锚点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FF2CC"/>
            <w:tcBorders>
              <w:left w:val="single" w:sz="18" w:color="C9A227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keepLines/>
              <w:widowControl/>
            </w:pPr>
            <w:r>
              <w:rPr>
                <w:rFonts w:ascii="Aptos" w:hAnsi="Aptos" w:eastAsia="Noto Sans CJK SC"/>
                <w:b/>
                <w:color w:val="503C14"/>
                <w:sz w:val="18"/>
              </w:rPr>
              <w:t>命名规则：</w:t>
            </w:r>
            <w:r>
              <w:rPr>
                <w:rFonts w:ascii="Aptos" w:hAnsi="Aptos" w:eastAsia="Noto Sans CJK SC"/>
                <w:color w:val="373737"/>
                <w:sz w:val="18"/>
              </w:rPr>
              <w:t>所有符号全局唯一。章级变量使用_ch；文学表现使用L前缀；技术状态冲突使用Sc_state，禁止复用S_c。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rHeight w:hRule="atLeast"/>
          <w:tblHeader w:val="true"/>
          <w:cantSplit/>
        </w:trPr>
        <w:tc>
          <w:tcPr>
            <w:tcW w:type="dxa" w:w="964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1247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变量</w:t>
            </w:r>
          </w:p>
        </w:tc>
        <w:tc>
          <w:tcPr>
            <w:tcW w:type="dxa" w:w="1417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1701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0分</w:t>
            </w:r>
          </w:p>
        </w:tc>
        <w:tc>
          <w:tcPr>
            <w:tcW w:type="dxa" w:w="1701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2分</w:t>
            </w:r>
          </w:p>
        </w:tc>
        <w:tc>
          <w:tcPr>
            <w:tcW w:type="dxa" w:w="1701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4分</w:t>
            </w:r>
          </w:p>
        </w:tc>
      </w:tr>
      <w:tr>
        <w:trPr>
          <w:trHeight w:hRule="atLeast"/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章级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U_ch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理解成立度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无法建立局势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主线可懂但有缺口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局势、利益和因果清楚</w:t>
            </w:r>
          </w:p>
        </w:tc>
      </w:tr>
      <w:tr>
        <w:trPr>
          <w:trHeight w:hRule="atLeast"/>
          <w:cantSplit/>
        </w:trPr>
        <w:tc>
          <w:tcPr>
            <w:tcW w:type="dxa" w:w="96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章级</w:t>
            </w:r>
          </w:p>
        </w:tc>
        <w:tc>
          <w:tcPr>
            <w:tcW w:type="dxa" w:w="1247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C_ch</w:t>
            </w:r>
          </w:p>
        </w:tc>
        <w:tc>
          <w:tcPr>
            <w:tcW w:type="dxa" w:w="1417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因果推进度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原地重复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局部推进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形成不可忽略的新状态</w:t>
            </w:r>
          </w:p>
        </w:tc>
      </w:tr>
      <w:tr>
        <w:trPr>
          <w:trHeight w:hRule="atLeast"/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章级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A_ch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人物主动度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结果完全外来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人物部分参与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关键结果由人物选择促成</w:t>
            </w:r>
          </w:p>
        </w:tc>
      </w:tr>
      <w:tr>
        <w:trPr>
          <w:trHeight w:hRule="atLeast"/>
          <w:cantSplit/>
        </w:trPr>
        <w:tc>
          <w:tcPr>
            <w:tcW w:type="dxa" w:w="96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章级</w:t>
            </w:r>
          </w:p>
        </w:tc>
        <w:tc>
          <w:tcPr>
            <w:tcW w:type="dxa" w:w="1247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E_ch</w:t>
            </w:r>
          </w:p>
        </w:tc>
        <w:tc>
          <w:tcPr>
            <w:tcW w:type="dxa" w:w="1417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情绪成立度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模板反应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有对象但较薄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意义、身体与行动统一</w:t>
            </w:r>
          </w:p>
        </w:tc>
      </w:tr>
      <w:tr>
        <w:trPr>
          <w:trHeight w:hRule="atLeast"/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章级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R_ch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当章回报度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无支付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部分兑现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核心期待充分兑现</w:t>
            </w:r>
          </w:p>
        </w:tc>
      </w:tr>
      <w:tr>
        <w:trPr>
          <w:trHeight w:hRule="atLeast"/>
          <w:cantSplit/>
        </w:trPr>
        <w:tc>
          <w:tcPr>
            <w:tcW w:type="dxa" w:w="96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章级</w:t>
            </w:r>
          </w:p>
        </w:tc>
        <w:tc>
          <w:tcPr>
            <w:tcW w:type="dxa" w:w="1247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F_ch</w:t>
            </w:r>
          </w:p>
        </w:tc>
        <w:tc>
          <w:tcPr>
            <w:tcW w:type="dxa" w:w="1417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后续牵引度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无继续理由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一个可信问题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多个清楚而可信的牵引</w:t>
            </w:r>
          </w:p>
        </w:tc>
      </w:tr>
      <w:tr>
        <w:trPr>
          <w:trHeight w:hRule="atLeast"/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连贯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Ca_causal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因果连续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关键转移无桥梁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主链清楚有小缺口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每个关键转移可追溯</w:t>
            </w:r>
          </w:p>
        </w:tc>
      </w:tr>
      <w:tr>
        <w:trPr>
          <w:trHeight w:hRule="atLeast"/>
          <w:cantSplit/>
        </w:trPr>
        <w:tc>
          <w:tcPr>
            <w:tcW w:type="dxa" w:w="96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连贯</w:t>
            </w:r>
          </w:p>
        </w:tc>
        <w:tc>
          <w:tcPr>
            <w:tcW w:type="dxa" w:w="1247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Cg_goal</w:t>
            </w:r>
          </w:p>
        </w:tc>
        <w:tc>
          <w:tcPr>
            <w:tcW w:type="dxa" w:w="1417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目标连续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目标漂移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局部目标稳定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目标变化均有触发</w:t>
            </w:r>
          </w:p>
        </w:tc>
      </w:tr>
      <w:tr>
        <w:trPr>
          <w:trHeight w:hRule="atLeast"/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连贯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Cs_state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状态继承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状态频繁重置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大体继承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资源、伤势、关系均连续</w:t>
            </w:r>
          </w:p>
        </w:tc>
      </w:tr>
      <w:tr>
        <w:trPr>
          <w:trHeight w:hRule="atLeast"/>
          <w:cantSplit/>
        </w:trPr>
        <w:tc>
          <w:tcPr>
            <w:tcW w:type="dxa" w:w="96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变化</w:t>
            </w:r>
          </w:p>
        </w:tc>
        <w:tc>
          <w:tcPr>
            <w:tcW w:type="dxa" w:w="1247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Ve_salience</w:t>
            </w:r>
          </w:p>
        </w:tc>
        <w:tc>
          <w:tcPr>
            <w:tcW w:type="dxa" w:w="1417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事件显著性差异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事件同质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存在局部峰值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主次层级清楚</w:t>
            </w:r>
          </w:p>
        </w:tc>
      </w:tr>
      <w:tr>
        <w:trPr>
          <w:trHeight w:hRule="atLeast"/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变化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Vu_reframe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重新解释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无重解释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一次有效改写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多次合理重构旧信息</w:t>
            </w:r>
          </w:p>
        </w:tc>
      </w:tr>
      <w:tr>
        <w:trPr>
          <w:trHeight w:hRule="atLeast"/>
          <w:cantSplit/>
        </w:trPr>
        <w:tc>
          <w:tcPr>
            <w:tcW w:type="dxa" w:w="96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变化</w:t>
            </w:r>
          </w:p>
        </w:tc>
        <w:tc>
          <w:tcPr>
            <w:tcW w:type="dxa" w:w="1247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Vb_branch</w:t>
            </w:r>
          </w:p>
        </w:tc>
        <w:tc>
          <w:tcPr>
            <w:tcW w:type="dxa" w:w="1417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真实分叉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选择都归同一路径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存在局部分叉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选择造成非等价后果</w:t>
            </w:r>
          </w:p>
        </w:tc>
      </w:tr>
      <w:tr>
        <w:trPr>
          <w:trHeight w:hRule="atLeast"/>
          <w:cantSplit/>
        </w:trPr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变化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Vr_rhythm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节拍变化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固定重复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局部变化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变化服务于情节功能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rHeight w:hRule="atLeast"/>
          <w:tblHeader w:val="true"/>
          <w:cantSplit/>
        </w:trPr>
        <w:tc>
          <w:tcPr>
            <w:tcW w:type="dxa" w:w="1701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文学变量</w:t>
            </w:r>
          </w:p>
        </w:tc>
        <w:tc>
          <w:tcPr>
            <w:tcW w:type="dxa" w:w="1701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名称</w:t>
            </w:r>
          </w:p>
        </w:tc>
        <w:tc>
          <w:tcPr>
            <w:tcW w:type="dxa" w:w="2835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0分</w:t>
            </w:r>
          </w:p>
        </w:tc>
        <w:tc>
          <w:tcPr>
            <w:tcW w:type="dxa" w:w="2835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4分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Lv_voice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声音独特度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人物和叙述语言可互换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遮住名字仍能辨认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Li_sensory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感知具体度</w:t>
            </w:r>
          </w:p>
        </w:tc>
        <w:tc>
          <w:tcPr>
            <w:tcW w:type="dxa" w:w="2835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抽象概括</w:t>
            </w:r>
          </w:p>
        </w:tc>
        <w:tc>
          <w:tcPr>
            <w:tcW w:type="dxa" w:w="2835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细节具体且有选择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Lm_layers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意义复层度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一句只承担一项功能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动作、关系、主题与信息叠加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Lr_rhythm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节律控制度</w:t>
            </w:r>
          </w:p>
        </w:tc>
        <w:tc>
          <w:tcPr>
            <w:tcW w:type="dxa" w:w="2835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全篇同速</w:t>
            </w:r>
          </w:p>
        </w:tc>
        <w:tc>
          <w:tcPr>
            <w:tcW w:type="dxa" w:w="2835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停顿、错拍、长短变化有功能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Lp_pov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视角控制度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随意越权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所知、误判和隐瞒受控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Lo_original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表达陌生度</w:t>
            </w:r>
          </w:p>
        </w:tc>
        <w:tc>
          <w:tcPr>
            <w:tcW w:type="dxa" w:w="2835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套语与通用形容</w:t>
            </w:r>
          </w:p>
        </w:tc>
        <w:tc>
          <w:tcPr>
            <w:tcW w:type="dxa" w:w="2835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具体且避免现成表达</w:t>
            </w:r>
          </w:p>
        </w:tc>
      </w:tr>
    </w:tbl>
    <w:p>
      <w:pPr>
        <w:spacing w:after="0"/>
      </w:pPr>
    </w:p>
    <w:p>
      <w:pPr>
        <w:pStyle w:val="Heading1"/>
      </w:pPr>
      <w:r>
        <w:t>3. AI参与伪概率模型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DDEBF7"/>
            <w:tcBorders>
              <w:left w:val="single" w:sz="18" w:color="C9A227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keepLines/>
              <w:widowControl/>
            </w:pPr>
            <w:r>
              <w:rPr>
                <w:rFonts w:ascii="Aptos" w:hAnsi="Aptos" w:eastAsia="Noto Sans CJK SC"/>
                <w:b/>
                <w:color w:val="503C14"/>
                <w:sz w:val="18"/>
              </w:rPr>
              <w:t>原版缺失：</w:t>
            </w:r>
            <w:r>
              <w:rPr>
                <w:rFonts w:ascii="Aptos" w:hAnsi="Aptos" w:eastAsia="Noto Sans CJK SC"/>
                <w:color w:val="373737"/>
                <w:sz w:val="18"/>
              </w:rPr>
              <w:t>原v1.0没有这一公式，并把“AI写作概率=68%”列为禁用表达。本修订版新增F4伪概率，但明确禁止把它称为真实作者身份概率。</w:t>
            </w:r>
          </w:p>
        </w:tc>
      </w:tr>
    </w:tbl>
    <w:p>
      <w:pPr>
        <w:spacing w:after="0"/>
      </w:pPr>
    </w:p>
    <w:p>
      <w:pPr>
        <w:pStyle w:val="Heading2"/>
      </w:pPr>
      <w:r>
        <w:t>3.1 正向AI式证据与反向人工深修证据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A_pos = 0.28AI_R + 0.28AI_S + 0.16R_convergence + 0.10P_s + 0.10R_ambiguity + 0.08R_embodiment</w:t>
            </w:r>
          </w:p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color w:val="5F5F5F"/>
                <w:sz w:val="16"/>
              </w:rPr>
              <w:t>六项输入均为0—4；表示模板规则化、语义封闭、路径趋同、过度平滑、留白不足和肉身缺失。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H_neg = 0.40H_long + 0.30H_voice + 0.30H_asym</w:t>
            </w:r>
          </w:p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color w:val="5F5F5F"/>
                <w:sz w:val="16"/>
              </w:rPr>
              <w:t>反向证据：长程精确回收、稳定人物声纹、有意不对称/留白。它们不能证明人类作者，只降低纯AI直出倾向。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  <w:cantSplit/>
        </w:trPr>
        <w:tc>
          <w:tcPr>
            <w:tcW w:type="dxa" w:w="2268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反向变量</w:t>
            </w:r>
          </w:p>
        </w:tc>
        <w:tc>
          <w:tcPr>
            <w:tcW w:type="dxa" w:w="3402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0分</w:t>
            </w:r>
          </w:p>
        </w:tc>
        <w:tc>
          <w:tcPr>
            <w:tcW w:type="dxa" w:w="3402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4分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H_long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无跨章/跨段精确复用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旧信息被多次以非机械方式回收并改变后果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H_voice</w:t>
            </w:r>
          </w:p>
        </w:tc>
        <w:tc>
          <w:tcPr>
            <w:tcW w:type="dxa" w:w="340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人物声音高度可换</w:t>
            </w:r>
          </w:p>
        </w:tc>
        <w:tc>
          <w:tcPr>
            <w:tcW w:type="dxa" w:w="340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多人物长期保持稳定而不同的语言指纹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H_asym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句式、节拍、解释高度整齐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存在有功能的断裂、沉默、错拍与不完全解释</w:t>
            </w:r>
          </w:p>
        </w:tc>
      </w:tr>
    </w:tbl>
    <w:p>
      <w:pPr>
        <w:spacing w:after="0"/>
      </w:pPr>
    </w:p>
    <w:p>
      <w:pPr>
        <w:pStyle w:val="Heading2"/>
      </w:pPr>
      <w:r>
        <w:t>3.2 风格伪概率与区间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P_AI* = 100 × sigmoid(1.4 × (A_pos − H_neg − 1.6))</w:t>
            </w:r>
          </w:p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color w:val="5F5F5F"/>
                <w:sz w:val="16"/>
              </w:rPr>
              <w:t>sigmoid(z)=1/(1+e^(−z))；1.6为C0中心阈值，只用于章内比较。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L_short = max(0,1 − N_chars/3000)</w:t>
            </w:r>
          </w:p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color w:val="5F5F5F"/>
                <w:sz w:val="16"/>
              </w:rPr>
              <w:t>文本越短，不确定度越高；N_chars为正文汉字数。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W = clip(12 + 12D_rater + 10L_short + 8B_missing + 8H_mix,12,35)</w:t>
            </w:r>
          </w:p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color w:val="5F5F5F"/>
                <w:sz w:val="16"/>
              </w:rPr>
              <w:t>D_rater为评审分歧0—1；B_missing为缺同类型基线0/1；H_mix为疑似深度人机混编0/1。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P_AI,interval* = [clip(P_AI*−W,0,100), clip(P_AI*+W,0,100)]</w:t>
            </w:r>
          </w:p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color w:val="5F5F5F"/>
                <w:sz w:val="16"/>
              </w:rPr>
              <w:t>必须同时报告中心值、区间宽度和正文证据。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  <w:cantSplit/>
        </w:trPr>
        <w:tc>
          <w:tcPr>
            <w:tcW w:type="dxa" w:w="2268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3969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2835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允许用途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P_AI*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文本呈现AI参与迹象的中心估计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版本比较、决定是否做人工复核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P_AI,interval*</w:t>
            </w:r>
          </w:p>
        </w:tc>
        <w:tc>
          <w:tcPr>
            <w:tcW w:type="dxa" w:w="39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考虑篇幅、评审分歧和基线缺失后的区间</w:t>
            </w:r>
          </w:p>
        </w:tc>
        <w:tc>
          <w:tcPr>
            <w:tcW w:type="dxa" w:w="2835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表达不确定性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P_pureAI*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纯AI直出倾向；仅在有版本历史/生成记录时计算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内部流程审计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真实作者身份概率</w:t>
            </w:r>
          </w:p>
        </w:tc>
        <w:tc>
          <w:tcPr>
            <w:tcW w:type="dxa" w:w="39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本模型不能提供</w:t>
            </w:r>
          </w:p>
        </w:tc>
        <w:tc>
          <w:tcPr>
            <w:tcW w:type="dxa" w:w="2835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禁止使用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P_pureAI* = P_AI* × (1 − H_edit/4)</w:t>
            </w:r>
          </w:p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color w:val="5F5F5F"/>
                <w:sz w:val="16"/>
              </w:rPr>
              <w:t>H_edit为来自版本历史的人工深修证据0—4；没有修订记录时输出NA。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FF2CC"/>
            <w:tcBorders>
              <w:left w:val="single" w:sz="18" w:color="C9A227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keepLines/>
              <w:widowControl/>
            </w:pPr>
            <w:r>
              <w:rPr>
                <w:rFonts w:ascii="Aptos" w:hAnsi="Aptos" w:eastAsia="Noto Sans CJK SC"/>
                <w:b/>
                <w:color w:val="503C14"/>
                <w:sz w:val="18"/>
              </w:rPr>
              <w:t>强制边界：</w:t>
            </w:r>
            <w:r>
              <w:rPr>
                <w:rFonts w:ascii="Aptos" w:hAnsi="Aptos" w:eastAsia="Noto Sans CJK SC"/>
                <w:color w:val="373737"/>
                <w:sz w:val="18"/>
              </w:rPr>
              <w:t>该伪概率不得用于学术处分、版权归属、合同争议、平台封禁或对作者身份的公开指控。AI文本检测会受改写、模型变化、文体和非母语表达影响。</w:t>
            </w:r>
          </w:p>
        </w:tc>
      </w:tr>
    </w:tbl>
    <w:p>
      <w:pPr>
        <w:spacing w:after="0"/>
      </w:pPr>
    </w:p>
    <w:p>
      <w:pPr>
        <w:pStyle w:val="Heading1"/>
      </w:pPr>
      <w:r>
        <w:t>4. 章级硬闸门与综合判断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rHeight w:hRule="atLeast"/>
          <w:tblHeader w:val="true"/>
          <w:cantSplit/>
        </w:trPr>
        <w:tc>
          <w:tcPr>
            <w:tcW w:type="dxa" w:w="850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1417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闸门</w:t>
            </w:r>
          </w:p>
        </w:tc>
        <w:tc>
          <w:tcPr>
            <w:tcW w:type="dxa" w:w="5102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通过条件</w:t>
            </w:r>
          </w:p>
        </w:tc>
        <w:tc>
          <w:tcPr>
            <w:tcW w:type="dxa" w:w="1701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失败后果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G_C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因果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核心结果可追溯到前因、规则与人物行动。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阻断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G_A</w:t>
            </w:r>
          </w:p>
        </w:tc>
        <w:tc>
          <w:tcPr>
            <w:tcW w:type="dxa" w:w="1417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人物</w:t>
            </w:r>
          </w:p>
        </w:tc>
        <w:tc>
          <w:tcPr>
            <w:tcW w:type="dxa" w:w="510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关键行动符合目标、信息、能力与底线。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阻断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G_L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连续性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时间、地点、身份、物品与规则无无解释矛盾。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阻断</w:t>
            </w:r>
          </w:p>
        </w:tc>
      </w:tr>
      <w:tr>
        <w:trPr>
          <w:trHeight w:hRule="atLeast"/>
          <w:cantSplit/>
        </w:trPr>
        <w:tc>
          <w:tcPr>
            <w:tcW w:type="dxa" w:w="850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G_P</w:t>
            </w:r>
          </w:p>
        </w:tc>
        <w:tc>
          <w:tcPr>
            <w:tcW w:type="dxa" w:w="1417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视角</w:t>
            </w:r>
          </w:p>
        </w:tc>
        <w:tc>
          <w:tcPr>
            <w:tcW w:type="dxa" w:w="510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叙述信息不越过当前视角可知范围。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阻断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G = G_C × G_A × G_L × G_P, G_i∈{0,1}</w:t>
            </w:r>
          </w:p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color w:val="5F5F5F"/>
                <w:sz w:val="16"/>
              </w:rPr>
              <w:t>仅表示布尔“全部通过”。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S_ch = 0.15U_ch + 0.20C_ch + 0.15A_ch + 0.15E_ch + 0.20R_ch + 0.15F_ch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S_min = Σw_i x_i,min,  S_max = Σw_i x_i,max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  <w:cantSplit/>
        </w:trPr>
        <w:tc>
          <w:tcPr>
            <w:tcW w:type="dxa" w:w="1304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082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3798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动作</w:t>
            </w:r>
          </w:p>
        </w:tc>
      </w:tr>
      <w:tr>
        <w:trPr>
          <w:trHeight w:hRule="atLeast"/>
          <w:cantSplit/>
        </w:trPr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阻断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G=0，或U_ch,max≤1，或C_ch,max≤1</w:t>
            </w:r>
          </w:p>
        </w:tc>
        <w:tc>
          <w:tcPr>
            <w:tcW w:type="dxa" w:w="37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先修硬错误</w:t>
            </w:r>
          </w:p>
        </w:tc>
      </w:tr>
      <w:tr>
        <w:trPr>
          <w:trHeight w:hRule="atLeast"/>
          <w:cantSplit/>
        </w:trPr>
        <w:tc>
          <w:tcPr>
            <w:tcW w:type="dxa" w:w="130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重写</w:t>
            </w:r>
          </w:p>
        </w:tc>
        <w:tc>
          <w:tcPr>
            <w:tcW w:type="dxa" w:w="408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G=1且S_max&lt;2.5</w:t>
            </w:r>
          </w:p>
        </w:tc>
        <w:tc>
          <w:tcPr>
            <w:tcW w:type="dxa" w:w="3798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重构主要事件和结果</w:t>
            </w:r>
          </w:p>
        </w:tc>
      </w:tr>
      <w:tr>
        <w:trPr>
          <w:trHeight w:hRule="atLeast"/>
          <w:cantSplit/>
        </w:trPr>
        <w:tc>
          <w:tcPr>
            <w:tcW w:type="dxa" w:w="130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定向修复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S_min&lt;2.8≤S_max</w:t>
            </w:r>
          </w:p>
        </w:tc>
        <w:tc>
          <w:tcPr>
            <w:tcW w:type="dxa" w:w="37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修最低维度</w:t>
            </w:r>
          </w:p>
        </w:tc>
      </w:tr>
      <w:tr>
        <w:trPr>
          <w:trHeight w:hRule="atLeast"/>
          <w:cantSplit/>
        </w:trPr>
        <w:tc>
          <w:tcPr>
            <w:tcW w:type="dxa" w:w="130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稳健通过</w:t>
            </w:r>
          </w:p>
        </w:tc>
        <w:tc>
          <w:tcPr>
            <w:tcW w:type="dxa" w:w="408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G=1，S_min≥2.8，且U/C/A/R/F下限均≥2</w:t>
            </w:r>
          </w:p>
        </w:tc>
        <w:tc>
          <w:tcPr>
            <w:tcW w:type="dxa" w:w="3798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保留结构，只修表达</w:t>
            </w:r>
          </w:p>
        </w:tc>
      </w:tr>
    </w:tbl>
    <w:p>
      <w:pPr>
        <w:spacing w:after="0"/>
      </w:pPr>
    </w:p>
    <w:p>
      <w:pPr>
        <w:pStyle w:val="Heading1"/>
      </w:pPr>
      <w:r>
        <w:t>5. 叙事结构计算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rHeight w:hRule="atLeast"/>
          <w:tblHeader w:val="true"/>
          <w:cantSplit/>
        </w:trPr>
        <w:tc>
          <w:tcPr>
            <w:tcW w:type="dxa" w:w="680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3969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指标/公式</w:t>
            </w:r>
          </w:p>
        </w:tc>
        <w:tc>
          <w:tcPr>
            <w:tcW w:type="dxa" w:w="2494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2154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尺度修订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N-01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J_narr = 缺因果桥梁转移数/关键转移数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逻辑跳跃</w:t>
            </w:r>
          </w:p>
        </w:tc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J4=Q(J_narr)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N-02</w:t>
            </w:r>
          </w:p>
        </w:tc>
        <w:tc>
          <w:tcPr>
            <w:tcW w:type="dxa" w:w="39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T_time = 时间冲突数/可核验时间锚点数</w:t>
            </w:r>
          </w:p>
        </w:tc>
        <w:tc>
          <w:tcPr>
            <w:tcW w:type="dxa" w:w="249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时间线一致性</w:t>
            </w:r>
          </w:p>
        </w:tc>
        <w:tc>
          <w:tcPr>
            <w:tcW w:type="dxa" w:w="215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T4=Q(T_time)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N-03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C_o=(Ca_causal+Cg_goal+Cs_state)/3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连贯度</w:t>
            </w:r>
          </w:p>
        </w:tc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各子项均0—4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N-04</w:t>
            </w:r>
          </w:p>
        </w:tc>
        <w:tc>
          <w:tcPr>
            <w:tcW w:type="dxa" w:w="39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V_a=(Ve_salience+Vu_reframe+Vb_branch+Vr_rhythm)/4</w:t>
            </w:r>
          </w:p>
        </w:tc>
        <w:tc>
          <w:tcPr>
            <w:tcW w:type="dxa" w:w="249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结构变化度</w:t>
            </w:r>
          </w:p>
        </w:tc>
        <w:tc>
          <w:tcPr>
            <w:tcW w:type="dxa" w:w="215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各子项均0—4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N-05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P_s=C_o×(4−V_a)/4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高连贯低变化的平滑化</w:t>
            </w:r>
          </w:p>
        </w:tc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天然0—4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N-06</w:t>
            </w:r>
          </w:p>
        </w:tc>
        <w:tc>
          <w:tcPr>
            <w:tcW w:type="dxa" w:w="39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Mb_motive=无人物依据关键行动/关键行动数</w:t>
            </w:r>
          </w:p>
        </w:tc>
        <w:tc>
          <w:tcPr>
            <w:tcW w:type="dxa" w:w="249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动机断裂</w:t>
            </w:r>
          </w:p>
        </w:tc>
        <w:tc>
          <w:tcPr>
            <w:tcW w:type="dxa" w:w="215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Mb4=Q(Mb_motive)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N-07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E_flat=WA(ES_same,EI_lowvar,ER_repeat,EA_mismatch; .30,.25,.25,.20)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情绪平铺</w:t>
            </w:r>
          </w:p>
        </w:tc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四子项均0—4风险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N-08</w:t>
            </w:r>
          </w:p>
        </w:tc>
        <w:tc>
          <w:tcPr>
            <w:tcW w:type="dxa" w:w="39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R_narrative=WA(J4,T4,P_s,Mb4,E_flat; .25,.15,.25,.20,.15)</w:t>
            </w:r>
          </w:p>
        </w:tc>
        <w:tc>
          <w:tcPr>
            <w:tcW w:type="dxa" w:w="249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叙事总风险</w:t>
            </w:r>
          </w:p>
        </w:tc>
        <w:tc>
          <w:tcPr>
            <w:tcW w:type="dxa" w:w="215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5"/>
              </w:rPr>
              <w:t>结果0—4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  <w:cantSplit/>
        </w:trPr>
        <w:tc>
          <w:tcPr>
            <w:tcW w:type="dxa" w:w="1701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C_o</w:t>
            </w:r>
          </w:p>
        </w:tc>
        <w:tc>
          <w:tcPr>
            <w:tcW w:type="dxa" w:w="1701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V_a</w:t>
            </w:r>
          </w:p>
        </w:tc>
        <w:tc>
          <w:tcPr>
            <w:tcW w:type="dxa" w:w="5669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判定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低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低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平且散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低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高</w:t>
            </w:r>
          </w:p>
        </w:tc>
        <w:tc>
          <w:tcPr>
            <w:tcW w:type="dxa" w:w="56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跳跃混乱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高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低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过度平滑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高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高</w:t>
            </w:r>
          </w:p>
        </w:tc>
        <w:tc>
          <w:tcPr>
            <w:tcW w:type="dxa" w:w="56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连贯且有结构变化</w:t>
            </w:r>
          </w:p>
        </w:tc>
      </w:tr>
    </w:tbl>
    <w:p>
      <w:pPr>
        <w:spacing w:after="0"/>
      </w:pPr>
    </w:p>
    <w:p>
      <w:pPr>
        <w:pStyle w:val="Heading1"/>
      </w:pPr>
      <w:r>
        <w:t>6. 文风、AI味与文学表现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  <w:cantSplit/>
        </w:trPr>
        <w:tc>
          <w:tcPr>
            <w:tcW w:type="dxa" w:w="737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4535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原始指标</w:t>
            </w:r>
          </w:p>
        </w:tc>
        <w:tc>
          <w:tcPr>
            <w:tcW w:type="dxa" w:w="3912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0—4转换</w:t>
            </w:r>
          </w:p>
        </w:tc>
      </w:tr>
      <w:tr>
        <w:trPr>
          <w:trHeight w:hRule="atLeast"/>
          <w:cantSplit/>
        </w:trPr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L-01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Sr_repeat=语义复述句/总句</w:t>
            </w:r>
          </w:p>
        </w:tc>
        <w:tc>
          <w:tcPr>
            <w:tcW w:type="dxa" w:w="39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Sr4=Q(Sr_repeat)</w:t>
            </w:r>
          </w:p>
        </w:tc>
      </w:tr>
      <w:tr>
        <w:trPr>
          <w:trHeight w:hRule="atLeast"/>
          <w:cantSplit/>
        </w:trPr>
        <w:tc>
          <w:tcPr>
            <w:tcW w:type="dxa" w:w="737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L-02</w:t>
            </w:r>
          </w:p>
        </w:tc>
        <w:tc>
          <w:tcPr>
            <w:tcW w:type="dxa" w:w="4535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CV_sentence=σ句长/μ句长</w:t>
            </w:r>
          </w:p>
        </w:tc>
        <w:tc>
          <w:tcPr>
            <w:tcW w:type="dxa" w:w="391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只做描述；需基线后转风险</w:t>
            </w:r>
          </w:p>
        </w:tc>
      </w:tr>
      <w:tr>
        <w:trPr>
          <w:trHeight w:hRule="atLeast"/>
          <w:cantSplit/>
        </w:trPr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L-03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Ex_explain=冗余解释句/解释性句</w:t>
            </w:r>
          </w:p>
        </w:tc>
        <w:tc>
          <w:tcPr>
            <w:tcW w:type="dxa" w:w="39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Ex4=Q(Ex_explain)</w:t>
            </w:r>
          </w:p>
        </w:tc>
      </w:tr>
      <w:tr>
        <w:trPr>
          <w:trHeight w:hRule="atLeast"/>
          <w:cantSplit/>
        </w:trPr>
        <w:tc>
          <w:tcPr>
            <w:tcW w:type="dxa" w:w="737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L-04</w:t>
            </w:r>
          </w:p>
        </w:tc>
        <w:tc>
          <w:tcPr>
            <w:tcW w:type="dxa" w:w="4535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Ga_abstract=通用抽象表达/描写表达</w:t>
            </w:r>
          </w:p>
        </w:tc>
        <w:tc>
          <w:tcPr>
            <w:tcW w:type="dxa" w:w="391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Ga4=Q(Ga_abstract)</w:t>
            </w:r>
          </w:p>
        </w:tc>
      </w:tr>
      <w:tr>
        <w:trPr>
          <w:trHeight w:hRule="atLeast"/>
          <w:cantSplit/>
        </w:trPr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L-05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Ct_transition=模板过渡/段落转移</w:t>
            </w:r>
          </w:p>
        </w:tc>
        <w:tc>
          <w:tcPr>
            <w:tcW w:type="dxa" w:w="39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Ct4=Q(Ct_transition)</w:t>
            </w:r>
          </w:p>
        </w:tc>
      </w:tr>
      <w:tr>
        <w:trPr>
          <w:trHeight w:hRule="atLeast"/>
          <w:cantSplit/>
        </w:trPr>
        <w:tc>
          <w:tcPr>
            <w:tcW w:type="dxa" w:w="737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L-06</w:t>
            </w:r>
          </w:p>
        </w:tc>
        <w:tc>
          <w:tcPr>
            <w:tcW w:type="dxa" w:w="4535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Tr_template=重复模板结构/可编码结构</w:t>
            </w:r>
          </w:p>
        </w:tc>
        <w:tc>
          <w:tcPr>
            <w:tcW w:type="dxa" w:w="391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Tr4=Q(Tr_template)</w:t>
            </w:r>
          </w:p>
        </w:tc>
      </w:tr>
      <w:tr>
        <w:trPr>
          <w:trHeight w:hRule="atLeast"/>
          <w:cantSplit/>
        </w:trPr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L-07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Sh_syntax=句式/分段均质风险</w:t>
            </w:r>
          </w:p>
        </w:tc>
        <w:tc>
          <w:tcPr>
            <w:tcW w:type="dxa" w:w="391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人工0—4或基线N()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AI_R = WA(Tr4,Sh_syntax,Ct4;1,1,1)</w:t>
            </w:r>
          </w:p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color w:val="5F5F5F"/>
                <w:sz w:val="16"/>
              </w:rPr>
              <w:t>表面规则化。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AI_S = WA(Ex4,Ga4,Sr4;1,1,1)</w:t>
            </w:r>
          </w:p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color w:val="5F5F5F"/>
                <w:sz w:val="16"/>
              </w:rPr>
              <w:t>语义封闭化。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L_avg=(Lv_voice+Li_sensory+Lm_layers+Lr_rhythm+Lp_pov+Lo_original)/6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L_floor=min(Lv_voice,Li_sensory,Lm_layers,Lr_rhythm,Lp_pov,Lo_original)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L_imbalance=SD(Lv_voice,Li_sensory,Lm_layers,Lr_rhythm,Lp_pov,Lo_original)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R_language=0.35AI_R+0.35AI_S+0.30(4−L_floor)</w:t>
            </w:r>
          </w:p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color w:val="5F5F5F"/>
                <w:sz w:val="16"/>
              </w:rPr>
              <w:t>语言风险同时考虑AI式规则化、语义封闭和文学表现短板；结果0—4。</w:t>
            </w:r>
          </w:p>
        </w:tc>
      </w:tr>
    </w:tbl>
    <w:p>
      <w:pPr>
        <w:spacing w:after="0"/>
      </w:pPr>
    </w:p>
    <w:p>
      <w:pPr>
        <w:pStyle w:val="Heading1"/>
      </w:pPr>
      <w:r>
        <w:t>7. 创意与设定计算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rHeight w:hRule="atLeast"/>
          <w:tblHeader w:val="true"/>
          <w:cantSplit/>
        </w:trPr>
        <w:tc>
          <w:tcPr>
            <w:tcW w:type="dxa" w:w="680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3402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公式</w:t>
            </w:r>
          </w:p>
        </w:tc>
        <w:tc>
          <w:tcPr>
            <w:tcW w:type="dxa" w:w="1984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0—4输入</w:t>
            </w:r>
          </w:p>
        </w:tc>
        <w:tc>
          <w:tcPr>
            <w:tcW w:type="dxa" w:w="3118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功能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C-01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Rc_rule=规则冲突/已调用规则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Rc4=Q(Rc_rule)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规则一致性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C-02</w:t>
            </w:r>
          </w:p>
        </w:tc>
        <w:tc>
          <w:tcPr>
            <w:tcW w:type="dxa" w:w="340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Sd_symbol=4×(1−有效出现/总出现)</w:t>
            </w:r>
          </w:p>
        </w:tc>
        <w:tc>
          <w:tcPr>
            <w:tcW w:type="dxa" w:w="198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已为0—4</w:t>
            </w:r>
          </w:p>
        </w:tc>
        <w:tc>
          <w:tcPr>
            <w:tcW w:type="dxa" w:w="3118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符号是否装饰化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C-03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Tc_template=高频模板节点/关键节点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Tc4=Q(Tc_template)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路径趋同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C-04</w:t>
            </w:r>
          </w:p>
        </w:tc>
        <w:tc>
          <w:tcPr>
            <w:tcW w:type="dxa" w:w="340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R_creative=WA(Rc4,Sd_symbol,Tc4;.40,.25,.35)</w:t>
            </w:r>
          </w:p>
        </w:tc>
        <w:tc>
          <w:tcPr>
            <w:tcW w:type="dxa" w:w="198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结果0—4</w:t>
            </w:r>
          </w:p>
        </w:tc>
        <w:tc>
          <w:tcPr>
            <w:tcW w:type="dxa" w:w="3118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创意设定总风险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FF2CC"/>
            <w:tcBorders>
              <w:left w:val="single" w:sz="18" w:color="C9A227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keepLines/>
              <w:widowControl/>
            </w:pPr>
            <w:r>
              <w:rPr>
                <w:rFonts w:ascii="Aptos" w:hAnsi="Aptos" w:eastAsia="Noto Sans CJK SC"/>
                <w:b/>
                <w:color w:val="503C14"/>
                <w:sz w:val="18"/>
              </w:rPr>
              <w:t>除零规则：</w:t>
            </w:r>
            <w:r>
              <w:rPr>
                <w:rFonts w:ascii="Aptos" w:hAnsi="Aptos" w:eastAsia="Noto Sans CJK SC"/>
                <w:color w:val="373737"/>
                <w:sz w:val="18"/>
              </w:rPr>
              <w:t>没有预设核心符号时，Sd_symbol=NA；不是0风险。</w:t>
            </w:r>
          </w:p>
        </w:tc>
      </w:tr>
    </w:tbl>
    <w:p>
      <w:pPr>
        <w:spacing w:after="0"/>
      </w:pPr>
    </w:p>
    <w:p>
      <w:pPr>
        <w:pStyle w:val="Heading1"/>
      </w:pPr>
      <w:r>
        <w:t>8. 角色与心理计算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rHeight w:hRule="atLeast"/>
          <w:tblHeader w:val="true"/>
          <w:cantSplit/>
        </w:trPr>
        <w:tc>
          <w:tcPr>
            <w:tcW w:type="dxa" w:w="680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4082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公式</w:t>
            </w:r>
          </w:p>
        </w:tc>
        <w:tc>
          <w:tcPr>
            <w:tcW w:type="dxa" w:w="1814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尺度修订</w:t>
            </w:r>
          </w:p>
        </w:tc>
        <w:tc>
          <w:tcPr>
            <w:tcW w:type="dxa" w:w="2494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功能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CH-01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Vs_cos=人物语言向量平均余弦相似度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Vs_risk=N(Vs_cos;a,b)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人物声音同质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CH-02</w:t>
            </w:r>
          </w:p>
        </w:tc>
        <w:tc>
          <w:tcPr>
            <w:tcW w:type="dxa" w:w="408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Em_mismatch=无人物依据反应/重大事件</w:t>
            </w:r>
          </w:p>
        </w:tc>
        <w:tc>
          <w:tcPr>
            <w:tcW w:type="dxa" w:w="181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Em4=Q(Em_mismatch)</w:t>
            </w:r>
          </w:p>
        </w:tc>
        <w:tc>
          <w:tcPr>
            <w:tcW w:type="dxa" w:w="249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情绪事件不匹配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CH-03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Dc_clean=满足任一洁净条件的对话轮次并集/总轮次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Dc4=Q(Dc_clean)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对话过度干净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CH-04</w:t>
            </w:r>
          </w:p>
        </w:tc>
        <w:tc>
          <w:tcPr>
            <w:tcW w:type="dxa" w:w="408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Ch_choice=同类应对/关键选择</w:t>
            </w:r>
          </w:p>
        </w:tc>
        <w:tc>
          <w:tcPr>
            <w:tcW w:type="dxa" w:w="181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Ch4=Q(Ch_choice)</w:t>
            </w:r>
          </w:p>
        </w:tc>
        <w:tc>
          <w:tcPr>
            <w:tcW w:type="dxa" w:w="249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选择同质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CH-05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R_character=WA(Vs_risk,Em4,Dc4,Ch4;.30,.25,.25,.20)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结果0—4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角色心理总风险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FF2CC"/>
            <w:tcBorders>
              <w:left w:val="single" w:sz="18" w:color="C9A227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keepLines/>
              <w:widowControl/>
            </w:pPr>
            <w:r>
              <w:rPr>
                <w:rFonts w:ascii="Aptos" w:hAnsi="Aptos" w:eastAsia="Noto Sans CJK SC"/>
                <w:b/>
                <w:color w:val="503C14"/>
                <w:sz w:val="18"/>
              </w:rPr>
              <w:t>修正：</w:t>
            </w:r>
            <w:r>
              <w:rPr>
                <w:rFonts w:ascii="Aptos" w:hAnsi="Aptos" w:eastAsia="Noto Sans CJK SC"/>
                <w:color w:val="373737"/>
                <w:sz w:val="18"/>
              </w:rPr>
              <w:t>Dc_clean使用轮次并集，避免同一轮同时满足三项而导致比率超过1。</w:t>
            </w:r>
          </w:p>
        </w:tc>
      </w:tr>
    </w:tbl>
    <w:p>
      <w:pPr>
        <w:spacing w:after="0"/>
      </w:pPr>
    </w:p>
    <w:p>
      <w:pPr>
        <w:pStyle w:val="Heading1"/>
      </w:pPr>
      <w:r>
        <w:t>9. 技术连续性计算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x_(t+1)=Update(x_t,e_t)</w:t>
            </w:r>
          </w:p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color w:val="5F5F5F"/>
                <w:sz w:val="16"/>
              </w:rPr>
              <w:t>位置、伤势、物品、资源、身份、已知信息、关系与时间的状态更新。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rHeight w:hRule="atLeast"/>
          <w:tblHeader w:val="true"/>
          <w:cantSplit/>
        </w:trPr>
        <w:tc>
          <w:tcPr>
            <w:tcW w:type="dxa" w:w="680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4082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公式</w:t>
            </w:r>
          </w:p>
        </w:tc>
        <w:tc>
          <w:tcPr>
            <w:tcW w:type="dxa" w:w="1814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尺度修订</w:t>
            </w:r>
          </w:p>
        </w:tc>
        <w:tc>
          <w:tcPr>
            <w:tcW w:type="dxa" w:w="2494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功能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T-01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Sc_state=无事件解释的状态变化/可核验状态更新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Sc4=Q(Sc_state)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状态矛盾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T-02</w:t>
            </w:r>
          </w:p>
        </w:tc>
        <w:tc>
          <w:tcPr>
            <w:tcW w:type="dxa" w:w="408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Fl_foreshadow=超窗未继承伏笔/有效伏笔</w:t>
            </w:r>
          </w:p>
        </w:tc>
        <w:tc>
          <w:tcPr>
            <w:tcW w:type="dxa" w:w="181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Fl4=Q(Fl_foreshadow)</w:t>
            </w:r>
          </w:p>
        </w:tc>
        <w:tc>
          <w:tcPr>
            <w:tcW w:type="dxa" w:w="249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伏笔失联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T-03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Rs_random=无已有因果意外/意外事件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Rs4=Q(Rs_random)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表面随机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T-04</w:t>
            </w:r>
          </w:p>
        </w:tc>
        <w:tc>
          <w:tcPr>
            <w:tcW w:type="dxa" w:w="408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R_technical=WA(Sc4,Fl4,Rs4;.45,.30,.25)</w:t>
            </w:r>
          </w:p>
        </w:tc>
        <w:tc>
          <w:tcPr>
            <w:tcW w:type="dxa" w:w="181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结果0—4</w:t>
            </w:r>
          </w:p>
        </w:tc>
        <w:tc>
          <w:tcPr>
            <w:tcW w:type="dxa" w:w="2494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技术连续性总风险</w:t>
            </w:r>
          </w:p>
        </w:tc>
      </w:tr>
    </w:tbl>
    <w:p>
      <w:pPr>
        <w:spacing w:after="0"/>
      </w:pPr>
    </w:p>
    <w:p>
      <w:pPr>
        <w:pStyle w:val="Heading1"/>
      </w:pPr>
      <w:r>
        <w:t>10. 阅读与市场侧代理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rHeight w:hRule="atLeast"/>
          <w:tblHeader w:val="true"/>
          <w:cantSplit/>
        </w:trPr>
        <w:tc>
          <w:tcPr>
            <w:tcW w:type="dxa" w:w="680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3969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公式</w:t>
            </w:r>
          </w:p>
        </w:tc>
        <w:tc>
          <w:tcPr>
            <w:tcW w:type="dxa" w:w="1871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尺度修订</w:t>
            </w:r>
          </w:p>
        </w:tc>
        <w:tc>
          <w:tcPr>
            <w:tcW w:type="dxa" w:w="2551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功能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R-01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Ln_new=(新人物+地点+组织+规则+专名)/千字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描述量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新增变量负载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R-02</w:t>
            </w:r>
          </w:p>
        </w:tc>
        <w:tc>
          <w:tcPr>
            <w:tcW w:type="dxa" w:w="39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Lu_unrelated=Ln_new×(1−关联率)</w:t>
            </w:r>
          </w:p>
        </w:tc>
        <w:tc>
          <w:tcPr>
            <w:tcW w:type="dxa" w:w="187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Lu_risk=N(Lu_unrelated;a,b)</w:t>
            </w:r>
          </w:p>
        </w:tc>
        <w:tc>
          <w:tcPr>
            <w:tcW w:type="dxa" w:w="255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散射负载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R-03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Rm_reward=4×(1−兑现期待/已建立期待)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已为0—4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回报缺失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R-04</w:t>
            </w:r>
          </w:p>
        </w:tc>
        <w:tc>
          <w:tcPr>
            <w:tcW w:type="dxa" w:w="39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Mw_memory=4−(独特+变形+参与+绑定)/4</w:t>
            </w:r>
          </w:p>
        </w:tc>
        <w:tc>
          <w:tcPr>
            <w:tcW w:type="dxa" w:w="187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已为0—4</w:t>
            </w:r>
          </w:p>
        </w:tc>
        <w:tc>
          <w:tcPr>
            <w:tcW w:type="dxa" w:w="255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记忆点弱化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R-05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R_reader=WA(Lu_risk,Rm_reward,Mw_memory;.30,.35,.35)</w:t>
            </w:r>
          </w:p>
        </w:tc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结果0—4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阅读侧总风险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FF2CC"/>
            <w:tcBorders>
              <w:left w:val="single" w:sz="18" w:color="C9A227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keepLines/>
              <w:widowControl/>
            </w:pPr>
            <w:r>
              <w:rPr>
                <w:rFonts w:ascii="Aptos" w:hAnsi="Aptos" w:eastAsia="Noto Sans CJK SC"/>
                <w:b/>
                <w:color w:val="503C14"/>
                <w:sz w:val="18"/>
              </w:rPr>
              <w:t>边界：</w:t>
            </w:r>
            <w:r>
              <w:rPr>
                <w:rFonts w:ascii="Aptos" w:hAnsi="Aptos" w:eastAsia="Noto Sans CJK SC"/>
                <w:color w:val="373737"/>
                <w:sz w:val="18"/>
              </w:rPr>
              <w:t>文本代理不能直接推出平台推荐、真实留存、付费率、版权归属或商业成功。</w:t>
            </w:r>
          </w:p>
        </w:tc>
      </w:tr>
    </w:tbl>
    <w:p>
      <w:pPr>
        <w:spacing w:after="0"/>
      </w:pPr>
    </w:p>
    <w:p>
      <w:pPr>
        <w:pStyle w:val="Heading1"/>
      </w:pPr>
      <w:r>
        <w:t>11. 三个根层风险</w:t>
      </w:r>
    </w:p>
    <w:p>
      <w:pPr>
        <w:pStyle w:val="Heading2"/>
      </w:pPr>
      <w:r>
        <w:t>11.1 概率趋同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  <w:cantSplit/>
        </w:trPr>
        <w:tc>
          <w:tcPr>
            <w:tcW w:type="dxa" w:w="680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4535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原始比例</w:t>
            </w:r>
          </w:p>
        </w:tc>
        <w:tc>
          <w:tcPr>
            <w:tcW w:type="dxa" w:w="3855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0—4输入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P-01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Hp_path=高频路径转移/关键转移</w:t>
            </w:r>
          </w:p>
        </w:tc>
        <w:tc>
          <w:tcPr>
            <w:tcW w:type="dxa" w:w="38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Hp4=Q(Hp_path)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P-02</w:t>
            </w:r>
          </w:p>
        </w:tc>
        <w:tc>
          <w:tcPr>
            <w:tcW w:type="dxa" w:w="4535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Ss_safe=安全解法/主要解决</w:t>
            </w:r>
          </w:p>
        </w:tc>
        <w:tc>
          <w:tcPr>
            <w:tcW w:type="dxa" w:w="3855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Ss4=Q(Ss_safe)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P-03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Us_suppress=1−低频合理选项采用/可用</w:t>
            </w:r>
          </w:p>
        </w:tc>
        <w:tc>
          <w:tcPr>
            <w:tcW w:type="dxa" w:w="38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Us4=Q(Us_suppress)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P-04</w:t>
            </w:r>
          </w:p>
        </w:tc>
        <w:tc>
          <w:tcPr>
            <w:tcW w:type="dxa" w:w="4535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R_convergence=WA(Hp4,Ss4,Us4;.40,.30,.30)</w:t>
            </w:r>
          </w:p>
        </w:tc>
        <w:tc>
          <w:tcPr>
            <w:tcW w:type="dxa" w:w="3855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结果0—4</w:t>
            </w:r>
          </w:p>
        </w:tc>
      </w:tr>
    </w:tbl>
    <w:p>
      <w:pPr>
        <w:spacing w:after="0"/>
      </w:pPr>
    </w:p>
    <w:p>
      <w:pPr>
        <w:pStyle w:val="Heading2"/>
      </w:pPr>
      <w:r>
        <w:t>11.2 肉身经验缺失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  <w:cantSplit/>
        </w:trPr>
        <w:tc>
          <w:tcPr>
            <w:tcW w:type="dxa" w:w="680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5669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公式</w:t>
            </w:r>
          </w:p>
        </w:tc>
        <w:tc>
          <w:tcPr>
            <w:tcW w:type="dxa" w:w="2721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0—4输入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B-01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Sm_sensory=4×(1−有效感官通道/6)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已为0—4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B-02</w:t>
            </w:r>
          </w:p>
        </w:tc>
        <w:tc>
          <w:tcPr>
            <w:tcW w:type="dxa" w:w="56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Bc_cliche=通用生理套语/身体反应</w:t>
            </w:r>
          </w:p>
        </w:tc>
        <w:tc>
          <w:tcPr>
            <w:tcW w:type="dxa" w:w="272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Bc4=Q(Bc_cliche)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B-03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Be_interact=4×(1−实际身体环境交互/可交互事件)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已为0—4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B-04</w:t>
            </w:r>
          </w:p>
        </w:tc>
        <w:tc>
          <w:tcPr>
            <w:tcW w:type="dxa" w:w="56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Bl_consequence=身体状态未影响后续/身体变化</w:t>
            </w:r>
          </w:p>
        </w:tc>
        <w:tc>
          <w:tcPr>
            <w:tcW w:type="dxa" w:w="272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Bl4=Q(Bl_consequence)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B-05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R_embodiment=WA(Sm_sensory,Bc4,Be_interact,Bl4;1,1,1,1)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结果0—4</w:t>
            </w:r>
          </w:p>
        </w:tc>
      </w:tr>
    </w:tbl>
    <w:p>
      <w:pPr>
        <w:spacing w:after="0"/>
      </w:pPr>
    </w:p>
    <w:p>
      <w:pPr>
        <w:pStyle w:val="Heading2"/>
      </w:pPr>
      <w:r>
        <w:t>11.3 留白不足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  <w:cantSplit/>
        </w:trPr>
        <w:tc>
          <w:tcPr>
            <w:tcW w:type="dxa" w:w="680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5669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公式</w:t>
            </w:r>
          </w:p>
        </w:tc>
        <w:tc>
          <w:tcPr>
            <w:tcW w:type="dxa" w:w="2721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0—4输入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A-01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Ie_instant=即时解释异常/关键异常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Ie4=Q(Ie_instant)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A-02</w:t>
            </w:r>
          </w:p>
        </w:tc>
        <w:tc>
          <w:tcPr>
            <w:tcW w:type="dxa" w:w="56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Me_motive=直接声明动机/可表现动机</w:t>
            </w:r>
          </w:p>
        </w:tc>
        <w:tc>
          <w:tcPr>
            <w:tcW w:type="dxa" w:w="272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Me4=Q(Me_motive)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A-03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Ig_inference=4×(1−需整合≥2线索判断/关键判断)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已为0—4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A-04</w:t>
            </w:r>
          </w:p>
        </w:tc>
        <w:tc>
          <w:tcPr>
            <w:tcW w:type="dxa" w:w="56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Qc_close=过早关闭问题/主要问题</w:t>
            </w:r>
          </w:p>
        </w:tc>
        <w:tc>
          <w:tcPr>
            <w:tcW w:type="dxa" w:w="272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Qc4=Q(Qc_close)</w:t>
            </w:r>
          </w:p>
        </w:tc>
      </w:tr>
      <w:tr>
        <w:trPr>
          <w:trHeight w:hRule="atLeast"/>
          <w:cantSplit/>
        </w:trPr>
        <w:tc>
          <w:tcPr>
            <w:tcW w:type="dxa" w:w="6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A-05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R_ambiguity=WA(Ie4,Me4,Ig_inference,Qc4;.30,.25,.25,.20)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结果0—4</w:t>
            </w:r>
          </w:p>
        </w:tc>
      </w:tr>
    </w:tbl>
    <w:p>
      <w:pPr>
        <w:spacing w:after="0"/>
      </w:pPr>
    </w:p>
    <w:p>
      <w:pPr>
        <w:pStyle w:val="Heading1"/>
      </w:pPr>
      <w:r>
        <w:t>12. 九维风险向量与决策输出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R⃗=(R_narrative,R_language,R_creative,R_character,R_technical,R_reader,R_convergence,R_embodiment,R_ambiguity)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  <w:cantSplit/>
        </w:trPr>
        <w:tc>
          <w:tcPr>
            <w:tcW w:type="dxa" w:w="1701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5669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聚合公式</w:t>
            </w:r>
          </w:p>
        </w:tc>
        <w:tc>
          <w:tcPr>
            <w:tcW w:type="dxa" w:w="1701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理论范围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叙事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WA(J4,T4,P_s,Mb4,E_flat)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0—4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语言</w:t>
            </w:r>
          </w:p>
        </w:tc>
        <w:tc>
          <w:tcPr>
            <w:tcW w:type="dxa" w:w="56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0.35AI_R+0.35AI_S+0.30(4−L_floor)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0—4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创意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WA(Rc4,Sd_symbol,Tc4)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0—4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角色</w:t>
            </w:r>
          </w:p>
        </w:tc>
        <w:tc>
          <w:tcPr>
            <w:tcW w:type="dxa" w:w="56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WA(Vs_risk,Em4,Dc4,Ch4)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0—4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技术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WA(Sc4,Fl4,Rs4)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0—4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阅读</w:t>
            </w:r>
          </w:p>
        </w:tc>
        <w:tc>
          <w:tcPr>
            <w:tcW w:type="dxa" w:w="56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WA(Lu_risk,Rm_reward,Mw_memory)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0—4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趋同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WA(Hp4,Ss4,Us4)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0—4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肉身</w:t>
            </w:r>
          </w:p>
        </w:tc>
        <w:tc>
          <w:tcPr>
            <w:tcW w:type="dxa" w:w="56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WA(Sm_sensory,Bc4,Be_interact,Bl4)</w:t>
            </w:r>
          </w:p>
        </w:tc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0—4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留白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WA(Ie4,Me4,Ig_inference,Qc4)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0—4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  <w:cantSplit/>
        </w:trPr>
        <w:tc>
          <w:tcPr>
            <w:tcW w:type="dxa" w:w="1701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输出状态</w:t>
            </w:r>
          </w:p>
        </w:tc>
        <w:tc>
          <w:tcPr>
            <w:tcW w:type="dxa" w:w="3402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3969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动作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通过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无显著风险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保留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观察</w:t>
            </w:r>
          </w:p>
        </w:tc>
        <w:tc>
          <w:tcPr>
            <w:tcW w:type="dxa" w:w="340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1—1.9或低样本</w:t>
            </w:r>
          </w:p>
        </w:tc>
        <w:tc>
          <w:tcPr>
            <w:tcW w:type="dxa" w:w="39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继续取样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定向修复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某维度2—2.9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只修该变量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结构重写</w:t>
            </w:r>
          </w:p>
        </w:tc>
        <w:tc>
          <w:tcPr>
            <w:tcW w:type="dxa" w:w="340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硬闸门失败或风险≥3</w:t>
            </w:r>
          </w:p>
        </w:tc>
        <w:tc>
          <w:tcPr>
            <w:tcW w:type="dxa" w:w="39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重构事件、动机、规则或路径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人工裁决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指标冲突、区间宽或基线不明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保留方案并人工决定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F3F6FA"/>
            <w:tcBorders>
              <w:top w:val="single" w:sz="6" w:color="A7B7C8"/>
              <w:bottom w:val="single" w:sz="6" w:color="A7B7C8"/>
              <w:left w:val="single" w:sz="6" w:color="A7B7C8"/>
              <w:right w:val="single" w:sz="6" w:color="A7B7C8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keepLines/>
              <w:widowControl/>
              <w:jc w:val="center"/>
            </w:pPr>
            <w:r>
              <w:rPr>
                <w:rFonts w:ascii="Cambria Math" w:hAnsi="Cambria Math" w:eastAsia="Noto Serif CJK SC"/>
                <w:b/>
                <w:color w:val="23374B"/>
                <w:sz w:val="21"/>
              </w:rPr>
              <w:t>Stability = 保持同一结论的合理权重组合数/测试总数</w:t>
            </w:r>
          </w:p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color w:val="5F5F5F"/>
                <w:sz w:val="16"/>
              </w:rPr>
              <w:t>轻微改权重便翻转结论时，不自动执行。</w:t>
            </w:r>
          </w:p>
        </w:tc>
      </w:tr>
    </w:tbl>
    <w:p>
      <w:pPr>
        <w:spacing w:after="0"/>
      </w:pPr>
    </w:p>
    <w:p>
      <w:pPr>
        <w:pStyle w:val="Heading1"/>
      </w:pPr>
      <w:r>
        <w:t>13. 禁用边界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  <w:cantSplit/>
        </w:trPr>
        <w:tc>
          <w:tcPr>
            <w:tcW w:type="dxa" w:w="2835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表达</w:t>
            </w:r>
          </w:p>
        </w:tc>
        <w:tc>
          <w:tcPr>
            <w:tcW w:type="dxa" w:w="3402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判定</w:t>
            </w:r>
          </w:p>
        </w:tc>
        <w:tc>
          <w:tcPr>
            <w:tcW w:type="dxa" w:w="2835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允许替换</w:t>
            </w:r>
          </w:p>
        </w:tc>
      </w:tr>
      <w:tr>
        <w:trPr>
          <w:trHeight w:hRule="atLeast"/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“真实AI写作概率=68%”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禁止；文本无法给出真实作者身份概率。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“AI参与伪概率区间P_AI,interval*”。</w:t>
            </w:r>
          </w:p>
        </w:tc>
      </w:tr>
      <w:tr>
        <w:trPr>
          <w:trHeight w:hRule="atLeast"/>
          <w:cantSplit/>
        </w:trPr>
        <w:tc>
          <w:tcPr>
            <w:tcW w:type="dxa" w:w="2835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“纯AI概率=70%”且无版本历史</w:t>
            </w:r>
          </w:p>
        </w:tc>
        <w:tc>
          <w:tcPr>
            <w:tcW w:type="dxa" w:w="340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禁止；缺人工深修证据H_edit。</w:t>
            </w:r>
          </w:p>
        </w:tc>
        <w:tc>
          <w:tcPr>
            <w:tcW w:type="dxa" w:w="2835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P_pureAI*=NA。</w:t>
            </w:r>
          </w:p>
        </w:tc>
      </w:tr>
      <w:tr>
        <w:trPr>
          <w:trHeight w:hRule="atLeast"/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“本章商业成功率91%”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禁止；缺平台、受众和历史数据。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文本侧牵引与风险。</w:t>
            </w:r>
          </w:p>
        </w:tc>
      </w:tr>
      <w:tr>
        <w:trPr>
          <w:trHeight w:hRule="atLeast"/>
          <w:cantSplit/>
        </w:trPr>
        <w:tc>
          <w:tcPr>
            <w:tcW w:type="dxa" w:w="2835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“爽点释放多巴胺7.2”</w:t>
            </w:r>
          </w:p>
        </w:tc>
        <w:tc>
          <w:tcPr>
            <w:tcW w:type="dxa" w:w="340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禁止；无量纲和测量。</w:t>
            </w:r>
          </w:p>
        </w:tc>
        <w:tc>
          <w:tcPr>
            <w:tcW w:type="dxa" w:w="2835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爽点类型与正文证据。</w:t>
            </w:r>
          </w:p>
        </w:tc>
      </w:tr>
      <w:tr>
        <w:trPr>
          <w:trHeight w:hRule="atLeast"/>
          <w:cantSplit/>
        </w:trP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“爆点越多追读越高”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禁止；相关不等于因果。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记录间隔并用真实数据验证。</w:t>
            </w:r>
          </w:p>
        </w:tc>
      </w:tr>
      <w:tr>
        <w:trPr>
          <w:trHeight w:hRule="atLeast"/>
          <w:cantSplit/>
        </w:trPr>
        <w:tc>
          <w:tcPr>
            <w:tcW w:type="dxa" w:w="2835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“总分高即可通过”</w:t>
            </w:r>
          </w:p>
        </w:tc>
        <w:tc>
          <w:tcPr>
            <w:tcW w:type="dxa" w:w="340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禁止；会掩盖硬错误。</w:t>
            </w:r>
          </w:p>
        </w:tc>
        <w:tc>
          <w:tcPr>
            <w:tcW w:type="dxa" w:w="2835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先闸门、再短板、后区间。</w:t>
            </w:r>
          </w:p>
        </w:tc>
      </w:tr>
    </w:tbl>
    <w:p>
      <w:pPr>
        <w:spacing w:after="0"/>
      </w:pPr>
    </w:p>
    <w:p>
      <w:pPr>
        <w:pStyle w:val="Heading1"/>
      </w:pPr>
      <w:r>
        <w:t>14. 执行、校准与边界测试</w:t>
      </w:r>
    </w:p>
    <w:p>
      <w:pPr>
        <w:pStyle w:val="ListNumber"/>
        <w:spacing w:after="40"/>
      </w:pPr>
      <w:r>
        <w:rPr>
          <w:rFonts w:ascii="Aptos" w:hAnsi="Aptos" w:eastAsia="Noto Sans CJK SC"/>
          <w:sz w:val="19"/>
        </w:rPr>
        <w:t>建立句、段、场景、章节、卷等文本单位。</w:t>
      </w:r>
    </w:p>
    <w:p>
      <w:pPr>
        <w:pStyle w:val="ListNumber"/>
        <w:spacing w:after="40"/>
      </w:pPr>
      <w:r>
        <w:rPr>
          <w:rFonts w:ascii="Aptos" w:hAnsi="Aptos" w:eastAsia="Noto Sans CJK SC"/>
          <w:sz w:val="19"/>
        </w:rPr>
        <w:t>提取F0事实与全部分子/分母。</w:t>
      </w:r>
    </w:p>
    <w:p>
      <w:pPr>
        <w:pStyle w:val="ListNumber"/>
        <w:spacing w:after="40"/>
      </w:pPr>
      <w:r>
        <w:rPr>
          <w:rFonts w:ascii="Aptos" w:hAnsi="Aptos" w:eastAsia="Noto Sans CJK SC"/>
          <w:sz w:val="19"/>
        </w:rPr>
        <w:t>执行NA、低样本和适用性判断。</w:t>
      </w:r>
    </w:p>
    <w:p>
      <w:pPr>
        <w:pStyle w:val="ListNumber"/>
        <w:spacing w:after="40"/>
      </w:pPr>
      <w:r>
        <w:rPr>
          <w:rFonts w:ascii="Aptos" w:hAnsi="Aptos" w:eastAsia="Noto Sans CJK SC"/>
          <w:sz w:val="19"/>
        </w:rPr>
        <w:t>执行四个硬闸门。</w:t>
      </w:r>
    </w:p>
    <w:p>
      <w:pPr>
        <w:pStyle w:val="ListNumber"/>
        <w:spacing w:after="40"/>
      </w:pPr>
      <w:r>
        <w:rPr>
          <w:rFonts w:ascii="Aptos" w:hAnsi="Aptos" w:eastAsia="Noto Sans CJK SC"/>
          <w:sz w:val="19"/>
        </w:rPr>
        <w:t>把所有比例经Q、次数经N映射为0—4。</w:t>
      </w:r>
    </w:p>
    <w:p>
      <w:pPr>
        <w:pStyle w:val="ListNumber"/>
        <w:spacing w:after="40"/>
      </w:pPr>
      <w:r>
        <w:rPr>
          <w:rFonts w:ascii="Aptos" w:hAnsi="Aptos" w:eastAsia="Noto Sans CJK SC"/>
          <w:sz w:val="19"/>
        </w:rPr>
        <w:t>计算模块风险与AI参与伪概率区间。</w:t>
      </w:r>
    </w:p>
    <w:p>
      <w:pPr>
        <w:pStyle w:val="ListNumber"/>
        <w:spacing w:after="40"/>
      </w:pPr>
      <w:r>
        <w:rPr>
          <w:rFonts w:ascii="Aptos" w:hAnsi="Aptos" w:eastAsia="Noto Sans CJK SC"/>
          <w:sz w:val="19"/>
        </w:rPr>
        <w:t>保留正文锚点、误判条件和评审分歧。</w:t>
      </w:r>
    </w:p>
    <w:p>
      <w:pPr>
        <w:pStyle w:val="ListNumber"/>
        <w:spacing w:after="40"/>
      </w:pPr>
      <w:r>
        <w:rPr>
          <w:rFonts w:ascii="Aptos" w:hAnsi="Aptos" w:eastAsia="Noto Sans CJK SC"/>
          <w:sz w:val="19"/>
        </w:rPr>
        <w:t>按风险排序做最小修复。</w:t>
      </w:r>
    </w:p>
    <w:p>
      <w:pPr>
        <w:pStyle w:val="ListNumber"/>
        <w:spacing w:after="40"/>
      </w:pPr>
      <w:r>
        <w:rPr>
          <w:rFonts w:ascii="Aptos" w:hAnsi="Aptos" w:eastAsia="Noto Sans CJK SC"/>
          <w:sz w:val="19"/>
        </w:rPr>
        <w:t>修订前后复算。</w:t>
      </w:r>
    </w:p>
    <w:p>
      <w:pPr>
        <w:pStyle w:val="ListNumber"/>
        <w:spacing w:after="40"/>
      </w:pPr>
      <w:r>
        <w:rPr>
          <w:rFonts w:ascii="Aptos" w:hAnsi="Aptos" w:eastAsia="Noto Sans CJK SC"/>
          <w:sz w:val="19"/>
        </w:rPr>
        <w:t>用同类型人工样本、盲评和真实行为数据校准。</w:t>
      </w:r>
    </w:p>
    <w:p>
      <w:pPr>
        <w:pStyle w:val="Heading2"/>
      </w:pPr>
      <w:r>
        <w:t>14.1 校准等级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rHeight w:hRule="atLeast"/>
          <w:tblHeader w:val="true"/>
          <w:cantSplit/>
        </w:trPr>
        <w:tc>
          <w:tcPr>
            <w:tcW w:type="dxa" w:w="2268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6803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定义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C0 未校准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只有定义、初始权重和边界。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C1 章内校准</w:t>
            </w:r>
          </w:p>
        </w:tc>
        <w:tc>
          <w:tcPr>
            <w:tcW w:type="dxa" w:w="6803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能稳定区分同章版本。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C2 同类型校准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在同题材、平台、篇幅样本中有效。</w:t>
            </w:r>
          </w:p>
        </w:tc>
      </w:tr>
      <w:tr>
        <w:trPr>
          <w:trHeight w:hRule="atLeast"/>
          <w:cantSplit/>
        </w:trPr>
        <w:tc>
          <w:tcPr>
            <w:tcW w:type="dxa" w:w="2268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C3 外部验证</w:t>
            </w:r>
          </w:p>
        </w:tc>
        <w:tc>
          <w:tcPr>
            <w:tcW w:type="dxa" w:w="6803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6"/>
              </w:rPr>
              <w:t>与人工盲评、来源记录或真实行为稳定相关。</w:t>
            </w:r>
          </w:p>
        </w:tc>
      </w:tr>
    </w:tbl>
    <w:p>
      <w:pPr>
        <w:spacing w:after="0"/>
      </w:pPr>
    </w:p>
    <w:p>
      <w:pPr>
        <w:pStyle w:val="Heading2"/>
      </w:pPr>
      <w:r>
        <w:t>14.2 必须通过的边界测试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rHeight w:hRule="atLeast"/>
          <w:tblHeader w:val="true"/>
          <w:cantSplit/>
        </w:trPr>
        <w:tc>
          <w:tcPr>
            <w:tcW w:type="dxa" w:w="3969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测试</w:t>
            </w:r>
          </w:p>
        </w:tc>
        <w:tc>
          <w:tcPr>
            <w:tcW w:type="dxa" w:w="5102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预期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所有输入=0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每个聚合风险=0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所有输入=4</w:t>
            </w:r>
          </w:p>
        </w:tc>
        <w:tc>
          <w:tcPr>
            <w:tcW w:type="dxa" w:w="510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每个聚合风险=4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任一分母=0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对应项=NA，不报0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可用子项不足一半</w:t>
            </w:r>
          </w:p>
        </w:tc>
        <w:tc>
          <w:tcPr>
            <w:tcW w:type="dxa" w:w="510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模块=INSUFFICIENT_DATA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同一对话轮满足多个洁净条件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只计1轮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符号未设定</w:t>
            </w:r>
          </w:p>
        </w:tc>
        <w:tc>
          <w:tcPr>
            <w:tcW w:type="dxa" w:w="510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Sd_symbol=NA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没有版本历史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P_pureAI*=NA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正文&lt;1200字</w:t>
            </w:r>
          </w:p>
        </w:tc>
        <w:tc>
          <w:tcPr>
            <w:tcW w:type="dxa" w:w="5102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P_AI*仅观察，不正式输出</w:t>
            </w:r>
          </w:p>
        </w:tc>
      </w:tr>
      <w:tr>
        <w:trPr>
          <w:trHeight w:hRule="atLeast"/>
          <w:cantSplit/>
        </w:trPr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权重扰动±20%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报告Stability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DDEBF7"/>
            <w:tcBorders>
              <w:left w:val="single" w:sz="18" w:color="C9A227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keepLines/>
              <w:widowControl/>
            </w:pPr>
            <w:r>
              <w:rPr>
                <w:rFonts w:ascii="Aptos" w:hAnsi="Aptos" w:eastAsia="Noto Sans CJK SC"/>
                <w:b/>
                <w:color w:val="503C14"/>
                <w:sz w:val="18"/>
              </w:rPr>
              <w:t>当前验收状态：</w:t>
            </w:r>
            <w:r>
              <w:rPr>
                <w:rFonts w:ascii="Aptos" w:hAnsi="Aptos" w:eastAsia="Noto Sans CJK SC"/>
                <w:color w:val="373737"/>
                <w:sz w:val="18"/>
              </w:rPr>
              <w:t>公式尺度、符号、缺失模块和异常输入已修订；阈值与AI伪概率系数仍为C0，需样本校准后才能冻结。</w:t>
            </w:r>
          </w:p>
        </w:tc>
      </w:tr>
    </w:tbl>
    <w:p>
      <w:pPr>
        <w:spacing w:after="0"/>
      </w:pPr>
    </w:p>
    <w:p>
      <w:pPr>
        <w:pStyle w:val="Heading1"/>
      </w:pPr>
      <w:r>
        <w:t>15. 公式速查表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rHeight w:hRule="atLeast"/>
          <w:tblHeader w:val="true"/>
          <w:cantSplit/>
        </w:trPr>
        <w:tc>
          <w:tcPr>
            <w:tcW w:type="dxa" w:w="1701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领域</w:t>
            </w:r>
          </w:p>
        </w:tc>
        <w:tc>
          <w:tcPr>
            <w:tcW w:type="dxa" w:w="2551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代码</w:t>
            </w:r>
          </w:p>
        </w:tc>
        <w:tc>
          <w:tcPr>
            <w:tcW w:type="dxa" w:w="4819"/>
            <w:shd w:fill="263B5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jc w:val="center"/>
            </w:pPr>
            <w:r>
              <w:rPr>
                <w:rFonts w:ascii="Aptos" w:hAnsi="Aptos" w:eastAsia="Noto Sans CJK SC"/>
                <w:b/>
                <w:color w:val="FFFFFF"/>
                <w:sz w:val="17"/>
              </w:rPr>
              <w:t>功能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统一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Q(p)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比例转0—4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统一</w:t>
            </w:r>
          </w:p>
        </w:tc>
        <w:tc>
          <w:tcPr>
            <w:tcW w:type="dxa" w:w="255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N(x;a,b)</w:t>
            </w:r>
          </w:p>
        </w:tc>
        <w:tc>
          <w:tcPr>
            <w:tcW w:type="dxa" w:w="481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次数/密度转0—4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统一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WA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忽略NA并重归一权重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AI概率</w:t>
            </w:r>
          </w:p>
        </w:tc>
        <w:tc>
          <w:tcPr>
            <w:tcW w:type="dxa" w:w="255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P_AI*</w:t>
            </w:r>
          </w:p>
        </w:tc>
        <w:tc>
          <w:tcPr>
            <w:tcW w:type="dxa" w:w="481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AI参与迹象中心伪概率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AI概率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P_AI,interval*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含不确定度区间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闸门</w:t>
            </w:r>
          </w:p>
        </w:tc>
        <w:tc>
          <w:tcPr>
            <w:tcW w:type="dxa" w:w="255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G</w:t>
            </w:r>
          </w:p>
        </w:tc>
        <w:tc>
          <w:tcPr>
            <w:tcW w:type="dxa" w:w="481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四闸门全通过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章级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S_ch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六维章级区间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叙事</w:t>
            </w:r>
          </w:p>
        </w:tc>
        <w:tc>
          <w:tcPr>
            <w:tcW w:type="dxa" w:w="255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P_s</w:t>
            </w:r>
          </w:p>
        </w:tc>
        <w:tc>
          <w:tcPr>
            <w:tcW w:type="dxa" w:w="481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情节平滑化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语言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AI_R/AI_S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规则化/封闭化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文学</w:t>
            </w:r>
          </w:p>
        </w:tc>
        <w:tc>
          <w:tcPr>
            <w:tcW w:type="dxa" w:w="255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L_floor</w:t>
            </w:r>
          </w:p>
        </w:tc>
        <w:tc>
          <w:tcPr>
            <w:tcW w:type="dxa" w:w="481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文学表现最弱项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创意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R_creative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规则/符号/路径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角色</w:t>
            </w:r>
          </w:p>
        </w:tc>
        <w:tc>
          <w:tcPr>
            <w:tcW w:type="dxa" w:w="255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R_character</w:t>
            </w:r>
          </w:p>
        </w:tc>
        <w:tc>
          <w:tcPr>
            <w:tcW w:type="dxa" w:w="481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声音/情绪/对话/选择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技术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R_technical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状态/伏笔/随机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阅读</w:t>
            </w:r>
          </w:p>
        </w:tc>
        <w:tc>
          <w:tcPr>
            <w:tcW w:type="dxa" w:w="255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R_reader</w:t>
            </w:r>
          </w:p>
        </w:tc>
        <w:tc>
          <w:tcPr>
            <w:tcW w:type="dxa" w:w="481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负载/回报/记忆点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根层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R_convergence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概率趋同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根层</w:t>
            </w:r>
          </w:p>
        </w:tc>
        <w:tc>
          <w:tcPr>
            <w:tcW w:type="dxa" w:w="255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R_embodiment</w:t>
            </w:r>
          </w:p>
        </w:tc>
        <w:tc>
          <w:tcPr>
            <w:tcW w:type="dxa" w:w="481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肉身经验缺失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根层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R_ambiguity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留白不足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输出</w:t>
            </w:r>
          </w:p>
        </w:tc>
        <w:tc>
          <w:tcPr>
            <w:tcW w:type="dxa" w:w="2551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R⃗</w:t>
            </w:r>
          </w:p>
        </w:tc>
        <w:tc>
          <w:tcPr>
            <w:tcW w:type="dxa" w:w="4819"/>
            <w:shd w:fill="F6F8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九维风险向量</w:t>
            </w:r>
          </w:p>
        </w:tc>
      </w:tr>
      <w:tr>
        <w:trPr>
          <w:trHeight w:hRule="atLeast"/>
          <w:cantSplit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稳定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Stability</w:t>
            </w:r>
          </w:p>
        </w:tc>
        <w:tc>
          <w:tcPr>
            <w:tcW w:type="dxa" w:w="481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keepLines/>
              <w:widowControl/>
              <w:spacing w:after="0"/>
            </w:pPr>
            <w:r>
              <w:rPr>
                <w:rFonts w:ascii="Aptos" w:hAnsi="Aptos" w:eastAsia="Noto Sans CJK SC"/>
                <w:color w:val="232323"/>
                <w:sz w:val="17"/>
              </w:rPr>
              <w:t>权重敏感性</w:t>
            </w:r>
          </w:p>
        </w:tc>
      </w:tr>
    </w:tbl>
    <w:p>
      <w:pPr>
        <w:spacing w:after="0"/>
      </w:pPr>
    </w:p>
    <w:p>
      <w:pPr>
        <w:pStyle w:val="Heading1"/>
      </w:pPr>
      <w:r>
        <w:t>16. 参考依据</w:t>
      </w:r>
    </w:p>
    <w:p>
      <w:pPr>
        <w:ind w:left="142" w:hanging="142"/>
      </w:pPr>
      <w:r>
        <w:rPr>
          <w:rFonts w:ascii="Aptos" w:hAnsi="Aptos" w:eastAsia="Noto Sans CJK SC"/>
          <w:sz w:val="17"/>
        </w:rPr>
        <w:t>[1] Antonio Possolo. Simple Guide for Evaluating and Expressing the Uncertainty of NIST Measurement Results. NIST Technical Note 1900, 2015. 用于测量对象、模型、输入与不确定性边界。</w:t>
      </w:r>
    </w:p>
    <w:p>
      <w:pPr>
        <w:ind w:left="142" w:hanging="142"/>
      </w:pPr>
      <w:r>
        <w:rPr>
          <w:rFonts w:ascii="Aptos" w:hAnsi="Aptos" w:eastAsia="Noto Sans CJK SC"/>
          <w:sz w:val="17"/>
        </w:rPr>
        <w:t>[2] Jian Guan et al. OpenMEVA: A Benchmark for Evaluating Open-ended Story Generation Metrics, 2021. 用于自动故事指标与人工判断之间的限制。</w:t>
      </w:r>
    </w:p>
    <w:p>
      <w:pPr>
        <w:ind w:left="142" w:hanging="142"/>
      </w:pPr>
      <w:r>
        <w:rPr>
          <w:rFonts w:ascii="Aptos" w:hAnsi="Aptos" w:eastAsia="Noto Sans CJK SC"/>
          <w:sz w:val="17"/>
        </w:rPr>
        <w:t>[3] Jacek Karwowski et al. Goodhart’s Law in Reinforcement Learning, 2023. 用于代理指标过度优化风险。</w:t>
      </w:r>
    </w:p>
    <w:p>
      <w:pPr>
        <w:ind w:left="142" w:hanging="142"/>
      </w:pPr>
      <w:r>
        <w:rPr>
          <w:rFonts w:ascii="Aptos" w:hAnsi="Aptos" w:eastAsia="Noto Sans CJK SC"/>
          <w:sz w:val="17"/>
        </w:rPr>
        <w:t>[4] Weixin Liang et al. GPT Detectors Are Biased Against Non-Native English Writers. Patterns, 2023. 用于AI文本检测误判与公平性限制。</w:t>
      </w:r>
    </w:p>
    <w:p>
      <w:pPr>
        <w:ind w:left="142" w:hanging="142"/>
      </w:pPr>
      <w:r>
        <w:rPr>
          <w:rFonts w:ascii="Aptos" w:hAnsi="Aptos" w:eastAsia="Noto Sans CJK SC"/>
          <w:sz w:val="17"/>
        </w:rPr>
        <w:t>[5] Kalpesh Krishna et al. Paraphrasing Evades Detectors of AI-Generated Text, but Retrieval Is an Effective Defense, 2023. 用于改写规避检测的鲁棒性限制。</w:t>
      </w:r>
    </w:p>
    <w:p>
      <w:pPr>
        <w:ind w:left="142" w:hanging="142"/>
      </w:pPr>
      <w:r>
        <w:rPr>
          <w:rFonts w:ascii="Aptos" w:hAnsi="Aptos" w:eastAsia="Noto Sans CJK SC"/>
          <w:sz w:val="17"/>
        </w:rPr>
        <w:t>[6] Louis Castricato et al. Fabula Entropy Indexing: Objective Measures of Story Coherence, 2021. 用于故事连贯操作化边界。</w:t>
      </w:r>
    </w:p>
    <w:p>
      <w:pPr>
        <w:ind w:left="142" w:hanging="142"/>
      </w:pPr>
      <w:r>
        <w:rPr>
          <w:rFonts w:ascii="Aptos" w:hAnsi="Aptos" w:eastAsia="Noto Sans CJK SC"/>
          <w:sz w:val="17"/>
        </w:rPr>
        <w:t>[7] 用户提供：《AI创作6类基础问题(1).docx》。六类表层问题与三个根问题的原始问题池。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rPr>
          <w:trHeight w:hRule="atLeast"/>
          <w:cantSplit/>
        </w:trPr>
        <w:tc>
          <w:tcPr>
            <w:tcW w:type="dxa" w:w="10370"/>
            <w:shd w:fill="DDEBF7"/>
            <w:tcBorders>
              <w:left w:val="single" w:sz="18" w:color="C9A227"/>
            </w:tcBorders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keepLines/>
              <w:widowControl/>
            </w:pPr>
            <w:r>
              <w:rPr>
                <w:rFonts w:ascii="Aptos" w:hAnsi="Aptos" w:eastAsia="Noto Sans CJK SC"/>
                <w:b/>
                <w:color w:val="503C14"/>
                <w:sz w:val="18"/>
              </w:rPr>
              <w:t>最终说明：</w:t>
            </w:r>
            <w:r>
              <w:rPr>
                <w:rFonts w:ascii="Aptos" w:hAnsi="Aptos" w:eastAsia="Noto Sans CJK SC"/>
                <w:color w:val="373737"/>
                <w:sz w:val="18"/>
              </w:rPr>
              <w:t>本文档中的加权和、阈值、0—4风险与AI参与百分比均为网文分析用伪数学。功能是统一口径、定位问题、比较版本和决定动作，不是自然定律或作者身份鉴定。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935" w:bottom="879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Noto Sans CJK SC"/>
        <w:color w:val="646464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 w:eastAsia="Noto Sans CJK SC"/>
        <w:color w:val="69737D"/>
        <w:sz w:val="16"/>
      </w:rPr>
      <w:t>网文伪数学公式与功能总表 · v1.0 修订版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ptos" w:hAnsi="Aptos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 w:eastAsia="Noto Sans CJK SC"/>
      <w:b/>
      <w:bCs/>
      <w:color w:val="1F4E79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 w:eastAsia="Noto Sans CJK SC"/>
      <w:b/>
      <w:bCs/>
      <w:color w:val="2D55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 w:eastAsia="Noto Sans CJK SC"/>
      <w:b/>
      <w:bCs/>
      <w:color w:val="3C5A7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Noto Sans CJK SC"/>
      <w:b/>
      <w:color w:val="1E344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 Display" w:hAnsi="Aptos Display" w:eastAsia="Noto Sans CJK SC"/>
      <w:b/>
      <w:i/>
      <w:iCs/>
      <w:color w:val="5564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