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given DataFrame, here are some suggestions for encoding methods that can be suitable for the categorical columns: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Label Encoding: Label encoding can be used for columns where there is an inherent order or a meaningful ordinal relationship. In the given DataFrame, the 'degree' column could be encoded using label encoding since it has values like 'No Degree' and 'Degree' which can be assigned numeric labels.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One-Hot Encoding: One-hot encoding can be used for columns where there is no meaningful order and each category is distinct. In the given DataFrame, the 'domain' column could be encoded using one-hot encoding as it represents different categories of web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Binary Encoding: Binary encoding can be considered for columns with a large number of categories. Since the given DataFrame does not have such columns, binary encoding may not be necessary in this case.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Count Encoding: Count encoding can be useful to capture the frequency-based information of categorical columns. In the given DataFrame, the 'designation' column could be encoded using count encoding to represent the frequency of each designation category.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Target Encoding: Target encoding can be beneficial if the relationship between the categorical variable and the target variable is important. However, without knowing the target variable or the specific task you are trying to solve, it is difficult to determine if target encoding would be suitable for this DataFrame.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important to note that the choice of encoding method depends on the specific characteristics of your dataset and the requirements of your machine learning model. You may need to experiment with different encoding techniques and evaluate their impact on the model's performance.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