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80"/>
        <w:jc w:val="center"/>
      </w:pPr>
      <w:r>
        <w:rPr>
          <w:rFonts w:ascii="Arial" w:cs="Arial" w:eastAsia="Arial" w:hAnsi="Arial"/>
          <w:b/>
          <w:bCs/>
          <w:color w:val="555577"/>
          <w:sz w:val="26"/>
          <w:szCs w:val="26"/>
        </w:rPr>
        <w:t xml:space="preserve">PROJECT SPECIFICATION</w:t>
      </w:r>
    </w:p>
    <w:p>
      <w:pPr>
        <w:spacing w:before="0" w:after="120"/>
        <w:jc w:val="center"/>
      </w:pPr>
      <w:r>
        <w:rPr>
          <w:rFonts w:ascii="Arial" w:cs="Arial" w:eastAsia="Arial" w:hAnsi="Arial"/>
          <w:b/>
          <w:bCs/>
          <w:color w:val="1E3A5F"/>
          <w:sz w:val="72"/>
          <w:szCs w:val="72"/>
        </w:rPr>
        <w:t xml:space="preserve">SecureCollab</w:t>
      </w:r>
    </w:p>
    <w:p>
      <w:pPr>
        <w:spacing w:before="0" w:after="80"/>
        <w:jc w:val="center"/>
      </w:pPr>
      <w:r>
        <w:rPr>
          <w:rFonts w:ascii="Arial" w:cs="Arial" w:eastAsia="Arial" w:hAnsi="Arial"/>
          <w:i/>
          <w:iCs/>
          <w:color w:val="2E86AB"/>
          <w:sz w:val="32"/>
          <w:szCs w:val="32"/>
        </w:rPr>
        <w:t xml:space="preserve">Zero-Knowledge Team Messaging Infrastructure</w:t>
      </w:r>
    </w:p>
    <w:p>
      <w:pPr>
        <w:spacing w:before="0" w:after="120"/>
      </w:pPr>
      <w:r>
        <w:t xml:space="preserve"/>
      </w:r>
    </w:p>
    <w:p>
      <w:pPr>
        <w:spacing w:before="0" w:after="40"/>
        <w:jc w:val="center"/>
      </w:pPr>
      <w:r>
        <w:rPr>
          <w:rFonts w:ascii="Arial" w:cs="Arial" w:eastAsia="Arial" w:hAnsi="Arial"/>
          <w:color w:val="555577"/>
          <w:sz w:val="22"/>
          <w:szCs w:val="22"/>
        </w:rPr>
        <w:t xml:space="preserve">E2E Encrypted · Self-Hostable · On-Premises Deployable</w:t>
      </w:r>
    </w:p>
    <w:p>
      <w:pPr>
        <w:spacing w:before="0" w:after="40"/>
        <w:jc w:val="center"/>
      </w:pPr>
      <w:r>
        <w:rPr>
          <w:rFonts w:ascii="Arial" w:cs="Arial" w:eastAsia="Arial" w:hAnsi="Arial"/>
          <w:i/>
          <w:iCs/>
          <w:color w:val="555577"/>
          <w:sz w:val="20"/>
          <w:szCs w:val="20"/>
        </w:rPr>
        <w:t xml:space="preserve">Desktop App: Tauri  |  Web: Out of Scope</w:t>
      </w:r>
    </w:p>
    <w:p>
      <w:pPr>
        <w:spacing w:before="0" w:after="120"/>
      </w:pPr>
      <w:r>
        <w:t xml:space="preserve"/>
      </w:r>
    </w:p>
    <w:p>
      <w:pPr>
        <w:spacing w:before="0" w:after="40"/>
        <w:jc w:val="center"/>
      </w:pPr>
      <w:r>
        <w:rPr>
          <w:rFonts w:ascii="Arial" w:cs="Arial" w:eastAsia="Arial" w:hAnsi="Arial"/>
          <w:color w:val="555577"/>
          <w:sz w:val="20"/>
          <w:szCs w:val="20"/>
        </w:rPr>
        <w:t xml:space="preserve">Author: Muhammad Mubashir Munir Khan  |  Version 1.0  |  March 2026</w:t>
      </w:r>
    </w:p>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1. Project Overview</w:t>
      </w:r>
    </w:p>
    <w:p>
      <w:pPr>
        <w:spacing w:before="60" w:after="60"/>
      </w:pPr>
      <w:r>
        <w:rPr>
          <w:rFonts w:ascii="Arial" w:cs="Arial" w:eastAsia="Arial" w:hAnsi="Arial"/>
          <w:color w:val="1A1A2E"/>
          <w:sz w:val="22"/>
          <w:szCs w:val="22"/>
        </w:rPr>
        <w:t xml:space="preserve">SecureCollab is a production-grade, zero-knowledge team messaging platform designed to be self-hosted on-premises by organizations that cannot trust third-party messaging infrastructure. It combines Signal Protocol end-to-end encryption, a CDC-driven audit pipeline, institutional-grade rate limiting, and a Tauri-based desktop client into a single deployable stack.</w:t>
      </w:r>
    </w:p>
    <w:p>
      <w:pPr>
        <w:spacing w:before="0" w:after="120"/>
      </w:pPr>
      <w:r>
        <w:t xml:space="preserve"/>
      </w:r>
    </w:p>
    <w:p>
      <w:pPr>
        <w:spacing w:before="60" w:after="60"/>
      </w:pPr>
      <w:r>
        <w:rPr>
          <w:rFonts w:ascii="Arial" w:cs="Arial" w:eastAsia="Arial" w:hAnsi="Arial"/>
          <w:b/>
          <w:bCs/>
          <w:color w:val="1A1A2E"/>
          <w:sz w:val="22"/>
          <w:szCs w:val="22"/>
        </w:rPr>
        <w:t xml:space="preserve">This project is architected to demonstrate mastery across four high-value engineering domains simultaneously:</w:t>
      </w:r>
    </w:p>
    <w:p>
      <w:pPr>
        <w:pStyle w:val="ListParagraph"/>
        <w:numPr>
          <w:ilvl w:val="0"/>
          <w:numId w:val="2"/>
        </w:numPr>
        <w:spacing w:before="40" w:after="40"/>
      </w:pPr>
      <w:r>
        <w:rPr>
          <w:rFonts w:ascii="Arial" w:cs="Arial" w:eastAsia="Arial" w:hAnsi="Arial"/>
          <w:color w:val="1A1A2E"/>
          <w:sz w:val="21"/>
          <w:szCs w:val="21"/>
        </w:rPr>
        <w:t xml:space="preserve">Distributed systems &amp; API gateway engineering (rate limiting, routing, auth)</w:t>
      </w:r>
    </w:p>
    <w:p>
      <w:pPr>
        <w:pStyle w:val="ListParagraph"/>
        <w:numPr>
          <w:ilvl w:val="0"/>
          <w:numId w:val="2"/>
        </w:numPr>
        <w:spacing w:before="40" w:after="40"/>
      </w:pPr>
      <w:r>
        <w:rPr>
          <w:rFonts w:ascii="Arial" w:cs="Arial" w:eastAsia="Arial" w:hAnsi="Arial"/>
          <w:color w:val="1A1A2E"/>
          <w:sz w:val="21"/>
          <w:szCs w:val="21"/>
        </w:rPr>
        <w:t xml:space="preserve">Cryptographic messaging infrastructure (Signal Protocol, key management)</w:t>
      </w:r>
    </w:p>
    <w:p>
      <w:pPr>
        <w:pStyle w:val="ListParagraph"/>
        <w:numPr>
          <w:ilvl w:val="0"/>
          <w:numId w:val="2"/>
        </w:numPr>
        <w:spacing w:before="40" w:after="40"/>
      </w:pPr>
      <w:r>
        <w:rPr>
          <w:rFonts w:ascii="Arial" w:cs="Arial" w:eastAsia="Arial" w:hAnsi="Arial"/>
          <w:color w:val="1A1A2E"/>
          <w:sz w:val="21"/>
          <w:szCs w:val="21"/>
        </w:rPr>
        <w:t xml:space="preserve">Real-time data pipelines (CDC with Debezium, Kafka, ClickHouse)</w:t>
      </w:r>
    </w:p>
    <w:p>
      <w:pPr>
        <w:pStyle w:val="ListParagraph"/>
        <w:numPr>
          <w:ilvl w:val="0"/>
          <w:numId w:val="2"/>
        </w:numPr>
        <w:spacing w:before="40" w:after="40"/>
      </w:pPr>
      <w:r>
        <w:rPr>
          <w:rFonts w:ascii="Arial" w:cs="Arial" w:eastAsia="Arial" w:hAnsi="Arial"/>
          <w:color w:val="1A1A2E"/>
          <w:sz w:val="21"/>
          <w:szCs w:val="21"/>
        </w:rPr>
        <w:t xml:space="preserve">Production infrastructure (Kubernetes, Terraform, Helm, Ansible, Observability)</w:t>
      </w:r>
    </w:p>
    <w:p>
      <w:pPr>
        <w:spacing w:before="0" w:after="120"/>
      </w:pPr>
      <w:r>
        <w:t xml:space="preserve"/>
      </w:r>
    </w:p>
    <w:p>
      <w:pPr>
        <w:spacing w:before="40" w:after="40"/>
      </w:pPr>
      <w:r>
        <w:rPr>
          <w:rFonts w:ascii="Arial" w:cs="Arial" w:eastAsia="Arial" w:hAnsi="Arial"/>
          <w:i/>
          <w:iCs/>
          <w:color w:val="555577"/>
          <w:sz w:val="20"/>
          <w:szCs w:val="20"/>
        </w:rPr>
        <w:t xml:space="preserve">Web client is explicitly out of scope. All user-facing work is confined to the Tauri desktop application.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Arial" w:cs="Arial" w:eastAsia="Arial" w:hAnsi="Arial"/>
                <w:b/>
                <w:bCs/>
                <w:color w:val="FFFFFF"/>
                <w:sz w:val="22"/>
                <w:szCs w:val="22"/>
              </w:rPr>
              <w:t xml:space="preserve">Project Identity</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Project Name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SecureCollab</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Open-Source Personal / Portfolio Project</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Platform</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Desktop (Tauri) — Web is OUT OF SCOPE</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Deployment Model</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Self-hosted, on-premises via Docker Compose and Kubernetes Helm chart</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Primary Language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 (backend), Rust/TypeScript (Tauri frontend)</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Total Estimated Duration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~20–28 weeks across 5 phases</w:t>
            </w:r>
          </w:p>
        </w:tc>
      </w:tr>
      <w:tr>
        <w:tc>
          <w:tcPr>
            <w:tcW w:type="dxa" w:w="28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Resume Label</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SecureCollab — Zero-Knowledge Team Messaging Infrastructure</w:t>
            </w:r>
          </w:p>
        </w:tc>
      </w:tr>
    </w:tbl>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2. Complete Technology Stack</w:t>
      </w:r>
    </w:p>
    <w:p>
      <w:pPr>
        <w:spacing w:before="40" w:after="40"/>
      </w:pPr>
      <w:r>
        <w:rPr>
          <w:rFonts w:ascii="Arial" w:cs="Arial" w:eastAsia="Arial" w:hAnsi="Arial"/>
          <w:i/>
          <w:iCs/>
          <w:color w:val="555577"/>
          <w:sz w:val="20"/>
          <w:szCs w:val="20"/>
        </w:rPr>
        <w:t xml:space="preserve">Every technology used across all phases. This is the definitive reference — nothing is used that is not listed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Backend &amp; Core Services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Primary Language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 (Golang) — all backend microservices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API Framework</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Gin — HTTP REST API layer</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gRPC</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gRPC + protobuf — inter-service communication</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WebSockets</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Gorilla WebSocket — real-time messaging delivery</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Auth</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JWT (access + refresh tokens), PASETO v2 (server-to-server)</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Rate Limiting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Custom Go implementation — sliding window + token bucket in Redis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API Gateway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Custom-built in Go — routing, auth middleware, rate limit enforcement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Cryptography &amp; Security</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E2E Encryption</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Signal Protocol — Double Ratchet Algorithm + X3DH key exchange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MLS (Future)</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Messaging Layer Security (RFC 9420) — group key agreement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Key Storage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Zero-knowledge: private keys NEVER leave client device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Key Exchange</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Curve25519 ECDH (via libsodium bindings in Go)</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Server-Side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AES-256-GCM for at-rest metadata; server never sees plaintext messages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Transport</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TLS 1.3 (mutual TLS between services), Cert-Manager for cert automation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Desktop Client (Tauri)</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Framework</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Tauri v2 (Rust backend, webview frontend)</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Frontend (Webview)</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React + TypeScript + Tailwind CSS + ShadCN</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State Management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Zustand — client state; TanStack Query — server state &amp; caching</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Crypto in Client</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Rust crates: x25519-dalek, aes-gcm, hkdf, sha2 (via Tauri Rust backend)</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Local Storage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SQLite (via sqlx in Rust) — encrypted message cache &amp; key store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Build/Packaging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Tauri bundler — .msi (Windows), .dmg (macOS), .AppImage (Linux)</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Messaging &amp; Real-Time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Message Broker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Apache Kafka — event backbone for all system events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Kafka Schema</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Confluent Schema Registry + Avro — typed event schemas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WebSocket Gateway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 Go service — fan-out message delivery to connected clients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Presence System</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Redis Pub/Sub — online/offline/typing indicators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Push Delivery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Kafka consumer group per workspace — guaranteed delivery ordering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Databases &amp; Storage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Primary DB</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PostgreSQL 16 — users, workspaces, channels, message metadata (never plaintext)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Cache / Rate Limit</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Redis 7 — rate limit counters (sliding window), sessions, presence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Analytics DB</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ClickHouse — append-only analytics events from CDC pipeline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Search</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Meilisearch — encrypted-metadata search (no plaintext content indexed)</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File Storage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MinIO (S3-compatible, self-hosted) — encrypted file attachments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ORM / Migrations</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sqlc (Go) + golang-migrate — type-safe queries, versioned schemas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CDC &amp; Analytics Pipeline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CDC Tool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Debezium (Kafka Connect plugin) — captures PostgreSQL WAL changes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Transport</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Kafka — CDC events flow: Postgres → Debezium → Kafka → ClickHouse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Sink Connector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ClickHouse Kafka Connect sink — consumes CDC events into ClickHouse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Analytics Layer</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ClickHouse — message volume, user activity, workspace KPIs (no plaintext)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Schema Registry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Confluent Schema Registry — Avro schemas for CDC event types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Infrastructure &amp; Cloud</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Containerization</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Docker + Docker Compose (local dev &amp; single-node on-prem deploy)</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Orchestration</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Kubernetes (K3s for on-prem, EKS for cloud reference deploy)</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Helm</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Helm charts — all services packaged for one-command deployment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IaC</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Terraform — VPC, EKS/EC2, RDS, ElastiCache, MSK, MinIO, security groups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Config Mgmt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Ansible — automated server provisioning, K3s cluster setup, cert install</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Service Mesh</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Istio (lightweight) OR Linkerd — mTLS between pods, traffic policies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Ingress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Nginx Ingress Controller — TLS termination, routing rules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Secrets</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HashiCorp Vault — dynamic secrets, PKI, Kafka credentials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Cert Automation</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cert-manager — automatic TLS cert issuance + renewal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Observability Stack</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Metrics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Prometheus — scrapes all services via /metrics endpoint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Dashboards</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Grafana — system metrics, business KPIs, rate limit graphs, Kafka lag</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Log Aggregation</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Loki + Promtail — structured JSON logs from all services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Tracing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OpenTelemetry (OTLP) + Jaeger — distributed trace across all services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Alerting</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Grafana Alerting — PagerDuty/webhook alerts on error rate, latency SLOs</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Error Tracking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Sentry (self-hosted) — runtime error aggregation per service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DevOps &amp; CI/CD</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CI/CD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GitHub Actions — lint, test, build, Docker push, Helm deploy on merge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Container Registry</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GitHub Container Registry (GHCR) — Docker image storage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Load Testing</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k6 — load tests for API gateway, WebSocket connections, Kafka throughput</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Testing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Go testing package + testify — unit &amp; integration tests per service</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Code Quality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golangci-lint, staticcheck, gosec — enforced in CI</w:t>
            </w:r>
          </w:p>
        </w:tc>
      </w:tr>
      <w:tr>
        <w:tc>
          <w:tcPr>
            <w:tcW w:type="dxa" w:w="2600"/>
            <w:tcBorders>
              <w:top w:val="single" w:color="DDDDDD" w:sz="1"/>
              <w:left w:val="single" w:color="DDDDDD" w:sz="1"/>
              <w:bottom w:val="single" w:color="DDDDDD" w:sz="1"/>
              <w:right w:val="single" w:color="DDDDDD"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API Testing</w:t>
            </w:r>
          </w:p>
        </w:tc>
        <w:tc>
          <w:tcPr>
            <w:tcW w:type="dxa" w:w="6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20"/>
                <w:szCs w:val="20"/>
              </w:rPr>
              <w:t xml:space="preserve">Postman / Bruno collections — all API endpoints documented &amp; testable</w:t>
            </w:r>
          </w:p>
        </w:tc>
      </w:tr>
    </w:tbl>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3. System Architecture</w:t>
      </w:r>
    </w:p>
    <w:p>
      <w:pPr>
        <w:spacing w:before="60" w:after="60"/>
      </w:pPr>
      <w:r>
        <w:rPr>
          <w:rFonts w:ascii="Arial" w:cs="Arial" w:eastAsia="Arial" w:hAnsi="Arial"/>
          <w:color w:val="1A1A2E"/>
          <w:sz w:val="22"/>
          <w:szCs w:val="22"/>
        </w:rPr>
        <w:t xml:space="preserve">SecureCollab follows a microservices architecture with a clear separation between the zero-knowledge client layer and the server layer. The server processes only encrypted ciphertext and metadata — it never has access to plaintext messages or private keys.</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3.1 Services Map</w:t>
      </w:r>
    </w:p>
    <w:p>
      <w:pPr>
        <w:pStyle w:val="ListParagraph"/>
        <w:numPr>
          <w:ilvl w:val="0"/>
          <w:numId w:val="2"/>
        </w:numPr>
        <w:spacing w:before="40" w:after="40"/>
      </w:pPr>
      <w:r>
        <w:rPr>
          <w:rFonts w:ascii="Arial" w:cs="Arial" w:eastAsia="Arial" w:hAnsi="Arial"/>
          <w:color w:val="1A1A2E"/>
          <w:sz w:val="21"/>
          <w:szCs w:val="21"/>
        </w:rPr>
        <w:t xml:space="preserve">API Gateway (Go/Gin) — single entry point, rate limiting, auth verification, routing</w:t>
      </w:r>
    </w:p>
    <w:p>
      <w:pPr>
        <w:pStyle w:val="ListParagraph"/>
        <w:numPr>
          <w:ilvl w:val="0"/>
          <w:numId w:val="2"/>
        </w:numPr>
        <w:spacing w:before="40" w:after="40"/>
      </w:pPr>
      <w:r>
        <w:rPr>
          <w:rFonts w:ascii="Arial" w:cs="Arial" w:eastAsia="Arial" w:hAnsi="Arial"/>
          <w:color w:val="1A1A2E"/>
          <w:sz w:val="21"/>
          <w:szCs w:val="21"/>
        </w:rPr>
        <w:t xml:space="preserve">Auth Service (Go) — registration, login, JWT issuance, key bundle upload</w:t>
      </w:r>
    </w:p>
    <w:p>
      <w:pPr>
        <w:pStyle w:val="ListParagraph"/>
        <w:numPr>
          <w:ilvl w:val="0"/>
          <w:numId w:val="2"/>
        </w:numPr>
        <w:spacing w:before="40" w:after="40"/>
      </w:pPr>
      <w:r>
        <w:rPr>
          <w:rFonts w:ascii="Arial" w:cs="Arial" w:eastAsia="Arial" w:hAnsi="Arial"/>
          <w:color w:val="1A1A2E"/>
          <w:sz w:val="21"/>
          <w:szCs w:val="21"/>
        </w:rPr>
        <w:t xml:space="preserve">Messaging Service (Go) — encrypted message ingestion, Kafka publish, WebSocket fan-out</w:t>
      </w:r>
    </w:p>
    <w:p>
      <w:pPr>
        <w:pStyle w:val="ListParagraph"/>
        <w:numPr>
          <w:ilvl w:val="0"/>
          <w:numId w:val="2"/>
        </w:numPr>
        <w:spacing w:before="40" w:after="40"/>
      </w:pPr>
      <w:r>
        <w:rPr>
          <w:rFonts w:ascii="Arial" w:cs="Arial" w:eastAsia="Arial" w:hAnsi="Arial"/>
          <w:color w:val="1A1A2E"/>
          <w:sz w:val="21"/>
          <w:szCs w:val="21"/>
        </w:rPr>
        <w:t xml:space="preserve">Key Distribution Service (Go) — Signal Protocol prekey bundle distribution (zero-trust)</w:t>
      </w:r>
    </w:p>
    <w:p>
      <w:pPr>
        <w:pStyle w:val="ListParagraph"/>
        <w:numPr>
          <w:ilvl w:val="0"/>
          <w:numId w:val="2"/>
        </w:numPr>
        <w:spacing w:before="40" w:after="40"/>
      </w:pPr>
      <w:r>
        <w:rPr>
          <w:rFonts w:ascii="Arial" w:cs="Arial" w:eastAsia="Arial" w:hAnsi="Arial"/>
          <w:color w:val="1A1A2E"/>
          <w:sz w:val="21"/>
          <w:szCs w:val="21"/>
        </w:rPr>
        <w:t xml:space="preserve">Channel Service (Go) — workspace/channel CRUD, membership management</w:t>
      </w:r>
    </w:p>
    <w:p>
      <w:pPr>
        <w:pStyle w:val="ListParagraph"/>
        <w:numPr>
          <w:ilvl w:val="0"/>
          <w:numId w:val="2"/>
        </w:numPr>
        <w:spacing w:before="40" w:after="40"/>
      </w:pPr>
      <w:r>
        <w:rPr>
          <w:rFonts w:ascii="Arial" w:cs="Arial" w:eastAsia="Arial" w:hAnsi="Arial"/>
          <w:color w:val="1A1A2E"/>
          <w:sz w:val="21"/>
          <w:szCs w:val="21"/>
        </w:rPr>
        <w:t xml:space="preserve">File Service (Go) — client-encrypted file upload/download via MinIO</w:t>
      </w:r>
    </w:p>
    <w:p>
      <w:pPr>
        <w:pStyle w:val="ListParagraph"/>
        <w:numPr>
          <w:ilvl w:val="0"/>
          <w:numId w:val="2"/>
        </w:numPr>
        <w:spacing w:before="40" w:after="40"/>
      </w:pPr>
      <w:r>
        <w:rPr>
          <w:rFonts w:ascii="Arial" w:cs="Arial" w:eastAsia="Arial" w:hAnsi="Arial"/>
          <w:color w:val="1A1A2E"/>
          <w:sz w:val="21"/>
          <w:szCs w:val="21"/>
        </w:rPr>
        <w:t xml:space="preserve">Notification Service (Go) — Kafka consumer, push/in-app notification delivery</w:t>
      </w:r>
    </w:p>
    <w:p>
      <w:pPr>
        <w:pStyle w:val="ListParagraph"/>
        <w:numPr>
          <w:ilvl w:val="0"/>
          <w:numId w:val="2"/>
        </w:numPr>
        <w:spacing w:before="40" w:after="40"/>
      </w:pPr>
      <w:r>
        <w:rPr>
          <w:rFonts w:ascii="Arial" w:cs="Arial" w:eastAsia="Arial" w:hAnsi="Arial"/>
          <w:color w:val="1A1A2E"/>
          <w:sz w:val="21"/>
          <w:szCs w:val="21"/>
        </w:rPr>
        <w:t xml:space="preserve">Analytics Service (Go) — ClickHouse query layer, exposes dashboard APIs</w:t>
      </w:r>
    </w:p>
    <w:p>
      <w:pPr>
        <w:pStyle w:val="ListParagraph"/>
        <w:numPr>
          <w:ilvl w:val="0"/>
          <w:numId w:val="2"/>
        </w:numPr>
        <w:spacing w:before="40" w:after="40"/>
      </w:pPr>
      <w:r>
        <w:rPr>
          <w:rFonts w:ascii="Arial" w:cs="Arial" w:eastAsia="Arial" w:hAnsi="Arial"/>
          <w:color w:val="1A1A2E"/>
          <w:sz w:val="21"/>
          <w:szCs w:val="21"/>
        </w:rPr>
        <w:t xml:space="preserve">CDC Pipeline (Debezium + Kafka) — PostgreSQL WAL → Kafka → ClickHouse</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3.2 Zero-Knowledge Guarantee</w:t>
      </w:r>
    </w:p>
    <w:p>
      <w:pPr>
        <w:spacing w:before="60" w:after="60"/>
      </w:pPr>
      <w:r>
        <w:rPr>
          <w:rFonts w:ascii="Arial" w:cs="Arial" w:eastAsia="Arial" w:hAnsi="Arial"/>
          <w:color w:val="1A1A2E"/>
          <w:sz w:val="22"/>
          <w:szCs w:val="22"/>
        </w:rPr>
        <w:t xml:space="preserve">The most critical architectural constraint: the server is cryptographically unable to read message content.</w:t>
      </w:r>
    </w:p>
    <w:p>
      <w:pPr>
        <w:pStyle w:val="ListParagraph"/>
        <w:numPr>
          <w:ilvl w:val="0"/>
          <w:numId w:val="2"/>
        </w:numPr>
        <w:spacing w:before="40" w:after="40"/>
      </w:pPr>
      <w:r>
        <w:rPr>
          <w:rFonts w:ascii="Arial" w:cs="Arial" w:eastAsia="Arial" w:hAnsi="Arial"/>
          <w:color w:val="1A1A2E"/>
          <w:sz w:val="21"/>
          <w:szCs w:val="21"/>
        </w:rPr>
        <w:t xml:space="preserve">Client generates Curve25519 identity key pair locally (Tauri Rust layer)</w:t>
      </w:r>
    </w:p>
    <w:p>
      <w:pPr>
        <w:pStyle w:val="ListParagraph"/>
        <w:numPr>
          <w:ilvl w:val="0"/>
          <w:numId w:val="2"/>
        </w:numPr>
        <w:spacing w:before="40" w:after="40"/>
      </w:pPr>
      <w:r>
        <w:rPr>
          <w:rFonts w:ascii="Arial" w:cs="Arial" w:eastAsia="Arial" w:hAnsi="Arial"/>
          <w:color w:val="1A1A2E"/>
          <w:sz w:val="21"/>
          <w:szCs w:val="21"/>
        </w:rPr>
        <w:t xml:space="preserve">X3DH key exchange establishes shared session keys between clients only</w:t>
      </w:r>
    </w:p>
    <w:p>
      <w:pPr>
        <w:pStyle w:val="ListParagraph"/>
        <w:numPr>
          <w:ilvl w:val="0"/>
          <w:numId w:val="2"/>
        </w:numPr>
        <w:spacing w:before="40" w:after="40"/>
      </w:pPr>
      <w:r>
        <w:rPr>
          <w:rFonts w:ascii="Arial" w:cs="Arial" w:eastAsia="Arial" w:hAnsi="Arial"/>
          <w:color w:val="1A1A2E"/>
          <w:sz w:val="21"/>
          <w:szCs w:val="21"/>
        </w:rPr>
        <w:t xml:space="preserve">Double Ratchet advances keys per-message — compromise of one key exposes only that message</w:t>
      </w:r>
    </w:p>
    <w:p>
      <w:pPr>
        <w:pStyle w:val="ListParagraph"/>
        <w:numPr>
          <w:ilvl w:val="0"/>
          <w:numId w:val="2"/>
        </w:numPr>
        <w:spacing w:before="40" w:after="40"/>
      </w:pPr>
      <w:r>
        <w:rPr>
          <w:rFonts w:ascii="Arial" w:cs="Arial" w:eastAsia="Arial" w:hAnsi="Arial"/>
          <w:color w:val="1A1A2E"/>
          <w:sz w:val="21"/>
          <w:szCs w:val="21"/>
        </w:rPr>
        <w:t xml:space="preserve">Server stores and relays only ciphertext byte blobs — zero plaintext exposure</w:t>
      </w:r>
    </w:p>
    <w:p>
      <w:pPr>
        <w:pStyle w:val="ListParagraph"/>
        <w:numPr>
          <w:ilvl w:val="0"/>
          <w:numId w:val="2"/>
        </w:numPr>
        <w:spacing w:before="40" w:after="40"/>
      </w:pPr>
      <w:r>
        <w:rPr>
          <w:rFonts w:ascii="Arial" w:cs="Arial" w:eastAsia="Arial" w:hAnsi="Arial"/>
          <w:color w:val="1A1A2E"/>
          <w:sz w:val="21"/>
          <w:szCs w:val="21"/>
        </w:rPr>
        <w:t xml:space="preserve">CDC audit log captures metadata events only — message content field is always NULL on server</w:t>
      </w:r>
    </w:p>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4. Development Phases</w:t>
      </w:r>
    </w:p>
    <w:p>
      <w:pPr>
        <w:spacing w:before="40" w:after="40"/>
      </w:pPr>
      <w:r>
        <w:rPr>
          <w:rFonts w:ascii="Arial" w:cs="Arial" w:eastAsia="Arial" w:hAnsi="Arial"/>
          <w:i/>
          <w:iCs/>
          <w:color w:val="555577"/>
          <w:sz w:val="20"/>
          <w:szCs w:val="20"/>
        </w:rPr>
        <w:t xml:space="preserve">Each phase produces a standalone, functional milestone. Never leave a phase 'half-done' — complete the milestone before advancing.</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Phase 1 — Foundation &amp; API Gateway</w:t>
      </w:r>
    </w:p>
    <w:p>
      <w:pPr>
        <w:spacing w:before="40" w:after="40"/>
      </w:pPr>
      <w:r>
        <w:rPr>
          <w:rFonts w:ascii="Arial" w:cs="Arial" w:eastAsia="Arial" w:hAnsi="Arial"/>
          <w:i/>
          <w:iCs/>
          <w:color w:val="555577"/>
          <w:sz w:val="20"/>
          <w:szCs w:val="20"/>
        </w:rPr>
        <w:t xml:space="preserve">Duration: ~3–4 weeks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gridSpan w:val="3"/>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AACCEE"/>
                <w:sz w:val="24"/>
                <w:szCs w:val="24"/>
              </w:rPr>
              <w:t xml:space="preserve">PHASE 1: </w:t>
            </w:r>
            <w:r>
              <w:rPr>
                <w:rFonts w:ascii="Arial" w:cs="Arial" w:eastAsia="Arial" w:hAnsi="Arial"/>
                <w:b/>
                <w:bCs/>
                <w:color w:val="FFFFFF"/>
                <w:sz w:val="24"/>
                <w:szCs w:val="24"/>
              </w:rPr>
              <w:t xml:space="preserve">Foundation &amp; API Gateway</w:t>
            </w:r>
            <w:r>
              <w:rPr>
                <w:rFonts w:ascii="Arial" w:cs="Arial" w:eastAsia="Arial" w:hAnsi="Arial"/>
                <w:color w:val="BBDDEE"/>
                <w:sz w:val="20"/>
                <w:szCs w:val="20"/>
              </w:rPr>
              <w:t xml:space="preserve">  •  3–4 weeks</w:t>
            </w:r>
          </w:p>
        </w:tc>
      </w:tr>
      <w:tr>
        <w:tc>
          <w:tcPr>
            <w:gridSpan w:val="3"/>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Arial" w:cs="Arial" w:eastAsia="Arial" w:hAnsi="Arial"/>
                <w:b/>
                <w:bCs/>
                <w:color w:val="1E3A5F"/>
                <w:sz w:val="20"/>
                <w:szCs w:val="20"/>
              </w:rPr>
              <w:t xml:space="preserve">Phase Goal: </w:t>
            </w:r>
            <w:r>
              <w:rPr>
                <w:rFonts w:ascii="Arial" w:cs="Arial" w:eastAsia="Arial" w:hAnsi="Arial"/>
                <w:color w:val="1A1A2E"/>
                <w:sz w:val="20"/>
                <w:szCs w:val="20"/>
              </w:rPr>
              <w:t xml:space="preserve">A production-ready API Gateway in Go with custom rate limiting (sliding window + token bucket) backed by Redis, JWT auth middleware, and full observability. This phase alone demonstrates the Distributed Rate Limiter project requirement.</w:t>
            </w:r>
          </w:p>
        </w:tc>
      </w:tr>
      <w:tr>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Component</w:t>
            </w:r>
          </w:p>
        </w:tc>
        <w:tc>
          <w:tcPr>
            <w:tcW w:type="dxa" w:w="376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Tech Stack</w:t>
            </w:r>
          </w:p>
        </w:tc>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Mono-repo Setup</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workspaces, Makefile, golangci-lint, GitHub Actions CI</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Bootstrapped repo with CI passing</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PostgreSQL Schema</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PostgreSQL 16, golang-migrate, sqlc</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Versioned schema: users, workspaces, channels, keys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Redis Setup</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Redis 7, go-redis/v9</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Redis running, connection pooling configured</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Auth Service</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Gin, JWT, bcrypt, PASETO</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Register/login/refresh endpoints with tested JWT flow</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API Gateway Core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Gin, reverse proxy middleware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Request routing to downstream services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Rate Limiter — Sliding Window</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Redis (sorted sets), Lua scripts</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Per-user/IP sliding window with atomic Redis Lua</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Rate Limiter — Token Bucket</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Redis (hash), atomic operations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Burst-capable token bucket for bot/API consumers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Auth Middleware</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middleware, JWT validation</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All routes protected; unauthenticated requests rejected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Prometheus Metrics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prometheus/client_golang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/metrics exposed: request count, latency, rate limit hits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Grafana Dashboard</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Grafana, Prometheus datasource</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Live dashboard: RPS, P95 latency, rate limit heatmap</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Structured Logging</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Zap logger, Loki, Promtail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JSON logs shipping to Loki, queryable in Grafana</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k6 Load Test</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k6, JavaScript test scripts</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Load test proves rate limiter correctness under 1K RPS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Docker Compose Stack</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Docker, docker-compose.yml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Single command spins up: Postgres, Redis, Gateway, Grafana</w:t>
            </w:r>
          </w:p>
        </w:tc>
      </w:tr>
      <w:tr>
        <w:tc>
          <w:tcPr>
            <w:gridSpan w:val="3"/>
            <w:tcBorders>
              <w:top w:val="single" w:color="1B6B3A" w:sz="1"/>
              <w:left w:val="single" w:color="1B6B3A" w:sz="1"/>
              <w:bottom w:val="single" w:color="1B6B3A" w:sz="1"/>
              <w:right w:val="single" w:color="1B6B3A" w:sz="1"/>
            </w:tcBorders>
            <w:shd w:fill="D4EDDA" w:val="clear"/>
            <w:tcMar>
              <w:top w:type="dxa" w:w="100"/>
              <w:left w:type="dxa" w:w="160"/>
              <w:bottom w:type="dxa" w:w="100"/>
              <w:right w:type="dxa" w:w="160"/>
            </w:tcMar>
          </w:tcPr>
          <w:p>
            <w:r>
              <w:rPr>
                <w:rFonts w:ascii="Arial" w:cs="Arial" w:eastAsia="Arial" w:hAnsi="Arial"/>
                <w:b/>
                <w:bCs/>
                <w:color w:val="1B6B3A"/>
                <w:sz w:val="21"/>
                <w:szCs w:val="21"/>
              </w:rPr>
              <w:t xml:space="preserve">✅ PHASE MILESTONE: </w:t>
            </w:r>
            <w:r>
              <w:rPr>
                <w:rFonts w:ascii="Arial" w:cs="Arial" w:eastAsia="Arial" w:hAnsi="Arial"/>
                <w:b/>
                <w:bCs/>
                <w:color w:val="1B6B3A"/>
                <w:sz w:val="21"/>
                <w:szCs w:val="21"/>
              </w:rPr>
              <w:t xml:space="preserve">API Gateway accepts 1K+ RPS, correctly enforces both rate limiting algorithms, all endpoints are authenticated, Grafana dashboard is live, k6 test passes with 0 errors.</w:t>
            </w:r>
          </w:p>
        </w:tc>
      </w:tr>
    </w:tbl>
    <w:p>
      <w:pPr>
        <w:spacing w:before="0" w:after="240"/>
      </w:pPr>
      <w:r>
        <w:t xml:space="preserve"/>
      </w:r>
    </w:p>
    <w:p>
      <w:pPr>
        <w:pStyle w:val="Heading2"/>
        <w:spacing w:before="280" w:after="80"/>
      </w:pPr>
      <w:r>
        <w:rPr>
          <w:rFonts w:ascii="Arial" w:cs="Arial" w:eastAsia="Arial" w:hAnsi="Arial"/>
          <w:b/>
          <w:bCs/>
          <w:color w:val="2E86AB"/>
          <w:sz w:val="28"/>
          <w:szCs w:val="28"/>
        </w:rPr>
        <w:t xml:space="preserve">Phase 2 — Cryptographic Messaging Core</w:t>
      </w:r>
    </w:p>
    <w:p>
      <w:pPr>
        <w:spacing w:before="40" w:after="40"/>
      </w:pPr>
      <w:r>
        <w:rPr>
          <w:rFonts w:ascii="Arial" w:cs="Arial" w:eastAsia="Arial" w:hAnsi="Arial"/>
          <w:i/>
          <w:iCs/>
          <w:color w:val="555577"/>
          <w:sz w:val="20"/>
          <w:szCs w:val="20"/>
        </w:rPr>
        <w:t xml:space="preserve">Duration: ~5–6 weeks  |  Hardest phase — allocate extra time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gridSpan w:val="3"/>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AACCEE"/>
                <w:sz w:val="24"/>
                <w:szCs w:val="24"/>
              </w:rPr>
              <w:t xml:space="preserve">PHASE 2: </w:t>
            </w:r>
            <w:r>
              <w:rPr>
                <w:rFonts w:ascii="Arial" w:cs="Arial" w:eastAsia="Arial" w:hAnsi="Arial"/>
                <w:b/>
                <w:bCs/>
                <w:color w:val="FFFFFF"/>
                <w:sz w:val="24"/>
                <w:szCs w:val="24"/>
              </w:rPr>
              <w:t xml:space="preserve">Cryptographic Messaging Core</w:t>
            </w:r>
            <w:r>
              <w:rPr>
                <w:rFonts w:ascii="Arial" w:cs="Arial" w:eastAsia="Arial" w:hAnsi="Arial"/>
                <w:color w:val="BBDDEE"/>
                <w:sz w:val="20"/>
                <w:szCs w:val="20"/>
              </w:rPr>
              <w:t xml:space="preserve">  •  5–6 weeks</w:t>
            </w:r>
          </w:p>
        </w:tc>
      </w:tr>
      <w:tr>
        <w:tc>
          <w:tcPr>
            <w:gridSpan w:val="3"/>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Arial" w:cs="Arial" w:eastAsia="Arial" w:hAnsi="Arial"/>
                <w:b/>
                <w:bCs/>
                <w:color w:val="1E3A5F"/>
                <w:sz w:val="20"/>
                <w:szCs w:val="20"/>
              </w:rPr>
              <w:t xml:space="preserve">Phase Goal: </w:t>
            </w:r>
            <w:r>
              <w:rPr>
                <w:rFonts w:ascii="Arial" w:cs="Arial" w:eastAsia="Arial" w:hAnsi="Arial"/>
                <w:color w:val="1A1A2E"/>
                <w:sz w:val="20"/>
                <w:szCs w:val="20"/>
              </w:rPr>
              <w:t xml:space="preserve">Full Signal Protocol implementation: X3DH key exchange, Double Ratchet message encryption, Key Distribution Service, and real-time WebSocket delivery. The server becomes provably zero-knowledge — it cannot read any message.</w:t>
            </w:r>
          </w:p>
        </w:tc>
      </w:tr>
      <w:tr>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Component</w:t>
            </w:r>
          </w:p>
        </w:tc>
        <w:tc>
          <w:tcPr>
            <w:tcW w:type="dxa" w:w="376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Tech Stack</w:t>
            </w:r>
          </w:p>
        </w:tc>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Tauri Project Bootstrap</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Tauri v2, Rust, React, TypeScript, Tailwind, ShadCN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Tauri app shell: login screen, workspace sidebar, channel view</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Client Crypto (Rust)</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x25519-dalek, aes-gcm, hkdf, sha2, rand_core</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Rust module: key generation, X3DH, Double Ratchet (tested)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SQLite Key Store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SQLite via sqlx in Rust, encrypted at rest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Private keys stored locally — never sent to server</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Key Distribution Service</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Gin, PostgreSQL (stores only public keys)</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Upload prekey bundle; fetch recipient's public key bundle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Messaging Service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Gin, PostgreSQL, Kafka producer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Accepts encrypted blob, stores ciphertext, publishes to Kafka</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WebSocket Gateway</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Gorilla WebSocket, Redis Pub/Sub</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Authenticated WS connections; fan-out to online recipients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Kafka Integration</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Apache Kafka, confluent-kafka-go, Avro schemas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Message events flowing: Messaging Service → Kafka → WS Gateway</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Schema Registry</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Confluent Schema Registry, Avro</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All Kafka event types have versioned Avro schemas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E2E Encryption Flow</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Tauri Rust + Key Distribution Service + Messaging Service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Alice sends encrypted message; Bob decrypts on his device only</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Presence System</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Redis Pub/Sub, Go, WebSocket</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Online/offline/typing indicators working in Tauri UI</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OpenTelemetry Tracing</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otel-go, Jaeger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Distributed traces: Gateway → Messaging → Kafka → WS Gateway</w:t>
            </w:r>
          </w:p>
        </w:tc>
      </w:tr>
      <w:tr>
        <w:tc>
          <w:tcPr>
            <w:gridSpan w:val="3"/>
            <w:tcBorders>
              <w:top w:val="single" w:color="1B6B3A" w:sz="1"/>
              <w:left w:val="single" w:color="1B6B3A" w:sz="1"/>
              <w:bottom w:val="single" w:color="1B6B3A" w:sz="1"/>
              <w:right w:val="single" w:color="1B6B3A" w:sz="1"/>
            </w:tcBorders>
            <w:shd w:fill="D4EDDA" w:val="clear"/>
            <w:tcMar>
              <w:top w:type="dxa" w:w="100"/>
              <w:left w:type="dxa" w:w="160"/>
              <w:bottom w:type="dxa" w:w="100"/>
              <w:right w:type="dxa" w:w="160"/>
            </w:tcMar>
          </w:tcPr>
          <w:p>
            <w:r>
              <w:rPr>
                <w:rFonts w:ascii="Arial" w:cs="Arial" w:eastAsia="Arial" w:hAnsi="Arial"/>
                <w:b/>
                <w:bCs/>
                <w:color w:val="1B6B3A"/>
                <w:sz w:val="21"/>
                <w:szCs w:val="21"/>
              </w:rPr>
              <w:t xml:space="preserve">✅ PHASE MILESTONE: </w:t>
            </w:r>
            <w:r>
              <w:rPr>
                <w:rFonts w:ascii="Arial" w:cs="Arial" w:eastAsia="Arial" w:hAnsi="Arial"/>
                <w:b/>
                <w:bCs/>
                <w:color w:val="1B6B3A"/>
                <w:sz w:val="21"/>
                <w:szCs w:val="21"/>
              </w:rPr>
              <w:t xml:space="preserve">A message sent from one Tauri instance is received by another Tauri instance, fully decrypted on the recipient's device. The server's database contains ZERO plaintext. Jaeger shows full distributed trace. Verified via Wireshark/DB inspection.</w:t>
            </w:r>
          </w:p>
        </w:tc>
      </w:tr>
    </w:tbl>
    <w:p>
      <w:pPr>
        <w:spacing w:before="0" w:after="240"/>
      </w:pPr>
      <w:r>
        <w:t xml:space="preserve"/>
      </w:r>
    </w:p>
    <w:p>
      <w:pPr>
        <w:pStyle w:val="Heading2"/>
        <w:spacing w:before="280" w:after="80"/>
      </w:pPr>
      <w:r>
        <w:rPr>
          <w:rFonts w:ascii="Arial" w:cs="Arial" w:eastAsia="Arial" w:hAnsi="Arial"/>
          <w:b/>
          <w:bCs/>
          <w:color w:val="2E86AB"/>
          <w:sz w:val="28"/>
          <w:szCs w:val="28"/>
        </w:rPr>
        <w:t xml:space="preserve">Phase 3 — CDC Analytics Pipeline</w:t>
      </w:r>
    </w:p>
    <w:p>
      <w:pPr>
        <w:spacing w:before="40" w:after="40"/>
      </w:pPr>
      <w:r>
        <w:rPr>
          <w:rFonts w:ascii="Arial" w:cs="Arial" w:eastAsia="Arial" w:hAnsi="Arial"/>
          <w:i/>
          <w:iCs/>
          <w:color w:val="555577"/>
          <w:sz w:val="20"/>
          <w:szCs w:val="20"/>
        </w:rPr>
        <w:t xml:space="preserve">Duration: ~3–4 weeks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gridSpan w:val="3"/>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AACCEE"/>
                <w:sz w:val="24"/>
                <w:szCs w:val="24"/>
              </w:rPr>
              <w:t xml:space="preserve">PHASE 3: </w:t>
            </w:r>
            <w:r>
              <w:rPr>
                <w:rFonts w:ascii="Arial" w:cs="Arial" w:eastAsia="Arial" w:hAnsi="Arial"/>
                <w:b/>
                <w:bCs/>
                <w:color w:val="FFFFFF"/>
                <w:sz w:val="24"/>
                <w:szCs w:val="24"/>
              </w:rPr>
              <w:t xml:space="preserve">CDC Analytics Pipeline</w:t>
            </w:r>
            <w:r>
              <w:rPr>
                <w:rFonts w:ascii="Arial" w:cs="Arial" w:eastAsia="Arial" w:hAnsi="Arial"/>
                <w:color w:val="BBDDEE"/>
                <w:sz w:val="20"/>
                <w:szCs w:val="20"/>
              </w:rPr>
              <w:t xml:space="preserve">  •  3–4 weeks</w:t>
            </w:r>
          </w:p>
        </w:tc>
      </w:tr>
      <w:tr>
        <w:tc>
          <w:tcPr>
            <w:gridSpan w:val="3"/>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Arial" w:cs="Arial" w:eastAsia="Arial" w:hAnsi="Arial"/>
                <w:b/>
                <w:bCs/>
                <w:color w:val="1E3A5F"/>
                <w:sz w:val="20"/>
                <w:szCs w:val="20"/>
              </w:rPr>
              <w:t xml:space="preserve">Phase Goal: </w:t>
            </w:r>
            <w:r>
              <w:rPr>
                <w:rFonts w:ascii="Arial" w:cs="Arial" w:eastAsia="Arial" w:hAnsi="Arial"/>
                <w:color w:val="1A1A2E"/>
                <w:sz w:val="20"/>
                <w:szCs w:val="20"/>
              </w:rPr>
              <w:t xml:space="preserve">A complete Change Data Capture pipeline: Debezium reads PostgreSQL WAL, publishes events to Kafka, ClickHouse consumes them for real-time analytics. Zero plaintext in the analytics layer. This phase demonstrates the CDC Pipeline project requirement.</w:t>
            </w:r>
          </w:p>
        </w:tc>
      </w:tr>
      <w:tr>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Component</w:t>
            </w:r>
          </w:p>
        </w:tc>
        <w:tc>
          <w:tcPr>
            <w:tcW w:type="dxa" w:w="376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Tech Stack</w:t>
            </w:r>
          </w:p>
        </w:tc>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Debezium Setup</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Debezium PostgreSQL connector, Kafka Connect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Debezium captures INSERT/UPDATE/DELETE from Postgres WAL</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Kafka Connect Stack</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Kafka Connect distributed mode, connector REST API</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Connectors manageable via REST; schema evolution handled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ClickHouse Setup</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ClickHouse server, ClickHouse Keeper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ClickHouse running, tables defined: message_events, user_events, workspace_events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ClickHouse Kafka Sink</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ClickHouse Kafka engine / Kafka Connect ClickHouse sink</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CDC events land in ClickHouse within 1–2 seconds of DB write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Analytics Service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Gin, ClickHouse Go driver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REST API: message volume, active users, channel activity (no content)</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Grafana Analytics Board</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Grafana, ClickHouse datasource plugin</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Real-time workspace analytics dashboard (privacy-preserving)</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Schema Evolution Test</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Debezium schema history, Schema Registry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Adding a column to Postgres does not break the pipeline</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Backpressure Handling</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Kafka consumer lag monitoring, Prometheus</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Consumer lag alert fires when ClickHouse sink falls behind</w:t>
            </w:r>
          </w:p>
        </w:tc>
      </w:tr>
      <w:tr>
        <w:tc>
          <w:tcPr>
            <w:gridSpan w:val="3"/>
            <w:tcBorders>
              <w:top w:val="single" w:color="1B6B3A" w:sz="1"/>
              <w:left w:val="single" w:color="1B6B3A" w:sz="1"/>
              <w:bottom w:val="single" w:color="1B6B3A" w:sz="1"/>
              <w:right w:val="single" w:color="1B6B3A" w:sz="1"/>
            </w:tcBorders>
            <w:shd w:fill="D4EDDA" w:val="clear"/>
            <w:tcMar>
              <w:top w:type="dxa" w:w="100"/>
              <w:left w:type="dxa" w:w="160"/>
              <w:bottom w:type="dxa" w:w="100"/>
              <w:right w:type="dxa" w:w="160"/>
            </w:tcMar>
          </w:tcPr>
          <w:p>
            <w:r>
              <w:rPr>
                <w:rFonts w:ascii="Arial" w:cs="Arial" w:eastAsia="Arial" w:hAnsi="Arial"/>
                <w:b/>
                <w:bCs/>
                <w:color w:val="1B6B3A"/>
                <w:sz w:val="21"/>
                <w:szCs w:val="21"/>
              </w:rPr>
              <w:t xml:space="preserve">✅ PHASE MILESTONE: </w:t>
            </w:r>
            <w:r>
              <w:rPr>
                <w:rFonts w:ascii="Arial" w:cs="Arial" w:eastAsia="Arial" w:hAnsi="Arial"/>
                <w:b/>
                <w:bCs/>
                <w:color w:val="1B6B3A"/>
                <w:sz w:val="21"/>
                <w:szCs w:val="21"/>
              </w:rPr>
              <w:t xml:space="preserve">A new message sent in the Tauri app appears as an analytics event in ClickHouse within 2 seconds. Grafana analytics dashboard shows live workspace KPIs. Schema evolution test passes. Consumer lag monitored and alerted.</w:t>
            </w:r>
          </w:p>
        </w:tc>
      </w:tr>
    </w:tbl>
    <w:p>
      <w:pPr>
        <w:spacing w:before="0" w:after="240"/>
      </w:pPr>
      <w:r>
        <w:t xml:space="preserve"/>
      </w:r>
    </w:p>
    <w:p>
      <w:pPr>
        <w:pStyle w:val="Heading2"/>
        <w:spacing w:before="280" w:after="80"/>
      </w:pPr>
      <w:r>
        <w:rPr>
          <w:rFonts w:ascii="Arial" w:cs="Arial" w:eastAsia="Arial" w:hAnsi="Arial"/>
          <w:b/>
          <w:bCs/>
          <w:color w:val="2E86AB"/>
          <w:sz w:val="28"/>
          <w:szCs w:val="28"/>
        </w:rPr>
        <w:t xml:space="preserve">Phase 4 — Production Features &amp; Hardening</w:t>
      </w:r>
    </w:p>
    <w:p>
      <w:pPr>
        <w:spacing w:before="40" w:after="40"/>
      </w:pPr>
      <w:r>
        <w:rPr>
          <w:rFonts w:ascii="Arial" w:cs="Arial" w:eastAsia="Arial" w:hAnsi="Arial"/>
          <w:i/>
          <w:iCs/>
          <w:color w:val="555577"/>
          <w:sz w:val="20"/>
          <w:szCs w:val="20"/>
        </w:rPr>
        <w:t xml:space="preserve">Duration: ~4–5 weeks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gridSpan w:val="3"/>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AACCEE"/>
                <w:sz w:val="24"/>
                <w:szCs w:val="24"/>
              </w:rPr>
              <w:t xml:space="preserve">PHASE 4: </w:t>
            </w:r>
            <w:r>
              <w:rPr>
                <w:rFonts w:ascii="Arial" w:cs="Arial" w:eastAsia="Arial" w:hAnsi="Arial"/>
                <w:b/>
                <w:bCs/>
                <w:color w:val="FFFFFF"/>
                <w:sz w:val="24"/>
                <w:szCs w:val="24"/>
              </w:rPr>
              <w:t xml:space="preserve">Production Features &amp; Hardening</w:t>
            </w:r>
            <w:r>
              <w:rPr>
                <w:rFonts w:ascii="Arial" w:cs="Arial" w:eastAsia="Arial" w:hAnsi="Arial"/>
                <w:color w:val="BBDDEE"/>
                <w:sz w:val="20"/>
                <w:szCs w:val="20"/>
              </w:rPr>
              <w:t xml:space="preserve">  •  4–5 weeks</w:t>
            </w:r>
          </w:p>
        </w:tc>
      </w:tr>
      <w:tr>
        <w:tc>
          <w:tcPr>
            <w:gridSpan w:val="3"/>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Arial" w:cs="Arial" w:eastAsia="Arial" w:hAnsi="Arial"/>
                <w:b/>
                <w:bCs/>
                <w:color w:val="1E3A5F"/>
                <w:sz w:val="20"/>
                <w:szCs w:val="20"/>
              </w:rPr>
              <w:t xml:space="preserve">Phase Goal: </w:t>
            </w:r>
            <w:r>
              <w:rPr>
                <w:rFonts w:ascii="Arial" w:cs="Arial" w:eastAsia="Arial" w:hAnsi="Arial"/>
                <w:color w:val="1A1A2E"/>
                <w:sz w:val="20"/>
                <w:szCs w:val="20"/>
              </w:rPr>
              <w:t xml:space="preserve">File sharing, search, notifications, advanced security hardening, and full test coverage. The system becomes feature-complete and production-safe.</w:t>
            </w:r>
          </w:p>
        </w:tc>
      </w:tr>
      <w:tr>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Component</w:t>
            </w:r>
          </w:p>
        </w:tc>
        <w:tc>
          <w:tcPr>
            <w:tcW w:type="dxa" w:w="376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Tech Stack</w:t>
            </w:r>
          </w:p>
        </w:tc>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File Service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MinIO (S3-compatible, self-hosted), client-side AES-256-GCM</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Files encrypted on client before upload; server stores ciphertext blobs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Meilisearch Integration</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Meilisearch, Go client</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Search over channel names, user names, metadata — never message content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Notification Service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Kafka consumer, in-app WebSocket push</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Mention/reply notifications delivered in real-time via WebSocket</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HashiCorp Vault</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Vault server, Go Vault SDK, Kubernetes auth method</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All service secrets (DB passwords, Kafka creds) injected via Vault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Cert-Manager</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cert-manager, Let's Encrypt / self-signed CA</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Automatic TLS cert issuance for all ingress endpoints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Istio / Linkerd mTLS</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Istio or Linkerd service mesh</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All pod-to-pod traffic encrypted via mTLS; no plaintext inside cluster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Security Hardening</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Go net/http security headers, CORS, CSRF, input sanitisation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OWASP Top 10 checklist reviewed and addressed per service</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Integration Test Suite</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Go testing, testcontainers-go, Docker</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Full E2E test: user registration → key exchange → send message → receive → decrypt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k6 Full Load Test</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k6 scenarios: WS connections, file upload, message burst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System sustains 500 concurrent WS connections, P95 &lt; 100ms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Sentry Self-Hosted</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Sentry (Docker), Go Sentry SDK</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Runtime errors from all services visible in Sentry with stack traces</w:t>
            </w:r>
          </w:p>
        </w:tc>
      </w:tr>
      <w:tr>
        <w:tc>
          <w:tcPr>
            <w:gridSpan w:val="3"/>
            <w:tcBorders>
              <w:top w:val="single" w:color="1B6B3A" w:sz="1"/>
              <w:left w:val="single" w:color="1B6B3A" w:sz="1"/>
              <w:bottom w:val="single" w:color="1B6B3A" w:sz="1"/>
              <w:right w:val="single" w:color="1B6B3A" w:sz="1"/>
            </w:tcBorders>
            <w:shd w:fill="D4EDDA" w:val="clear"/>
            <w:tcMar>
              <w:top w:type="dxa" w:w="100"/>
              <w:left w:type="dxa" w:w="160"/>
              <w:bottom w:type="dxa" w:w="100"/>
              <w:right w:type="dxa" w:w="160"/>
            </w:tcMar>
          </w:tcPr>
          <w:p>
            <w:r>
              <w:rPr>
                <w:rFonts w:ascii="Arial" w:cs="Arial" w:eastAsia="Arial" w:hAnsi="Arial"/>
                <w:b/>
                <w:bCs/>
                <w:color w:val="1B6B3A"/>
                <w:sz w:val="21"/>
                <w:szCs w:val="21"/>
              </w:rPr>
              <w:t xml:space="preserve">✅ PHASE MILESTONE: </w:t>
            </w:r>
            <w:r>
              <w:rPr>
                <w:rFonts w:ascii="Arial" w:cs="Arial" w:eastAsia="Arial" w:hAnsi="Arial"/>
                <w:b/>
                <w:bCs/>
                <w:color w:val="1B6B3A"/>
                <w:sz w:val="21"/>
                <w:szCs w:val="21"/>
              </w:rPr>
              <w:t xml:space="preserve">Full integration test suite passes. 500 concurrent WebSocket connections sustained. All secrets managed via Vault. mTLS enforced between all pods. Sentry capturing errors. k6 P95 latency under 100ms.</w:t>
            </w:r>
          </w:p>
        </w:tc>
      </w:tr>
    </w:tbl>
    <w:p>
      <w:pPr>
        <w:spacing w:before="0" w:after="240"/>
      </w:pPr>
      <w:r>
        <w:t xml:space="preserve"/>
      </w:r>
    </w:p>
    <w:p>
      <w:pPr>
        <w:pStyle w:val="Heading2"/>
        <w:spacing w:before="280" w:after="80"/>
      </w:pPr>
      <w:r>
        <w:rPr>
          <w:rFonts w:ascii="Arial" w:cs="Arial" w:eastAsia="Arial" w:hAnsi="Arial"/>
          <w:b/>
          <w:bCs/>
          <w:color w:val="2E86AB"/>
          <w:sz w:val="28"/>
          <w:szCs w:val="28"/>
        </w:rPr>
        <w:t xml:space="preserve">Phase 5 — On-Premises Packaging &amp; Release</w:t>
      </w:r>
    </w:p>
    <w:p>
      <w:pPr>
        <w:spacing w:before="40" w:after="40"/>
      </w:pPr>
      <w:r>
        <w:rPr>
          <w:rFonts w:ascii="Arial" w:cs="Arial" w:eastAsia="Arial" w:hAnsi="Arial"/>
          <w:i/>
          <w:iCs/>
          <w:color w:val="555577"/>
          <w:sz w:val="20"/>
          <w:szCs w:val="20"/>
        </w:rPr>
        <w:t xml:space="preserve">Duration: ~3–4 weeks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gridSpan w:val="3"/>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AACCEE"/>
                <w:sz w:val="24"/>
                <w:szCs w:val="24"/>
              </w:rPr>
              <w:t xml:space="preserve">PHASE 5: </w:t>
            </w:r>
            <w:r>
              <w:rPr>
                <w:rFonts w:ascii="Arial" w:cs="Arial" w:eastAsia="Arial" w:hAnsi="Arial"/>
                <w:b/>
                <w:bCs/>
                <w:color w:val="FFFFFF"/>
                <w:sz w:val="24"/>
                <w:szCs w:val="24"/>
              </w:rPr>
              <w:t xml:space="preserve">On-Premises Packaging &amp; Release</w:t>
            </w:r>
            <w:r>
              <w:rPr>
                <w:rFonts w:ascii="Arial" w:cs="Arial" w:eastAsia="Arial" w:hAnsi="Arial"/>
                <w:color w:val="BBDDEE"/>
                <w:sz w:val="20"/>
                <w:szCs w:val="20"/>
              </w:rPr>
              <w:t xml:space="preserve">  •  3–4 weeks</w:t>
            </w:r>
          </w:p>
        </w:tc>
      </w:tr>
      <w:tr>
        <w:tc>
          <w:tcPr>
            <w:gridSpan w:val="3"/>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Arial" w:cs="Arial" w:eastAsia="Arial" w:hAnsi="Arial"/>
                <w:b/>
                <w:bCs/>
                <w:color w:val="1E3A5F"/>
                <w:sz w:val="20"/>
                <w:szCs w:val="20"/>
              </w:rPr>
              <w:t xml:space="preserve">Phase Goal: </w:t>
            </w:r>
            <w:r>
              <w:rPr>
                <w:rFonts w:ascii="Arial" w:cs="Arial" w:eastAsia="Arial" w:hAnsi="Arial"/>
                <w:color w:val="1A1A2E"/>
                <w:sz w:val="20"/>
                <w:szCs w:val="20"/>
              </w:rPr>
              <w:t xml:space="preserve">Package the entire system for one-command self-hosted deployment. Publish Helm chart, Terraform modules, Ansible playbooks. Build and release Tauri desktop binaries. Write operator documentation.</w:t>
            </w:r>
          </w:p>
        </w:tc>
      </w:tr>
      <w:tr>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Component</w:t>
            </w:r>
          </w:p>
        </w:tc>
        <w:tc>
          <w:tcPr>
            <w:tcW w:type="dxa" w:w="376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Tech Stack</w:t>
            </w:r>
          </w:p>
        </w:tc>
        <w:tc>
          <w:tcPr>
            <w:tcW w:type="dxa" w:w="2800"/>
            <w:tcBorders>
              <w:top w:val="single" w:color="2E86AB" w:sz="1"/>
              <w:left w:val="single" w:color="2E86AB" w:sz="1"/>
              <w:bottom w:val="single" w:color="2E86AB" w:sz="1"/>
              <w:right w:val="single" w:color="2E86AB" w:sz="1"/>
            </w:tcBorders>
            <w:shd w:fill="D0E8F2" w:val="clear"/>
            <w:tcMar>
              <w:top w:type="dxa" w:w="60"/>
              <w:left w:type="dxa" w:w="120"/>
              <w:bottom w:type="dxa" w:w="60"/>
              <w:right w:type="dxa" w:w="120"/>
            </w:tcMar>
          </w:tcPr>
          <w:p>
            <w:r>
              <w:rPr>
                <w:rFonts w:ascii="Arial" w:cs="Arial" w:eastAsia="Arial" w:hAnsi="Arial"/>
                <w:b/>
                <w:bCs/>
                <w:color w:val="1E3A5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Helm Chart (Full Stack)</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Helm v3, Kubernetes manifests, values.yaml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Single helm install deploys: all services, Kafka, Postgres, Redis, ClickHouse, Vault, Grafana</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Terraform Modules</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Terraform, AWS provider (EKS, RDS, MSK, ElastiCache, S3)</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terraform apply provisions full cloud-hosted reference environment on AWS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Ansible Playbooks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Ansible, SSH provisioning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Playbooks: K3s cluster setup, cert install, Vault init, initial admin user</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Docker Compose (Single Node)</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Docker Compose v2</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docker compose up starts complete stack on a single Linux server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Tauri Desktop Build</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Tauri v2 bundler, GitHub Actions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Signed .msi, .dmg, .AppImage built and published in GitHub Releases</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GitHub Actions Release CI</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GitHub Actions, GHCR, Helm chart museum</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Tag push triggers: Docker build+push, Helm package+publish, Tauri binary release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Operator Documentation</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Markdown, MkDocs or Docusaurus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Docs: prerequisites, install guide, key rotation, backup/restore, upgrade path</w:t>
            </w:r>
          </w:p>
        </w:tc>
      </w:tr>
      <w:tr>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b/>
                <w:bCs/>
                <w:color w:val="1E3A5F"/>
                <w:sz w:val="19"/>
                <w:szCs w:val="19"/>
              </w:rPr>
              <w:t xml:space="preserve">Performance Benchmarks</w:t>
            </w:r>
          </w:p>
        </w:tc>
        <w:tc>
          <w:tcPr>
            <w:tcW w:type="dxa" w:w="376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i/>
                <w:iCs/>
                <w:color w:val="555577"/>
                <w:sz w:val="19"/>
                <w:szCs w:val="19"/>
              </w:rPr>
              <w:t xml:space="preserve">k6, Grafana, ClickHouse queries</w:t>
            </w:r>
          </w:p>
        </w:tc>
        <w:tc>
          <w:tcPr>
            <w:tcW w:type="dxa" w:w="2800"/>
            <w:tcBorders>
              <w:top w:val="single" w:color="DDDDDD" w:sz="1"/>
              <w:left w:val="single" w:color="DDDDDD" w:sz="1"/>
              <w:bottom w:val="single" w:color="DDDDDD" w:sz="1"/>
              <w:right w:val="single" w:color="DDDDDD" w:sz="1"/>
            </w:tcBorders>
            <w:shd w:fill="F7FBFE" w:val="clear"/>
            <w:tcMar>
              <w:top w:type="dxa" w:w="60"/>
              <w:left w:type="dxa" w:w="120"/>
              <w:bottom w:type="dxa" w:w="60"/>
              <w:right w:type="dxa" w:w="120"/>
            </w:tcMar>
          </w:tcPr>
          <w:p>
            <w:r>
              <w:rPr>
                <w:rFonts w:ascii="Arial" w:cs="Arial" w:eastAsia="Arial" w:hAnsi="Arial"/>
                <w:color w:val="1A1A2E"/>
                <w:sz w:val="19"/>
                <w:szCs w:val="19"/>
              </w:rPr>
              <w:t xml:space="preserve">Published benchmark report: throughput, latency, Kafka lag, ClickHouse ingest rate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README &amp; Architecture Diagram</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i/>
                <w:iCs/>
                <w:color w:val="555577"/>
                <w:sz w:val="19"/>
                <w:szCs w:val="19"/>
              </w:rPr>
              <w:t xml:space="preserve">Markdown, Excalidraw / draw.io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Architecture diagram, tech badges, quickstart in README</w:t>
            </w:r>
          </w:p>
        </w:tc>
      </w:tr>
      <w:tr>
        <w:tc>
          <w:tcPr>
            <w:gridSpan w:val="3"/>
            <w:tcBorders>
              <w:top w:val="single" w:color="1B6B3A" w:sz="1"/>
              <w:left w:val="single" w:color="1B6B3A" w:sz="1"/>
              <w:bottom w:val="single" w:color="1B6B3A" w:sz="1"/>
              <w:right w:val="single" w:color="1B6B3A" w:sz="1"/>
            </w:tcBorders>
            <w:shd w:fill="D4EDDA" w:val="clear"/>
            <w:tcMar>
              <w:top w:type="dxa" w:w="100"/>
              <w:left w:type="dxa" w:w="160"/>
              <w:bottom w:type="dxa" w:w="100"/>
              <w:right w:type="dxa" w:w="160"/>
            </w:tcMar>
          </w:tcPr>
          <w:p>
            <w:r>
              <w:rPr>
                <w:rFonts w:ascii="Arial" w:cs="Arial" w:eastAsia="Arial" w:hAnsi="Arial"/>
                <w:b/>
                <w:bCs/>
                <w:color w:val="1B6B3A"/>
                <w:sz w:val="21"/>
                <w:szCs w:val="21"/>
              </w:rPr>
              <w:t xml:space="preserve">✅ PHASE MILESTONE: </w:t>
            </w:r>
            <w:r>
              <w:rPr>
                <w:rFonts w:ascii="Arial" w:cs="Arial" w:eastAsia="Arial" w:hAnsi="Arial"/>
                <w:b/>
                <w:bCs/>
                <w:color w:val="1B6B3A"/>
                <w:sz w:val="21"/>
                <w:szCs w:val="21"/>
              </w:rPr>
              <w:t xml:space="preserve">A fresh Linux server runs: git clone + docker compose up = fully operational SecureCollab instance. Tauri binaries available for download on GitHub Releases. Helm chart deployable to any Kubernetes cluster in one command. Architecture diagram published.</w:t>
            </w:r>
          </w:p>
        </w:tc>
      </w:tr>
    </w:tbl>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5. Resume Entries</w:t>
      </w:r>
    </w:p>
    <w:p>
      <w:pPr>
        <w:spacing w:before="40" w:after="40"/>
      </w:pPr>
      <w:r>
        <w:rPr>
          <w:rFonts w:ascii="Arial" w:cs="Arial" w:eastAsia="Arial" w:hAnsi="Arial"/>
          <w:i/>
          <w:iCs/>
          <w:color w:val="555577"/>
          <w:sz w:val="20"/>
          <w:szCs w:val="20"/>
        </w:rPr>
        <w:t xml:space="preserve">Copy these verbatim into your resume LaTeX once each phase is complete.</w:t>
      </w:r>
    </w:p>
    <w:p>
      <w:pPr>
        <w:spacing w:before="0" w:after="120"/>
      </w:pPr>
      <w:r>
        <w:t xml:space="preserve"/>
      </w:r>
    </w:p>
    <w:p>
      <w:pPr>
        <w:pStyle w:val="Heading3"/>
        <w:spacing w:before="200" w:after="60"/>
      </w:pPr>
      <w:r>
        <w:rPr>
          <w:rFonts w:ascii="Arial" w:cs="Arial" w:eastAsia="Arial" w:hAnsi="Arial"/>
          <w:b/>
          <w:bCs/>
          <w:color w:val="1E3A5F"/>
          <w:sz w:val="24"/>
          <w:szCs w:val="24"/>
        </w:rPr>
        <w:t xml:space="preserve">After Phase 1 (API Gateway complete)</w:t>
      </w:r>
    </w:p>
    <w:p>
      <w:pPr>
        <w:spacing w:before="60" w:after="60"/>
      </w:pPr>
      <w:r>
        <w:rPr>
          <w:rFonts w:ascii="Arial" w:cs="Arial" w:eastAsia="Arial" w:hAnsi="Arial"/>
          <w:b/>
          <w:bCs/>
          <w:color w:val="1A1A2E"/>
          <w:sz w:val="22"/>
          <w:szCs w:val="22"/>
        </w:rPr>
        <w:t xml:space="preserve">SecureCollab — Zero-Knowledge Team Messaging Infrastructure</w:t>
      </w:r>
    </w:p>
    <w:p>
      <w:pPr>
        <w:pStyle w:val="ListParagraph"/>
        <w:numPr>
          <w:ilvl w:val="0"/>
          <w:numId w:val="2"/>
        </w:numPr>
        <w:spacing w:before="40" w:after="40"/>
      </w:pPr>
      <w:r>
        <w:rPr>
          <w:rFonts w:ascii="Arial" w:cs="Arial" w:eastAsia="Arial" w:hAnsi="Arial"/>
          <w:color w:val="1A1A2E"/>
          <w:sz w:val="21"/>
          <w:szCs w:val="21"/>
        </w:rPr>
        <w:t xml:space="preserve">Built a production-grade custom API Gateway in Go with dual rate limiting algorithms (sliding window + token bucket) backed by Redis Lua scripts, sustaining 1K+ RPS with 0 errors under k6 load test.</w:t>
      </w:r>
    </w:p>
    <w:p>
      <w:pPr>
        <w:pStyle w:val="ListParagraph"/>
        <w:numPr>
          <w:ilvl w:val="0"/>
          <w:numId w:val="2"/>
        </w:numPr>
        <w:spacing w:before="40" w:after="40"/>
      </w:pPr>
      <w:r>
        <w:rPr>
          <w:rFonts w:ascii="Arial" w:cs="Arial" w:eastAsia="Arial" w:hAnsi="Arial"/>
          <w:color w:val="1A1A2E"/>
          <w:sz w:val="21"/>
          <w:szCs w:val="21"/>
        </w:rPr>
        <w:t xml:space="preserve">Implemented per-user and per-IP rate limiting with atomic Redis operations, exposing Prometheus metrics and live Grafana dashboards.</w:t>
      </w:r>
    </w:p>
    <w:p>
      <w:pPr>
        <w:spacing w:before="0" w:after="120"/>
      </w:pPr>
      <w:r>
        <w:t xml:space="preserve"/>
      </w:r>
    </w:p>
    <w:p>
      <w:pPr>
        <w:pStyle w:val="Heading3"/>
        <w:spacing w:before="200" w:after="60"/>
      </w:pPr>
      <w:r>
        <w:rPr>
          <w:rFonts w:ascii="Arial" w:cs="Arial" w:eastAsia="Arial" w:hAnsi="Arial"/>
          <w:b/>
          <w:bCs/>
          <w:color w:val="1E3A5F"/>
          <w:sz w:val="24"/>
          <w:szCs w:val="24"/>
        </w:rPr>
        <w:t xml:space="preserve">After Phase 2 (E2E Encryption complete)</w:t>
      </w:r>
    </w:p>
    <w:p>
      <w:pPr>
        <w:pStyle w:val="ListParagraph"/>
        <w:numPr>
          <w:ilvl w:val="0"/>
          <w:numId w:val="2"/>
        </w:numPr>
        <w:spacing w:before="40" w:after="40"/>
      </w:pPr>
      <w:r>
        <w:rPr>
          <w:rFonts w:ascii="Arial" w:cs="Arial" w:eastAsia="Arial" w:hAnsi="Arial"/>
          <w:color w:val="1A1A2E"/>
          <w:sz w:val="21"/>
          <w:szCs w:val="21"/>
        </w:rPr>
        <w:t xml:space="preserve">Implemented Signal Protocol (X3DH + Double Ratchet) in Rust (Tauri), achieving cryptographic zero-knowledge: server stores only ciphertext, private keys never leave the device.</w:t>
      </w:r>
    </w:p>
    <w:p>
      <w:pPr>
        <w:pStyle w:val="ListParagraph"/>
        <w:numPr>
          <w:ilvl w:val="0"/>
          <w:numId w:val="2"/>
        </w:numPr>
        <w:spacing w:before="40" w:after="40"/>
      </w:pPr>
      <w:r>
        <w:rPr>
          <w:rFonts w:ascii="Arial" w:cs="Arial" w:eastAsia="Arial" w:hAnsi="Arial"/>
          <w:color w:val="1A1A2E"/>
          <w:sz w:val="21"/>
          <w:szCs w:val="21"/>
        </w:rPr>
        <w:t xml:space="preserve">Built WebSocket fan-out gateway in Go with Kafka event backbone and Redis Pub/Sub presence system for real-time message delivery.</w:t>
      </w:r>
    </w:p>
    <w:p>
      <w:pPr>
        <w:spacing w:before="0" w:after="120"/>
      </w:pPr>
      <w:r>
        <w:t xml:space="preserve"/>
      </w:r>
    </w:p>
    <w:p>
      <w:pPr>
        <w:pStyle w:val="Heading3"/>
        <w:spacing w:before="200" w:after="60"/>
      </w:pPr>
      <w:r>
        <w:rPr>
          <w:rFonts w:ascii="Arial" w:cs="Arial" w:eastAsia="Arial" w:hAnsi="Arial"/>
          <w:b/>
          <w:bCs/>
          <w:color w:val="1E3A5F"/>
          <w:sz w:val="24"/>
          <w:szCs w:val="24"/>
        </w:rPr>
        <w:t xml:space="preserve">After Phase 3 (CDC Pipeline complete)</w:t>
      </w:r>
    </w:p>
    <w:p>
      <w:pPr>
        <w:pStyle w:val="ListParagraph"/>
        <w:numPr>
          <w:ilvl w:val="0"/>
          <w:numId w:val="2"/>
        </w:numPr>
        <w:spacing w:before="40" w:after="40"/>
      </w:pPr>
      <w:r>
        <w:rPr>
          <w:rFonts w:ascii="Arial" w:cs="Arial" w:eastAsia="Arial" w:hAnsi="Arial"/>
          <w:color w:val="1A1A2E"/>
          <w:sz w:val="21"/>
          <w:szCs w:val="21"/>
        </w:rPr>
        <w:t xml:space="preserve">Architected a CDC analytics pipeline: Debezium captures PostgreSQL WAL → Kafka → ClickHouse, delivering analytics events within 2s of DB write across 3 event types.</w:t>
      </w:r>
    </w:p>
    <w:p>
      <w:pPr>
        <w:pStyle w:val="ListParagraph"/>
        <w:numPr>
          <w:ilvl w:val="0"/>
          <w:numId w:val="2"/>
        </w:numPr>
        <w:spacing w:before="40" w:after="40"/>
      </w:pPr>
      <w:r>
        <w:rPr>
          <w:rFonts w:ascii="Arial" w:cs="Arial" w:eastAsia="Arial" w:hAnsi="Arial"/>
          <w:color w:val="1A1A2E"/>
          <w:sz w:val="21"/>
          <w:szCs w:val="21"/>
        </w:rPr>
        <w:t xml:space="preserve">Built privacy-preserving real-time analytics dashboard in Grafana over ClickHouse — zero plaintext in the analytics layer by design.</w:t>
      </w:r>
    </w:p>
    <w:p>
      <w:pPr>
        <w:spacing w:before="0" w:after="120"/>
      </w:pPr>
      <w:r>
        <w:t xml:space="preserve"/>
      </w:r>
    </w:p>
    <w:p>
      <w:pPr>
        <w:pStyle w:val="Heading3"/>
        <w:spacing w:before="200" w:after="60"/>
      </w:pPr>
      <w:r>
        <w:rPr>
          <w:rFonts w:ascii="Arial" w:cs="Arial" w:eastAsia="Arial" w:hAnsi="Arial"/>
          <w:b/>
          <w:bCs/>
          <w:color w:val="1E3A5F"/>
          <w:sz w:val="24"/>
          <w:szCs w:val="24"/>
        </w:rPr>
        <w:t xml:space="preserve">After Phase 5 (Full release)</w:t>
      </w:r>
    </w:p>
    <w:p>
      <w:pPr>
        <w:pStyle w:val="ListParagraph"/>
        <w:numPr>
          <w:ilvl w:val="0"/>
          <w:numId w:val="2"/>
        </w:numPr>
        <w:spacing w:before="40" w:after="40"/>
      </w:pPr>
      <w:r>
        <w:rPr>
          <w:rFonts w:ascii="Arial" w:cs="Arial" w:eastAsia="Arial" w:hAnsi="Arial"/>
          <w:color w:val="1A1A2E"/>
          <w:sz w:val="21"/>
          <w:szCs w:val="21"/>
        </w:rPr>
        <w:t xml:space="preserve">Packaged full stack as a Helm chart + Terraform modules + Ansible playbooks for one-command on-premises deployment on Kubernetes (K3s).</w:t>
      </w:r>
    </w:p>
    <w:p>
      <w:pPr>
        <w:pStyle w:val="ListParagraph"/>
        <w:numPr>
          <w:ilvl w:val="0"/>
          <w:numId w:val="2"/>
        </w:numPr>
        <w:spacing w:before="40" w:after="40"/>
      </w:pPr>
      <w:r>
        <w:rPr>
          <w:rFonts w:ascii="Arial" w:cs="Arial" w:eastAsia="Arial" w:hAnsi="Arial"/>
          <w:color w:val="1A1A2E"/>
          <w:sz w:val="21"/>
          <w:szCs w:val="21"/>
        </w:rPr>
        <w:t xml:space="preserve">Shipped cross-platform Tauri desktop binaries (.msi, .dmg, .AppImage) via automated GitHub Actions release pipeline.</w:t>
      </w:r>
    </w:p>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6. Explicit Scope Boundaries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6B3A" w:sz="1"/>
              <w:left w:val="single" w:color="1B6B3A" w:sz="1"/>
              <w:bottom w:val="single" w:color="1B6B3A" w:sz="1"/>
              <w:right w:val="single" w:color="1B6B3A" w:sz="1"/>
            </w:tcBorders>
            <w:shd w:fill="1B6B3A"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IN SCOPE</w:t>
            </w:r>
          </w:p>
        </w:tc>
        <w:tc>
          <w:tcPr>
            <w:tcBorders>
              <w:top w:val="single" w:color="721C24" w:sz="1"/>
              <w:left w:val="single" w:color="721C24" w:sz="1"/>
              <w:bottom w:val="single" w:color="721C24" w:sz="1"/>
              <w:right w:val="single" w:color="721C24" w:sz="1"/>
            </w:tcBorders>
            <w:shd w:fill="721C24"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OUT OF SCOPE</w:t>
            </w:r>
          </w:p>
        </w:tc>
      </w:tr>
      <w:tr>
        <w:tc>
          <w:tcPr>
            <w:tcBorders>
              <w:top w:val="single" w:color="DDDDDD" w:sz="1"/>
              <w:left w:val="single" w:color="DDDDDD" w:sz="1"/>
              <w:bottom w:val="single" w:color="DDDDDD" w:sz="1"/>
              <w:right w:val="single" w:color="DDDDDD" w:sz="1"/>
            </w:tcBorders>
            <w:shd w:fill="D4EDDA" w:val="clear"/>
            <w:tcMar>
              <w:top w:type="dxa" w:w="60"/>
              <w:left w:type="dxa" w:w="120"/>
              <w:bottom w:type="dxa" w:w="60"/>
              <w:right w:type="dxa" w:w="120"/>
            </w:tcMar>
          </w:tcPr>
          <w:p>
            <w:r>
              <w:rPr>
                <w:rFonts w:ascii="Arial" w:cs="Arial" w:eastAsia="Arial" w:hAnsi="Arial"/>
                <w:color w:val="1B6B3A"/>
                <w:sz w:val="20"/>
                <w:szCs w:val="20"/>
              </w:rPr>
              <w:t xml:space="preserve">Tauri desktop app (Windows, macOS, Linux)</w:t>
            </w:r>
          </w:p>
        </w:tc>
        <w:tc>
          <w:tcPr>
            <w:tcBorders>
              <w:top w:val="single" w:color="DDDDDD" w:sz="1"/>
              <w:left w:val="single" w:color="DDDDDD" w:sz="1"/>
              <w:bottom w:val="single" w:color="DDDDDD" w:sz="1"/>
              <w:right w:val="single" w:color="DDDDDD" w:sz="1"/>
            </w:tcBorders>
            <w:shd w:fill="F8D7DA" w:val="clear"/>
            <w:tcMar>
              <w:top w:type="dxa" w:w="60"/>
              <w:left w:type="dxa" w:w="120"/>
              <w:bottom w:type="dxa" w:w="60"/>
              <w:right w:type="dxa" w:w="120"/>
            </w:tcMar>
          </w:tcPr>
          <w:p>
            <w:r>
              <w:rPr>
                <w:rFonts w:ascii="Arial" w:cs="Arial" w:eastAsia="Arial" w:hAnsi="Arial"/>
                <w:color w:val="721C24"/>
                <w:sz w:val="20"/>
                <w:szCs w:val="20"/>
              </w:rPr>
              <w:t xml:space="preserve">Web browser client</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6B3A"/>
                <w:sz w:val="20"/>
                <w:szCs w:val="20"/>
              </w:rPr>
              <w:t xml:space="preserve">Self-hosted, on-premises Kubernetes deployment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721C24"/>
                <w:sz w:val="20"/>
                <w:szCs w:val="20"/>
              </w:rPr>
              <w:t xml:space="preserve">SaaS / managed cloud offering</w:t>
            </w:r>
          </w:p>
        </w:tc>
      </w:tr>
      <w:tr>
        <w:tc>
          <w:tcPr>
            <w:tcBorders>
              <w:top w:val="single" w:color="DDDDDD" w:sz="1"/>
              <w:left w:val="single" w:color="DDDDDD" w:sz="1"/>
              <w:bottom w:val="single" w:color="DDDDDD" w:sz="1"/>
              <w:right w:val="single" w:color="DDDDDD" w:sz="1"/>
            </w:tcBorders>
            <w:shd w:fill="D4EDDA" w:val="clear"/>
            <w:tcMar>
              <w:top w:type="dxa" w:w="60"/>
              <w:left w:type="dxa" w:w="120"/>
              <w:bottom w:type="dxa" w:w="60"/>
              <w:right w:type="dxa" w:w="120"/>
            </w:tcMar>
          </w:tcPr>
          <w:p>
            <w:r>
              <w:rPr>
                <w:rFonts w:ascii="Arial" w:cs="Arial" w:eastAsia="Arial" w:hAnsi="Arial"/>
                <w:color w:val="1B6B3A"/>
                <w:sz w:val="20"/>
                <w:szCs w:val="20"/>
              </w:rPr>
              <w:t xml:space="preserve">E2E encryption via Signal Protocol</w:t>
            </w:r>
          </w:p>
        </w:tc>
        <w:tc>
          <w:tcPr>
            <w:tcBorders>
              <w:top w:val="single" w:color="DDDDDD" w:sz="1"/>
              <w:left w:val="single" w:color="DDDDDD" w:sz="1"/>
              <w:bottom w:val="single" w:color="DDDDDD" w:sz="1"/>
              <w:right w:val="single" w:color="DDDDDD" w:sz="1"/>
            </w:tcBorders>
            <w:shd w:fill="F8D7DA" w:val="clear"/>
            <w:tcMar>
              <w:top w:type="dxa" w:w="60"/>
              <w:left w:type="dxa" w:w="120"/>
              <w:bottom w:type="dxa" w:w="60"/>
              <w:right w:type="dxa" w:w="120"/>
            </w:tcMar>
          </w:tcPr>
          <w:p>
            <w:r>
              <w:rPr>
                <w:rFonts w:ascii="Arial" w:cs="Arial" w:eastAsia="Arial" w:hAnsi="Arial"/>
                <w:color w:val="721C24"/>
                <w:sz w:val="20"/>
                <w:szCs w:val="20"/>
              </w:rPr>
              <w:t xml:space="preserve">SMS / PSTN bridging</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6B3A"/>
                <w:sz w:val="20"/>
                <w:szCs w:val="20"/>
              </w:rPr>
              <w:t xml:space="preserve">CDC pipeline (Debezium → Kafka → ClickHouse)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721C24"/>
                <w:sz w:val="20"/>
                <w:szCs w:val="20"/>
              </w:rPr>
              <w:t xml:space="preserve">Mobile app (iOS / Android)</w:t>
            </w:r>
          </w:p>
        </w:tc>
      </w:tr>
      <w:tr>
        <w:tc>
          <w:tcPr>
            <w:tcBorders>
              <w:top w:val="single" w:color="DDDDDD" w:sz="1"/>
              <w:left w:val="single" w:color="DDDDDD" w:sz="1"/>
              <w:bottom w:val="single" w:color="DDDDDD" w:sz="1"/>
              <w:right w:val="single" w:color="DDDDDD" w:sz="1"/>
            </w:tcBorders>
            <w:shd w:fill="D4EDDA" w:val="clear"/>
            <w:tcMar>
              <w:top w:type="dxa" w:w="60"/>
              <w:left w:type="dxa" w:w="120"/>
              <w:bottom w:type="dxa" w:w="60"/>
              <w:right w:type="dxa" w:w="120"/>
            </w:tcMar>
          </w:tcPr>
          <w:p>
            <w:r>
              <w:rPr>
                <w:rFonts w:ascii="Arial" w:cs="Arial" w:eastAsia="Arial" w:hAnsi="Arial"/>
                <w:color w:val="1B6B3A"/>
                <w:sz w:val="20"/>
                <w:szCs w:val="20"/>
              </w:rPr>
              <w:t xml:space="preserve">Custom Go API Gateway with rate limiting</w:t>
            </w:r>
          </w:p>
        </w:tc>
        <w:tc>
          <w:tcPr>
            <w:tcBorders>
              <w:top w:val="single" w:color="DDDDDD" w:sz="1"/>
              <w:left w:val="single" w:color="DDDDDD" w:sz="1"/>
              <w:bottom w:val="single" w:color="DDDDDD" w:sz="1"/>
              <w:right w:val="single" w:color="DDDDDD" w:sz="1"/>
            </w:tcBorders>
            <w:shd w:fill="F8D7DA" w:val="clear"/>
            <w:tcMar>
              <w:top w:type="dxa" w:w="60"/>
              <w:left w:type="dxa" w:w="120"/>
              <w:bottom w:type="dxa" w:w="60"/>
              <w:right w:type="dxa" w:w="120"/>
            </w:tcMar>
          </w:tcPr>
          <w:p>
            <w:r>
              <w:rPr>
                <w:rFonts w:ascii="Arial" w:cs="Arial" w:eastAsia="Arial" w:hAnsi="Arial"/>
                <w:color w:val="721C24"/>
                <w:sz w:val="20"/>
                <w:szCs w:val="20"/>
              </w:rPr>
              <w:t xml:space="preserve">Video/voice calls (WebRTC)</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6B3A"/>
                <w:sz w:val="20"/>
                <w:szCs w:val="20"/>
              </w:rPr>
              <w:t xml:space="preserve">Helm chart for one-command deploy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721C24"/>
                <w:sz w:val="20"/>
                <w:szCs w:val="20"/>
              </w:rPr>
              <w:t xml:space="preserve">AI/ML features</w:t>
            </w:r>
          </w:p>
        </w:tc>
      </w:tr>
      <w:tr>
        <w:tc>
          <w:tcPr>
            <w:tcBorders>
              <w:top w:val="single" w:color="DDDDDD" w:sz="1"/>
              <w:left w:val="single" w:color="DDDDDD" w:sz="1"/>
              <w:bottom w:val="single" w:color="DDDDDD" w:sz="1"/>
              <w:right w:val="single" w:color="DDDDDD" w:sz="1"/>
            </w:tcBorders>
            <w:shd w:fill="D4EDDA" w:val="clear"/>
            <w:tcMar>
              <w:top w:type="dxa" w:w="60"/>
              <w:left w:type="dxa" w:w="120"/>
              <w:bottom w:type="dxa" w:w="60"/>
              <w:right w:type="dxa" w:w="120"/>
            </w:tcMar>
          </w:tcPr>
          <w:p>
            <w:r>
              <w:rPr>
                <w:rFonts w:ascii="Arial" w:cs="Arial" w:eastAsia="Arial" w:hAnsi="Arial"/>
                <w:color w:val="1B6B3A"/>
                <w:sz w:val="20"/>
                <w:szCs w:val="20"/>
              </w:rPr>
              <w:t xml:space="preserve">Terraform + Ansible for infra provisioning</w:t>
            </w:r>
          </w:p>
        </w:tc>
        <w:tc>
          <w:tcPr>
            <w:tcBorders>
              <w:top w:val="single" w:color="DDDDDD" w:sz="1"/>
              <w:left w:val="single" w:color="DDDDDD" w:sz="1"/>
              <w:bottom w:val="single" w:color="DDDDDD" w:sz="1"/>
              <w:right w:val="single" w:color="DDDDDD" w:sz="1"/>
            </w:tcBorders>
            <w:shd w:fill="F8D7DA" w:val="clear"/>
            <w:tcMar>
              <w:top w:type="dxa" w:w="60"/>
              <w:left w:type="dxa" w:w="120"/>
              <w:bottom w:type="dxa" w:w="60"/>
              <w:right w:type="dxa" w:w="120"/>
            </w:tcMar>
          </w:tcPr>
          <w:p>
            <w:r>
              <w:rPr>
                <w:rFonts w:ascii="Arial" w:cs="Arial" w:eastAsia="Arial" w:hAnsi="Arial"/>
                <w:color w:val="721C24"/>
                <w:sz w:val="20"/>
                <w:szCs w:val="20"/>
              </w:rPr>
              <w:t xml:space="preserve">Billing or subscription system</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6B3A"/>
                <w:sz w:val="20"/>
                <w:szCs w:val="20"/>
              </w:rPr>
              <w:t xml:space="preserve">Real-time WebSocket messaging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721C24"/>
                <w:sz w:val="20"/>
                <w:szCs w:val="20"/>
              </w:rPr>
              <w:t xml:space="preserve">Multi-region active-active clustering</w:t>
            </w:r>
          </w:p>
        </w:tc>
      </w:tr>
    </w:tbl>
    <w:p>
      <w:pPr>
        <w:spacing w:before="0" w:after="24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7. Project Timeline Summary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pPr>
              <w:jc w:val="center"/>
            </w:pPr>
            <w:r>
              <w:rPr>
                <w:rFonts w:ascii="Arial" w:cs="Arial" w:eastAsia="Arial" w:hAnsi="Arial"/>
                <w:b/>
                <w:bCs/>
                <w:color w:val="1E3A5F"/>
                <w:sz w:val="20"/>
                <w:szCs w:val="20"/>
              </w:rPr>
              <w:t xml:space="preserve">1</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Foundation &amp; API Gateway</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20"/>
                <w:szCs w:val="20"/>
              </w:rPr>
              <w:t xml:space="preserve">3–4 weeks</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19"/>
                <w:szCs w:val="19"/>
              </w:rPr>
              <w:t xml:space="preserve">Rate limiter live, 1K RPS proven under k6</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3A5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3A5F"/>
                <w:sz w:val="20"/>
                <w:szCs w:val="20"/>
              </w:rPr>
              <w:t xml:space="preserve">Cryptographic Messaging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5–6 weeks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E2E encrypted message sent &amp; received, zero plaintext on server</w:t>
            </w:r>
          </w:p>
        </w:tc>
      </w:tr>
      <w:tr>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pPr>
              <w:jc w:val="center"/>
            </w:pPr>
            <w:r>
              <w:rPr>
                <w:rFonts w:ascii="Arial" w:cs="Arial" w:eastAsia="Arial" w:hAnsi="Arial"/>
                <w:b/>
                <w:bCs/>
                <w:color w:val="1E3A5F"/>
                <w:sz w:val="20"/>
                <w:szCs w:val="20"/>
              </w:rPr>
              <w:t xml:space="preserve">3</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CDC Analytics Pipeline</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20"/>
                <w:szCs w:val="20"/>
              </w:rPr>
              <w:t xml:space="preserve">3–4 weeks</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19"/>
                <w:szCs w:val="19"/>
              </w:rPr>
              <w:t xml:space="preserve">CDC events in ClickHouse within 2s, Grafana dashboard live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3A5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3A5F"/>
                <w:sz w:val="20"/>
                <w:szCs w:val="20"/>
              </w:rPr>
              <w:t xml:space="preserve">Production Hardening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4–5 weeks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500 concurrent WS, Vault secrets, mTLS, k6 P95 &lt; 100ms</w:t>
            </w:r>
          </w:p>
        </w:tc>
      </w:tr>
      <w:tr>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pPr>
              <w:jc w:val="center"/>
            </w:pPr>
            <w:r>
              <w:rPr>
                <w:rFonts w:ascii="Arial" w:cs="Arial" w:eastAsia="Arial" w:hAnsi="Arial"/>
                <w:b/>
                <w:bCs/>
                <w:color w:val="1E3A5F"/>
                <w:sz w:val="20"/>
                <w:szCs w:val="20"/>
              </w:rPr>
              <w:t xml:space="preserve">5</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1E3A5F"/>
                <w:sz w:val="20"/>
                <w:szCs w:val="20"/>
              </w:rPr>
              <w:t xml:space="preserve">On-Prem Packaging</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20"/>
                <w:szCs w:val="20"/>
              </w:rPr>
              <w:t xml:space="preserve">3–4 weeks</w:t>
            </w:r>
          </w:p>
        </w:tc>
        <w:tc>
          <w:tcPr>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color w:val="1A1A2E"/>
                <w:sz w:val="19"/>
                <w:szCs w:val="19"/>
              </w:rPr>
              <w:t xml:space="preserve">One-command deploy, Tauri binaries released on GitHub</w:t>
            </w:r>
          </w:p>
        </w:tc>
      </w:tr>
    </w:tbl>
    <w:p>
      <w:pPr>
        <w:spacing w:before="0" w:after="120"/>
      </w:pPr>
      <w:r>
        <w:t xml:space="preserve"/>
      </w:r>
    </w:p>
    <w:p>
      <w:pPr>
        <w:spacing w:before="60" w:after="60"/>
      </w:pPr>
      <w:r>
        <w:rPr>
          <w:rFonts w:ascii="Arial" w:cs="Arial" w:eastAsia="Arial" w:hAnsi="Arial"/>
          <w:color w:val="1A1A2E"/>
          <w:sz w:val="22"/>
          <w:szCs w:val="22"/>
        </w:rPr>
        <w:t xml:space="preserve">Total estimated duration: 18–23 weeks (part-time alongside current job) or 12–16 weeks (dedicated focus).</w:t>
      </w:r>
    </w:p>
    <w:p>
      <w:pPr>
        <w:spacing w:before="0" w:after="240"/>
      </w:pPr>
      <w:r>
        <w:t xml:space="preserve"/>
      </w:r>
    </w:p>
    <w:p>
      <w:pPr>
        <w:pBdr>
          <w:bottom w:val="single" w:color="DDDDDD" w:sz="2" w:space="1"/>
        </w:pBdr>
        <w:spacing w:before="200" w:after="200"/>
      </w:pPr>
      <w:r>
        <w:t xml:space="preserve"/>
      </w:r>
    </w:p>
    <w:p>
      <w:pPr>
        <w:spacing w:before="120" w:after="0"/>
        <w:jc w:val="center"/>
      </w:pPr>
      <w:r>
        <w:rPr>
          <w:rFonts w:ascii="Arial" w:cs="Arial" w:eastAsia="Arial" w:hAnsi="Arial"/>
          <w:i/>
          <w:iCs/>
          <w:color w:val="555577"/>
          <w:sz w:val="18"/>
          <w:szCs w:val="18"/>
        </w:rPr>
        <w:t xml:space="preserve">SecureCollab Project Specification  •  Muhammad Mubashir Munir Khan  •  v1.0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77"/>
        <w:sz w:val="18"/>
        <w:szCs w:val="18"/>
      </w:rPr>
      <w:t xml:space="preserve">SecureCollab Spec  •  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2026-03-08T16:38:48.475Z</dcterms:created>
  <dcterms:modified xsi:type="dcterms:W3CDTF">2026-03-08T16:38:48.476Z</dcterms:modified>
</cp:coreProperties>
</file>

<file path=docProps/custom.xml><?xml version="1.0" encoding="utf-8"?>
<Properties xmlns="http://schemas.openxmlformats.org/officeDocument/2006/custom-properties" xmlns:vt="http://schemas.openxmlformats.org/officeDocument/2006/docPropsVTypes"/>
</file>