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1CB9E4" wp14:paraId="58E5D80A" wp14:textId="29873142">
      <w:pPr>
        <w:spacing w:after="0" w:line="480" w:lineRule="auto"/>
        <w:jc w:val="center"/>
        <w:rPr>
          <w:color w:val="auto"/>
        </w:rPr>
      </w:pPr>
    </w:p>
    <w:p xmlns:wp14="http://schemas.microsoft.com/office/word/2010/wordml" w:rsidP="02F610D6"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674115D7">
        <w:drawing>
          <wp:inline xmlns:wp14="http://schemas.microsoft.com/office/word/2010/wordprocessingDrawing" wp14:editId="2E9F26BA"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02F610D6"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02F610D6" w:rsidR="674115D7">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02F610D6" wp14:paraId="29BF9952" wp14:textId="226F7A3A">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02F610D6" w:rsidR="690D5656">
        <w:rPr>
          <w:rFonts w:ascii="Times New Roman" w:hAnsi="Times New Roman" w:eastAsia="Times New Roman" w:cs="Times New Roman"/>
          <w:b w:val="1"/>
          <w:bCs w:val="1"/>
          <w:i w:val="0"/>
          <w:iCs w:val="0"/>
          <w:caps w:val="0"/>
          <w:smallCaps w:val="0"/>
          <w:noProof w:val="0"/>
          <w:color w:val="auto"/>
          <w:sz w:val="24"/>
          <w:szCs w:val="24"/>
          <w:lang w:val="en-US"/>
        </w:rPr>
        <w:t>HIST 1421-01 - AY2027-T1</w:t>
      </w:r>
    </w:p>
    <w:p xmlns:wp14="http://schemas.microsoft.com/office/word/2010/wordml" w:rsidP="02F610D6" wp14:paraId="60A1D37A" wp14:textId="6DAFE7AC">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02F610D6" w:rsidR="674115D7">
        <w:rPr>
          <w:rFonts w:ascii="Times New Roman" w:hAnsi="Times New Roman" w:eastAsia="Times New Roman" w:cs="Times New Roman"/>
          <w:b w:val="1"/>
          <w:bCs w:val="1"/>
          <w:i w:val="0"/>
          <w:iCs w:val="0"/>
          <w:caps w:val="0"/>
          <w:smallCaps w:val="0"/>
          <w:noProof w:val="0"/>
          <w:color w:val="auto"/>
          <w:sz w:val="24"/>
          <w:szCs w:val="24"/>
          <w:lang w:val="en-US"/>
        </w:rPr>
        <w:t xml:space="preserve"> Assignment</w:t>
      </w:r>
      <w:r w:rsidRPr="02F610D6" w:rsidR="24E9C49C">
        <w:rPr>
          <w:rFonts w:ascii="Times New Roman" w:hAnsi="Times New Roman" w:eastAsia="Times New Roman" w:cs="Times New Roman"/>
          <w:b w:val="1"/>
          <w:bCs w:val="1"/>
          <w:i w:val="0"/>
          <w:iCs w:val="0"/>
          <w:caps w:val="0"/>
          <w:smallCaps w:val="0"/>
          <w:noProof w:val="0"/>
          <w:color w:val="auto"/>
          <w:sz w:val="24"/>
          <w:szCs w:val="24"/>
          <w:lang w:val="en-US"/>
        </w:rPr>
        <w:t xml:space="preserve"> Unit 2</w:t>
      </w:r>
    </w:p>
    <w:p xmlns:wp14="http://schemas.microsoft.com/office/word/2010/wordml" w:rsidP="02F610D6"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02F610D6" w:rsidR="674115D7">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02F610D6" wp14:paraId="727DB8E1" wp14:textId="141ED826">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02F610D6" w:rsidR="4D36EC0C">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02F610D6" w:rsidR="2F42F707">
        <w:rPr>
          <w:rFonts w:ascii="Times New Roman" w:hAnsi="Times New Roman" w:eastAsia="Times New Roman" w:cs="Times New Roman"/>
          <w:b w:val="0"/>
          <w:bCs w:val="0"/>
          <w:i w:val="0"/>
          <w:iCs w:val="0"/>
          <w:caps w:val="0"/>
          <w:smallCaps w:val="0"/>
          <w:noProof w:val="0"/>
          <w:color w:val="auto"/>
          <w:sz w:val="24"/>
          <w:szCs w:val="24"/>
          <w:lang w:val="en-US"/>
        </w:rPr>
        <w:t>Darrel Van Hoose</w:t>
      </w:r>
    </w:p>
    <w:p xmlns:wp14="http://schemas.microsoft.com/office/word/2010/wordml" w:rsidP="02F610D6" wp14:paraId="559F9358" wp14:textId="32A372CE">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02F610D6" w:rsidR="4D13B700">
        <w:rPr>
          <w:rFonts w:ascii="Times New Roman" w:hAnsi="Times New Roman" w:eastAsia="Times New Roman" w:cs="Times New Roman"/>
          <w:b w:val="0"/>
          <w:bCs w:val="0"/>
          <w:i w:val="0"/>
          <w:iCs w:val="0"/>
          <w:caps w:val="0"/>
          <w:smallCaps w:val="0"/>
          <w:noProof w:val="0"/>
          <w:color w:val="auto"/>
          <w:sz w:val="24"/>
          <w:szCs w:val="24"/>
          <w:lang w:val="en-US"/>
        </w:rPr>
        <w:t xml:space="preserve">Date: </w:t>
      </w:r>
      <w:r w:rsidRPr="02F610D6" w:rsidR="66DE0415">
        <w:rPr>
          <w:rFonts w:ascii="Times New Roman" w:hAnsi="Times New Roman" w:eastAsia="Times New Roman" w:cs="Times New Roman"/>
          <w:b w:val="0"/>
          <w:bCs w:val="0"/>
          <w:i w:val="0"/>
          <w:iCs w:val="0"/>
          <w:caps w:val="0"/>
          <w:smallCaps w:val="0"/>
          <w:noProof w:val="0"/>
          <w:color w:val="auto"/>
          <w:sz w:val="24"/>
          <w:szCs w:val="24"/>
          <w:lang w:val="en-US"/>
        </w:rPr>
        <w:t>September</w:t>
      </w:r>
      <w:r w:rsidRPr="02F610D6" w:rsidR="4D13B70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2F610D6" w:rsidR="799FC08E">
        <w:rPr>
          <w:rFonts w:ascii="Times New Roman" w:hAnsi="Times New Roman" w:eastAsia="Times New Roman" w:cs="Times New Roman"/>
          <w:b w:val="0"/>
          <w:bCs w:val="0"/>
          <w:i w:val="0"/>
          <w:iCs w:val="0"/>
          <w:caps w:val="0"/>
          <w:smallCaps w:val="0"/>
          <w:noProof w:val="0"/>
          <w:color w:val="auto"/>
          <w:sz w:val="24"/>
          <w:szCs w:val="24"/>
          <w:lang w:val="en-US"/>
        </w:rPr>
        <w:t>11</w:t>
      </w:r>
      <w:r w:rsidRPr="02F610D6" w:rsidR="4D13B700">
        <w:rPr>
          <w:rFonts w:ascii="Times New Roman" w:hAnsi="Times New Roman" w:eastAsia="Times New Roman" w:cs="Times New Roman"/>
          <w:b w:val="0"/>
          <w:bCs w:val="0"/>
          <w:i w:val="0"/>
          <w:iCs w:val="0"/>
          <w:caps w:val="0"/>
          <w:smallCaps w:val="0"/>
          <w:noProof w:val="0"/>
          <w:color w:val="auto"/>
          <w:sz w:val="24"/>
          <w:szCs w:val="24"/>
          <w:lang w:val="en-US"/>
        </w:rPr>
        <w:t>, 2026</w:t>
      </w:r>
    </w:p>
    <w:p xmlns:wp14="http://schemas.microsoft.com/office/word/2010/wordml" w:rsidP="02F610D6" wp14:paraId="00E4D09E" wp14:textId="04A8D916">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p>
    <w:p xmlns:wp14="http://schemas.microsoft.com/office/word/2010/wordml" w:rsidP="02F610D6" wp14:paraId="08092A01" wp14:textId="69610C6F">
      <w:pPr>
        <w:pStyle w:val="Title"/>
        <w:rPr>
          <w:rFonts w:ascii="Times New Roman" w:hAnsi="Times New Roman" w:eastAsia="Times New Roman" w:cs="Times New Roman"/>
          <w:noProof w:val="0"/>
          <w:color w:val="auto"/>
          <w:sz w:val="36"/>
          <w:szCs w:val="36"/>
          <w:lang w:val="en-US"/>
        </w:rPr>
      </w:pPr>
      <w:r w:rsidRPr="02F610D6" w:rsidR="21D2CEB0">
        <w:rPr>
          <w:rFonts w:ascii="Times New Roman" w:hAnsi="Times New Roman" w:eastAsia="Times New Roman" w:cs="Times New Roman"/>
          <w:noProof w:val="0"/>
          <w:color w:val="auto"/>
          <w:sz w:val="36"/>
          <w:szCs w:val="36"/>
          <w:lang w:val="en-US"/>
        </w:rPr>
        <w:t>The Paradox of Greek Excellence: Virtue, Freedom, and the Good Life</w:t>
      </w:r>
    </w:p>
    <w:p xmlns:wp14="http://schemas.microsoft.com/office/word/2010/wordml" w:rsidP="02F610D6" wp14:paraId="6E8BB1F7" wp14:textId="1B10BDA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The ancient Greeks placed extraordinary value on </w:t>
      </w:r>
      <w:r w:rsidRPr="02F610D6" w:rsidR="21D2CEB0">
        <w:rPr>
          <w:rFonts w:ascii="Times New Roman" w:hAnsi="Times New Roman" w:eastAsia="Times New Roman" w:cs="Times New Roman"/>
          <w:i w:val="1"/>
          <w:iCs w:val="1"/>
          <w:noProof w:val="0"/>
          <w:color w:val="auto"/>
          <w:sz w:val="24"/>
          <w:szCs w:val="24"/>
          <w:lang w:val="en-US"/>
        </w:rPr>
        <w:t>arete</w:t>
      </w:r>
      <w:r w:rsidRPr="02F610D6" w:rsidR="21D2CEB0">
        <w:rPr>
          <w:rFonts w:ascii="Times New Roman" w:hAnsi="Times New Roman" w:eastAsia="Times New Roman" w:cs="Times New Roman"/>
          <w:noProof w:val="0"/>
          <w:color w:val="auto"/>
          <w:sz w:val="24"/>
          <w:szCs w:val="24"/>
          <w:lang w:val="en-US"/>
        </w:rPr>
        <w:t>, or human excellence. To live well was not simply to survive or enjoy personal freedom; it meant developing qualities that made a person admirable, useful, and worthy within society. Yet Greek ideals of excellence were shaped by political institutions, religious traditions, social hierarchies, and expectations about gender and citizenship. Athens and Sparta therefore offered different answers to the same question: What makes a person good? Athens emphasized education, civic participation, intellectual achievement, and cultural development, while Sparta emphasized discipline, courage, obedience, and military strength. Greek religion, art, architecture, and philosophy further expressed the tension between human aspiration and human limitations. Ultimately, Greek humanism was paradoxical because it celebrated human potential while restricting who was allowed to develop that potential.</w:t>
      </w:r>
    </w:p>
    <w:p xmlns:wp14="http://schemas.microsoft.com/office/word/2010/wordml" w:rsidP="02F610D6" wp14:paraId="3A837557" wp14:textId="2EB3D80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Athens and Sparta imagined </w:t>
      </w:r>
      <w:r w:rsidRPr="02F610D6" w:rsidR="606B3327">
        <w:rPr>
          <w:rFonts w:ascii="Times New Roman" w:hAnsi="Times New Roman" w:eastAsia="Times New Roman" w:cs="Times New Roman"/>
          <w:noProof w:val="0"/>
          <w:color w:val="auto"/>
          <w:sz w:val="24"/>
          <w:szCs w:val="24"/>
          <w:lang w:val="en-US"/>
        </w:rPr>
        <w:t>perfect citizens</w:t>
      </w:r>
      <w:r w:rsidRPr="02F610D6" w:rsidR="21D2CEB0">
        <w:rPr>
          <w:rFonts w:ascii="Times New Roman" w:hAnsi="Times New Roman" w:eastAsia="Times New Roman" w:cs="Times New Roman"/>
          <w:noProof w:val="0"/>
          <w:color w:val="auto"/>
          <w:sz w:val="24"/>
          <w:szCs w:val="24"/>
          <w:lang w:val="en-US"/>
        </w:rPr>
        <w:t xml:space="preserve"> differently. In democratic Athens, the ideal male citizen was educated and capable of </w:t>
      </w:r>
      <w:r w:rsidRPr="02F610D6" w:rsidR="21D2CEB0">
        <w:rPr>
          <w:rFonts w:ascii="Times New Roman" w:hAnsi="Times New Roman" w:eastAsia="Times New Roman" w:cs="Times New Roman"/>
          <w:noProof w:val="0"/>
          <w:color w:val="auto"/>
          <w:sz w:val="24"/>
          <w:szCs w:val="24"/>
          <w:lang w:val="en-US"/>
        </w:rPr>
        <w:t>participating</w:t>
      </w:r>
      <w:r w:rsidRPr="02F610D6" w:rsidR="21D2CEB0">
        <w:rPr>
          <w:rFonts w:ascii="Times New Roman" w:hAnsi="Times New Roman" w:eastAsia="Times New Roman" w:cs="Times New Roman"/>
          <w:noProof w:val="0"/>
          <w:color w:val="auto"/>
          <w:sz w:val="24"/>
          <w:szCs w:val="24"/>
          <w:lang w:val="en-US"/>
        </w:rPr>
        <w:t xml:space="preserve"> in public life. Boys from wealthier families studied writing, literature, music, physical education, and eventually rhetoric and political subjects. Education therefore prepared citizens not merely to earn a living but to </w:t>
      </w:r>
      <w:r w:rsidRPr="02F610D6" w:rsidR="21D2CEB0">
        <w:rPr>
          <w:rFonts w:ascii="Times New Roman" w:hAnsi="Times New Roman" w:eastAsia="Times New Roman" w:cs="Times New Roman"/>
          <w:noProof w:val="0"/>
          <w:color w:val="auto"/>
          <w:sz w:val="24"/>
          <w:szCs w:val="24"/>
          <w:lang w:val="en-US"/>
        </w:rPr>
        <w:t>participate</w:t>
      </w:r>
      <w:r w:rsidRPr="02F610D6" w:rsidR="21D2CEB0">
        <w:rPr>
          <w:rFonts w:ascii="Times New Roman" w:hAnsi="Times New Roman" w:eastAsia="Times New Roman" w:cs="Times New Roman"/>
          <w:noProof w:val="0"/>
          <w:color w:val="auto"/>
          <w:sz w:val="24"/>
          <w:szCs w:val="24"/>
          <w:lang w:val="en-US"/>
        </w:rPr>
        <w:t xml:space="preserve"> in the polis. The Athenian ideal connected excellence with the development of both mind and body. However, this freedom was highly selective. Women, slaves, and foreigners were excluded from political participation, and formal education was </w:t>
      </w:r>
      <w:r w:rsidRPr="02F610D6" w:rsidR="21D2CEB0">
        <w:rPr>
          <w:rFonts w:ascii="Times New Roman" w:hAnsi="Times New Roman" w:eastAsia="Times New Roman" w:cs="Times New Roman"/>
          <w:noProof w:val="0"/>
          <w:color w:val="auto"/>
          <w:sz w:val="24"/>
          <w:szCs w:val="24"/>
          <w:lang w:val="en-US"/>
        </w:rPr>
        <w:t>largely available</w:t>
      </w:r>
      <w:r w:rsidRPr="02F610D6" w:rsidR="21D2CEB0">
        <w:rPr>
          <w:rFonts w:ascii="Times New Roman" w:hAnsi="Times New Roman" w:eastAsia="Times New Roman" w:cs="Times New Roman"/>
          <w:noProof w:val="0"/>
          <w:color w:val="auto"/>
          <w:sz w:val="24"/>
          <w:szCs w:val="24"/>
          <w:lang w:val="en-US"/>
        </w:rPr>
        <w:t xml:space="preserve"> to elite boys (Brooks, 2024; Rundell, 2020). Athenian democracy </w:t>
      </w:r>
      <w:r w:rsidRPr="02F610D6" w:rsidR="21D2CEB0">
        <w:rPr>
          <w:rFonts w:ascii="Times New Roman" w:hAnsi="Times New Roman" w:eastAsia="Times New Roman" w:cs="Times New Roman"/>
          <w:noProof w:val="0"/>
          <w:color w:val="auto"/>
          <w:sz w:val="24"/>
          <w:szCs w:val="24"/>
          <w:lang w:val="en-US"/>
        </w:rPr>
        <w:t>consequently</w:t>
      </w:r>
      <w:r w:rsidRPr="02F610D6" w:rsidR="21D2CEB0">
        <w:rPr>
          <w:rFonts w:ascii="Times New Roman" w:hAnsi="Times New Roman" w:eastAsia="Times New Roman" w:cs="Times New Roman"/>
          <w:noProof w:val="0"/>
          <w:color w:val="auto"/>
          <w:sz w:val="24"/>
          <w:szCs w:val="24"/>
          <w:lang w:val="en-US"/>
        </w:rPr>
        <w:t xml:space="preserve"> </w:t>
      </w:r>
      <w:r w:rsidRPr="02F610D6" w:rsidR="21D2CEB0">
        <w:rPr>
          <w:rFonts w:ascii="Times New Roman" w:hAnsi="Times New Roman" w:eastAsia="Times New Roman" w:cs="Times New Roman"/>
          <w:noProof w:val="0"/>
          <w:color w:val="auto"/>
          <w:sz w:val="24"/>
          <w:szCs w:val="24"/>
          <w:lang w:val="en-US"/>
        </w:rPr>
        <w:t>contained</w:t>
      </w:r>
      <w:r w:rsidRPr="02F610D6" w:rsidR="21D2CEB0">
        <w:rPr>
          <w:rFonts w:ascii="Times New Roman" w:hAnsi="Times New Roman" w:eastAsia="Times New Roman" w:cs="Times New Roman"/>
          <w:noProof w:val="0"/>
          <w:color w:val="auto"/>
          <w:sz w:val="24"/>
          <w:szCs w:val="24"/>
          <w:lang w:val="en-US"/>
        </w:rPr>
        <w:t xml:space="preserve"> an important contradiction: political participation was celebrated as a civic virtue, but citizenship itself was narrowly defined.</w:t>
      </w:r>
    </w:p>
    <w:p xmlns:wp14="http://schemas.microsoft.com/office/word/2010/wordml" w:rsidP="02F610D6" wp14:paraId="29E1D571" wp14:textId="391001E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Sparta offered an even more demanding definition of virtue. The Spartan citizen was expected to be disciplined, courageous, physically strong, and completely committed to the community. Boys entered rigorous training at a young age, preparing them for military service. Individual desires were subordinated to the needs of the state. Spartan society also depended heavily on the labor of helots, whose lack of political rights reveals the human cost behind the Spartan ideal of unity and military excellence (Cartwright, 2018). Spartan women generally enjoyed greater physical and economic freedom than Athenian women, including opportunities for physical training and property ownership, but Spartan society still organized individual lives around the strength and survival of the polis. Thus, Athens demanded civic and intellectual participation, while Sparta demanded discipline and sacrifice.</w:t>
      </w:r>
    </w:p>
    <w:p xmlns:wp14="http://schemas.microsoft.com/office/word/2010/wordml" w:rsidP="02F610D6" wp14:paraId="60114AAA" wp14:textId="4205C50A">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Religion complicated the Greek pursuit of excellence because the gods were both ideals and reminders of human weakness. Greek mythology portrayed gods with extraordinary powers, but they also displayed jealousy, anger, pride, desire, and other recognizable human characteristics. Religion therefore did not simply provide a perfect moral model. Instead, myths could warn people about arrogance and the consequences of exceeding human limits. The concept of </w:t>
      </w:r>
      <w:r w:rsidRPr="02F610D6" w:rsidR="21D2CEB0">
        <w:rPr>
          <w:rFonts w:ascii="Times New Roman" w:hAnsi="Times New Roman" w:eastAsia="Times New Roman" w:cs="Times New Roman"/>
          <w:i w:val="1"/>
          <w:iCs w:val="1"/>
          <w:noProof w:val="0"/>
          <w:color w:val="auto"/>
          <w:sz w:val="24"/>
          <w:szCs w:val="24"/>
          <w:lang w:val="en-US"/>
        </w:rPr>
        <w:t>hubris</w:t>
      </w:r>
      <w:r w:rsidRPr="02F610D6" w:rsidR="21D2CEB0">
        <w:rPr>
          <w:rFonts w:ascii="Times New Roman" w:hAnsi="Times New Roman" w:eastAsia="Times New Roman" w:cs="Times New Roman"/>
          <w:noProof w:val="0"/>
          <w:color w:val="auto"/>
          <w:sz w:val="24"/>
          <w:szCs w:val="24"/>
          <w:lang w:val="en-US"/>
        </w:rPr>
        <w:t>, excessive pride or self-confidence, demonstrates this tension particularly well. Greeks could admire extraordinary achievement while recognizing that excessive ambition could become destructive. Religious rituals, temples, festivals, and myths also connected individuals to their communities, making religion an important part of civic identity.</w:t>
      </w:r>
    </w:p>
    <w:p xmlns:wp14="http://schemas.microsoft.com/office/word/2010/wordml" w:rsidP="02F610D6" wp14:paraId="44B51957" wp14:textId="5480697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Greek art and architecture similarly expressed a desire to find balance between human limitation and human possibility. The emphasis on proportion, symmetry, physical beauty, and order suggested that beauty was connected with harmony and rational structure. Education followed a comparable principle. Athenian schooling combined intellectual, musical, and physical development, while athletics demonstrated the cultural importance of physical excellence (Rundell, 2020). The ideal was therefore not a person who possessed knowledge alone, but someone whose mind, body, character, and civic abilities were developed together. Greek cultural achievements reveal an intellectual confidence that human beings could use reason and disciplined practice to approach excellence.</w:t>
      </w:r>
    </w:p>
    <w:p xmlns:wp14="http://schemas.microsoft.com/office/word/2010/wordml" w:rsidP="02F610D6" wp14:paraId="0DCFFAD1" wp14:textId="4710E35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Greek philosophy transformed this pursuit by asking whether social definitions of virtue were actually correct. Socrates challenged people to examine their assumptions about justice, virtue, and the good life. Plato similarly questioned whether ordinary political institutions necessarily produced justice. Aristotle provided another influential interpretation of the good life. In the </w:t>
      </w:r>
      <w:r w:rsidRPr="02F610D6" w:rsidR="21D2CEB0">
        <w:rPr>
          <w:rFonts w:ascii="Times New Roman" w:hAnsi="Times New Roman" w:eastAsia="Times New Roman" w:cs="Times New Roman"/>
          <w:i w:val="1"/>
          <w:iCs w:val="1"/>
          <w:noProof w:val="0"/>
          <w:color w:val="auto"/>
          <w:sz w:val="24"/>
          <w:szCs w:val="24"/>
          <w:lang w:val="en-US"/>
        </w:rPr>
        <w:t>Nicomachean Ethics</w:t>
      </w:r>
      <w:r w:rsidRPr="02F610D6" w:rsidR="21D2CEB0">
        <w:rPr>
          <w:rFonts w:ascii="Times New Roman" w:hAnsi="Times New Roman" w:eastAsia="Times New Roman" w:cs="Times New Roman"/>
          <w:noProof w:val="0"/>
          <w:color w:val="auto"/>
          <w:sz w:val="24"/>
          <w:szCs w:val="24"/>
          <w:lang w:val="en-US"/>
        </w:rPr>
        <w:t>, he connected happiness with activity in accordance with virtue rather than with wealth, pleasure, or status alone (Aristotle, ca. 350 B.C.E./1999). He also connected human flourishing to life within a community, making ethics inseparable from political life. This philosophical tradition demonstrates that the Greeks did not merely accept their social ideals; they also developed methods for questioning what virtue and happiness should mean.</w:t>
      </w:r>
    </w:p>
    <w:p xmlns:wp14="http://schemas.microsoft.com/office/word/2010/wordml" w:rsidP="02F610D6" wp14:paraId="4878662A" wp14:textId="04D160F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The greatest paradox of Greek humanism, therefore, is that a civilization famous for celebrating reason, beauty, citizenship, and human potential also maintained rigid social boundaries. The Greek pursuit of excellence was genuine, but it was not equally available to everyone. If I had lived in ancient Greece, I might have found meaning in the intellectual life of Athens and its emphasis on education, public debate, art, and philosophy. At the same time, I would have found its exclusion of women, slaves, and foreigners deeply frustrating. The Spartan emphasis on courage and communal responsibility might also have inspired admiration, but the loss of individual freedom would have been difficult to accept.</w:t>
      </w:r>
    </w:p>
    <w:p xmlns:wp14="http://schemas.microsoft.com/office/word/2010/wordml" w:rsidP="02F610D6" wp14:paraId="290E5171" wp14:textId="3C1FBA6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The Greek idea of the good life was therefore neither complete freedom nor complete obedience. It was the disciplined pursuit of excellence within the boundaries of a particular community. Athens and Sparta demonstrate that societies can define virtue according to their political and social needs, while Greek philosophers demonstrate that those definitions can and should be questioned. The lasting significance of Greek thought lies precisely in this tension. The Greeks taught later generations not only to pursue excellence, but also to ask who defines excellence, who is permitted to achieve it, and whether a society can truly be just while limiting the humanity of some of its members.</w:t>
      </w:r>
    </w:p>
    <w:p xmlns:wp14="http://schemas.microsoft.com/office/word/2010/wordml" w:rsidP="02F610D6" wp14:paraId="65FA2D3E" wp14:textId="26D788F4">
      <w:pPr>
        <w:pStyle w:val="Heading1"/>
        <w:rPr>
          <w:rFonts w:ascii="Times New Roman" w:hAnsi="Times New Roman" w:eastAsia="Times New Roman" w:cs="Times New Roman"/>
          <w:b w:val="1"/>
          <w:bCs w:val="1"/>
          <w:noProof w:val="0"/>
          <w:color w:val="auto"/>
          <w:sz w:val="30"/>
          <w:szCs w:val="30"/>
          <w:lang w:val="en-US"/>
        </w:rPr>
      </w:pPr>
      <w:r w:rsidRPr="02F610D6" w:rsidR="21D2CEB0">
        <w:rPr>
          <w:rFonts w:ascii="Times New Roman" w:hAnsi="Times New Roman" w:eastAsia="Times New Roman" w:cs="Times New Roman"/>
          <w:b w:val="1"/>
          <w:bCs w:val="1"/>
          <w:noProof w:val="0"/>
          <w:color w:val="auto"/>
          <w:sz w:val="30"/>
          <w:szCs w:val="30"/>
          <w:lang w:val="en-US"/>
        </w:rPr>
        <w:t>References</w:t>
      </w:r>
    </w:p>
    <w:p xmlns:wp14="http://schemas.microsoft.com/office/word/2010/wordml" w:rsidP="02F610D6" wp14:paraId="7AEABA9B" wp14:textId="715C0244">
      <w:pPr>
        <w:spacing w:before="240" w:beforeAutospacing="off" w:after="240" w:afterAutospacing="off"/>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Aristotle. (ca. 350 B.C.E./1999). </w:t>
      </w:r>
      <w:r w:rsidRPr="02F610D6" w:rsidR="21D2CEB0">
        <w:rPr>
          <w:rFonts w:ascii="Times New Roman" w:hAnsi="Times New Roman" w:eastAsia="Times New Roman" w:cs="Times New Roman"/>
          <w:i w:val="1"/>
          <w:iCs w:val="1"/>
          <w:noProof w:val="0"/>
          <w:color w:val="auto"/>
          <w:sz w:val="24"/>
          <w:szCs w:val="24"/>
          <w:lang w:val="en-US"/>
        </w:rPr>
        <w:t>Nicomachean ethics</w:t>
      </w:r>
      <w:r w:rsidRPr="02F610D6" w:rsidR="21D2CEB0">
        <w:rPr>
          <w:rFonts w:ascii="Times New Roman" w:hAnsi="Times New Roman" w:eastAsia="Times New Roman" w:cs="Times New Roman"/>
          <w:noProof w:val="0"/>
          <w:color w:val="auto"/>
          <w:sz w:val="24"/>
          <w:szCs w:val="24"/>
          <w:lang w:val="en-US"/>
        </w:rPr>
        <w:t xml:space="preserve"> (W. D. Ross, Trans.). The Internet Classics Archive, Massachusetts Institute of Technology.</w:t>
      </w:r>
    </w:p>
    <w:p xmlns:wp14="http://schemas.microsoft.com/office/word/2010/wordml" w:rsidP="02F610D6" wp14:paraId="51F05DAA" wp14:textId="0C21F09D">
      <w:pPr>
        <w:spacing w:before="240" w:beforeAutospacing="off" w:after="240" w:afterAutospacing="off"/>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Brooks, C. (2024). </w:t>
      </w:r>
      <w:r w:rsidRPr="02F610D6" w:rsidR="21D2CEB0">
        <w:rPr>
          <w:rFonts w:ascii="Times New Roman" w:hAnsi="Times New Roman" w:eastAsia="Times New Roman" w:cs="Times New Roman"/>
          <w:i w:val="1"/>
          <w:iCs w:val="1"/>
          <w:noProof w:val="0"/>
          <w:color w:val="auto"/>
          <w:sz w:val="24"/>
          <w:szCs w:val="24"/>
          <w:lang w:val="en-US"/>
        </w:rPr>
        <w:t>Western civilization: A concise history, Volume 1</w:t>
      </w:r>
      <w:r w:rsidRPr="02F610D6" w:rsidR="21D2CEB0">
        <w:rPr>
          <w:rFonts w:ascii="Times New Roman" w:hAnsi="Times New Roman" w:eastAsia="Times New Roman" w:cs="Times New Roman"/>
          <w:noProof w:val="0"/>
          <w:color w:val="auto"/>
          <w:sz w:val="24"/>
          <w:szCs w:val="24"/>
          <w:lang w:val="en-US"/>
        </w:rPr>
        <w:t>. Portland Community College.</w:t>
      </w:r>
    </w:p>
    <w:p xmlns:wp14="http://schemas.microsoft.com/office/word/2010/wordml" w:rsidP="02F610D6" wp14:paraId="233B8890" wp14:textId="191ABE7C">
      <w:pPr>
        <w:spacing w:before="240" w:beforeAutospacing="off" w:after="240" w:afterAutospacing="off"/>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Cartwright, M. (2018, May 15). </w:t>
      </w:r>
      <w:r w:rsidRPr="02F610D6" w:rsidR="21D2CEB0">
        <w:rPr>
          <w:rFonts w:ascii="Times New Roman" w:hAnsi="Times New Roman" w:eastAsia="Times New Roman" w:cs="Times New Roman"/>
          <w:i w:val="1"/>
          <w:iCs w:val="1"/>
          <w:noProof w:val="0"/>
          <w:color w:val="auto"/>
          <w:sz w:val="24"/>
          <w:szCs w:val="24"/>
          <w:lang w:val="en-US"/>
        </w:rPr>
        <w:t>Ancient Greek society</w:t>
      </w:r>
      <w:r w:rsidRPr="02F610D6" w:rsidR="21D2CEB0">
        <w:rPr>
          <w:rFonts w:ascii="Times New Roman" w:hAnsi="Times New Roman" w:eastAsia="Times New Roman" w:cs="Times New Roman"/>
          <w:noProof w:val="0"/>
          <w:color w:val="auto"/>
          <w:sz w:val="24"/>
          <w:szCs w:val="24"/>
          <w:lang w:val="en-US"/>
        </w:rPr>
        <w:t>. World History Encyclopedia.</w:t>
      </w:r>
    </w:p>
    <w:p xmlns:wp14="http://schemas.microsoft.com/office/word/2010/wordml" w:rsidP="02F610D6" wp14:paraId="0D0650FC" wp14:textId="19938F67">
      <w:pPr>
        <w:spacing w:before="240" w:beforeAutospacing="off" w:after="240" w:afterAutospacing="off"/>
        <w:rPr>
          <w:rFonts w:ascii="Times New Roman" w:hAnsi="Times New Roman" w:eastAsia="Times New Roman" w:cs="Times New Roman"/>
          <w:noProof w:val="0"/>
          <w:color w:val="auto"/>
          <w:sz w:val="24"/>
          <w:szCs w:val="24"/>
          <w:lang w:val="en-US"/>
        </w:rPr>
      </w:pPr>
      <w:r w:rsidRPr="02F610D6" w:rsidR="21D2CEB0">
        <w:rPr>
          <w:rFonts w:ascii="Times New Roman" w:hAnsi="Times New Roman" w:eastAsia="Times New Roman" w:cs="Times New Roman"/>
          <w:noProof w:val="0"/>
          <w:color w:val="auto"/>
          <w:sz w:val="24"/>
          <w:szCs w:val="24"/>
          <w:lang w:val="en-US"/>
        </w:rPr>
        <w:t xml:space="preserve">Rundell, K. (2020, November 3). </w:t>
      </w:r>
      <w:r w:rsidRPr="02F610D6" w:rsidR="21D2CEB0">
        <w:rPr>
          <w:rFonts w:ascii="Times New Roman" w:hAnsi="Times New Roman" w:eastAsia="Times New Roman" w:cs="Times New Roman"/>
          <w:i w:val="1"/>
          <w:iCs w:val="1"/>
          <w:noProof w:val="0"/>
          <w:color w:val="auto"/>
          <w:sz w:val="24"/>
          <w:szCs w:val="24"/>
          <w:lang w:val="en-US"/>
        </w:rPr>
        <w:t>The education system in ancient Greece</w:t>
      </w:r>
      <w:r w:rsidRPr="02F610D6" w:rsidR="21D2CEB0">
        <w:rPr>
          <w:rFonts w:ascii="Times New Roman" w:hAnsi="Times New Roman" w:eastAsia="Times New Roman" w:cs="Times New Roman"/>
          <w:noProof w:val="0"/>
          <w:color w:val="auto"/>
          <w:sz w:val="24"/>
          <w:szCs w:val="24"/>
          <w:lang w:val="en-US"/>
        </w:rPr>
        <w:t>. Classical Wisdom.</w:t>
      </w:r>
    </w:p>
    <w:p xmlns:wp14="http://schemas.microsoft.com/office/word/2010/wordml" w:rsidP="191CB9E4" wp14:paraId="2C078E63" wp14:textId="6BD66163">
      <w:pPr>
        <w:rPr>
          <w:color w:val="auto"/>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610D6"/>
    <w:rsid w:val="02F8232C"/>
    <w:rsid w:val="049256A7"/>
    <w:rsid w:val="05F6A930"/>
    <w:rsid w:val="0803A492"/>
    <w:rsid w:val="09A3E703"/>
    <w:rsid w:val="0AC85535"/>
    <w:rsid w:val="1038F135"/>
    <w:rsid w:val="147D8AC8"/>
    <w:rsid w:val="155F2FC9"/>
    <w:rsid w:val="158C265A"/>
    <w:rsid w:val="17FA5923"/>
    <w:rsid w:val="19006EF4"/>
    <w:rsid w:val="191CB9E4"/>
    <w:rsid w:val="1A054D46"/>
    <w:rsid w:val="1C1A51CE"/>
    <w:rsid w:val="1C26E9E4"/>
    <w:rsid w:val="214B6B8E"/>
    <w:rsid w:val="21D2CEB0"/>
    <w:rsid w:val="24350CB9"/>
    <w:rsid w:val="24E9C49C"/>
    <w:rsid w:val="258E2C3A"/>
    <w:rsid w:val="26606458"/>
    <w:rsid w:val="26CB6AE8"/>
    <w:rsid w:val="273D6293"/>
    <w:rsid w:val="2786ABFA"/>
    <w:rsid w:val="27CED5C0"/>
    <w:rsid w:val="2F42F707"/>
    <w:rsid w:val="31258871"/>
    <w:rsid w:val="3125EAFB"/>
    <w:rsid w:val="37F2FD23"/>
    <w:rsid w:val="3908247E"/>
    <w:rsid w:val="392F29A3"/>
    <w:rsid w:val="3E84DE7A"/>
    <w:rsid w:val="3EE3F0BA"/>
    <w:rsid w:val="41F2129E"/>
    <w:rsid w:val="434D0E0C"/>
    <w:rsid w:val="43B03324"/>
    <w:rsid w:val="43E74DD2"/>
    <w:rsid w:val="45F67536"/>
    <w:rsid w:val="47A33C2F"/>
    <w:rsid w:val="4B023D25"/>
    <w:rsid w:val="4B64FBA6"/>
    <w:rsid w:val="4CCBE626"/>
    <w:rsid w:val="4D13B700"/>
    <w:rsid w:val="4D36EC0C"/>
    <w:rsid w:val="5361BAF2"/>
    <w:rsid w:val="584398EB"/>
    <w:rsid w:val="59C5B7C8"/>
    <w:rsid w:val="59C75EF3"/>
    <w:rsid w:val="5B2B274B"/>
    <w:rsid w:val="5C657DC0"/>
    <w:rsid w:val="5EA77EAC"/>
    <w:rsid w:val="606B3327"/>
    <w:rsid w:val="616EA675"/>
    <w:rsid w:val="62629F83"/>
    <w:rsid w:val="62D81F33"/>
    <w:rsid w:val="63527407"/>
    <w:rsid w:val="6367E090"/>
    <w:rsid w:val="6543A967"/>
    <w:rsid w:val="66DE0415"/>
    <w:rsid w:val="674115D7"/>
    <w:rsid w:val="67D152AE"/>
    <w:rsid w:val="686140D3"/>
    <w:rsid w:val="690D5656"/>
    <w:rsid w:val="6D26CA65"/>
    <w:rsid w:val="6E050892"/>
    <w:rsid w:val="6EBC355B"/>
    <w:rsid w:val="6FEF2F0E"/>
    <w:rsid w:val="70597809"/>
    <w:rsid w:val="778FE904"/>
    <w:rsid w:val="799FC08E"/>
    <w:rsid w:val="7BAAEF29"/>
    <w:rsid w:val="7BC830D0"/>
    <w:rsid w:val="7F06F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2026-09-12T04:51:59.4210619Z</dcterms:modified>
  <dc:creator>Mubashir Ali</dc:creator>
  <lastModifiedBy>Mubashir Ali</lastModifiedBy>
</coreProperties>
</file>