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IAM Hands-On Lab Portfolio</w:t>
      </w:r>
    </w:p>
    <w:p>
      <w:pPr>
        <w:pStyle w:val="Subtitle"/>
      </w:pPr>
      <w:r>
        <w:t xml:space="preserve">Module M2 — Initial Configuration of Microsoft Entra ID</w:t>
      </w:r>
    </w:p>
    <w:p>
      <w:pPr>
        <w:spacing w:after="160"/>
        <w:jc w:val="center"/>
      </w:pPr>
      <w:r>
        <w:rPr>
          <w:color w:val="6B7280"/>
          <w:sz w:val="20"/>
          <w:szCs w:val="20"/>
        </w:rPr>
        <w:t xml:space="preserve">Mubashshir Athani  •  SC-300 Track  •  Free Entra ID tenant lab  •  Completed Sep 2026</w:t>
      </w:r>
    </w:p>
    <w:p>
      <w:pPr>
        <w:pBdr>
          <w:bottom w:val="single" w:color="D0D7E5" w:sz="6"/>
        </w:pBdr>
        <w:spacing w:after="16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2E549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360"/>
            <w:shd w:fill="EE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About this lab</w:t>
            </w:r>
          </w:p>
          <w:p>
            <w:pPr>
              <w:spacing w:after="60" w:line="276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This document is hands-on evidence that I configured a Microsoft Entra ID tenant from scratch in a free lab environment — covering navigation, sign-in branding, least-privilege role assignment, and tenant-wide governance settings. Each task below shows what I did, why it matters, and a real screenshot.</w:t>
            </w:r>
          </w:p>
          <w:p>
            <w:pPr>
              <w:spacing w:after="60" w:line="276"/>
            </w:pPr>
            <w:r>
              <w:rPr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Lab tenant: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mubbolaboutlook.onmicrosoft.com  •  Test users: login1, login2, login3  •  Role: Global Administrator (me).</w:t>
            </w:r>
          </w:p>
        </w:tc>
      </w:tr>
    </w:tbl>
    <w:p>
      <w:pPr>
        <w:pStyle w:val="Heading1"/>
      </w:pPr>
      <w:r>
        <w:t xml:space="preserve">Task 1 — Explore the Entra admin center</w:t>
      </w:r>
    </w:p>
    <w:tbl>
      <w:tblPr>
        <w:tblW w:type="dxa" w:w="9360"/>
        <w:tblBorders>
          <w:top w:val="none" w:color="FFFFFF" w:sz="0"/>
          <w:left w:val="single" w:color="2E549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360"/>
            <w:shd w:fill="F4F7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🔧 What I did</w:t>
            </w:r>
          </w:p>
          <w:p>
            <w:pPr>
              <w:spacing w:after="60" w:line="276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Signed in to the Entra admin center and located the tenant Overview — confirmed the Tenant ID (74f67e36-c136-4c85-8fef-8fdba9c7a4a3), primary domain, license (Entra ID Free), and that all 4 users exist.</w:t>
            </w:r>
          </w:p>
        </w:tc>
      </w:tr>
    </w:tbl>
    <w:tbl>
      <w:tblPr>
        <w:tblW w:type="dxa" w:w="9360"/>
        <w:tblBorders>
          <w:top w:val="none" w:color="FFFFFF" w:sz="0"/>
          <w:left w:val="single" w:color="3B7A3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360"/>
            <w:shd w:fill="E7F0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5A2E"/>
                <w:sz w:val="22"/>
                <w:szCs w:val="22"/>
              </w:rPr>
              <w:t xml:space="preserve">💡 Why it matters</w:t>
            </w:r>
          </w:p>
          <w:p>
            <w:pPr>
              <w:spacing w:after="60" w:line="276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The Overview is an admin’s home base — you confirm tenant identity, domain, and license state before making any change.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5334000" cy="3457575"/>
            <wp:effectExtent t="0" r="0" b="0" l="0"/>
            <wp:docPr id="1" name="task1_overview.png" descr="Tenant Overview — Tenant ID, primary domain, license, and 4 users.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📸 Tenant Overview — Tenant ID, primary domain, license, and 4 users.</w:t>
      </w:r>
    </w:p>
    <w:p>
      <w:pPr>
        <w:pStyle w:val="Heading1"/>
      </w:pPr>
      <w:r>
        <w:t xml:space="preserve">Task 2 — Configure Company Branding</w:t>
      </w:r>
    </w:p>
    <w:tbl>
      <w:tblPr>
        <w:tblW w:type="dxa" w:w="9360"/>
        <w:tblBorders>
          <w:top w:val="none" w:color="FFFFFF" w:sz="0"/>
          <w:left w:val="single" w:color="2E549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360"/>
            <w:shd w:fill="F4F7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🔧 What I did</w:t>
            </w:r>
          </w:p>
          <w:p>
            <w:pPr>
              <w:spacing w:after="60" w:line="276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Customised the default sign-in experience — set a page background colour (#72a175 green) and a footer message “Mubashshir IT Security – Securing every dot”. Left all image fields empty (all optional).</w:t>
            </w:r>
          </w:p>
        </w:tc>
      </w:tr>
    </w:tbl>
    <w:tbl>
      <w:tblPr>
        <w:tblW w:type="dxa" w:w="9360"/>
        <w:tblBorders>
          <w:top w:val="none" w:color="FFFFFF" w:sz="0"/>
          <w:left w:val="single" w:color="3B7A3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360"/>
            <w:shd w:fill="E7F0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5A2E"/>
                <w:sz w:val="22"/>
                <w:szCs w:val="22"/>
              </w:rPr>
              <w:t xml:space="preserve">💡 Why it matters</w:t>
            </w:r>
          </w:p>
          <w:p>
            <w:pPr>
              <w:spacing w:after="60" w:line="276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Branding is a security control, not decoration: users who recognise their real sign-in page are far less likely to fall for phishing pages that lack it.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task2_branding.png" descr="Company Branding config — background colour + footer text saved (images skipped).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📸 Company Branding config — background colour + footer text saved (images skipped).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task2_signin.png" descr="Branding live — login1’s sign-in page shows the custom green background.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📸 Branding live — login1’s sign-in page shows the custom green background.</w:t>
      </w:r>
    </w:p>
    <w:p>
      <w:pPr>
        <w:pStyle w:val="Heading1"/>
      </w:pPr>
      <w:r>
        <w:t xml:space="preserve">Task 3 — Assign an Admin Role (Least Privilege)</w:t>
      </w:r>
    </w:p>
    <w:tbl>
      <w:tblPr>
        <w:tblW w:type="dxa" w:w="9360"/>
        <w:tblBorders>
          <w:top w:val="none" w:color="FFFFFF" w:sz="0"/>
          <w:left w:val="single" w:color="2E549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360"/>
            <w:shd w:fill="F4F7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🔧 What I did</w:t>
            </w:r>
          </w:p>
          <w:p>
            <w:pPr>
              <w:spacing w:after="60" w:line="276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Assigned login1 (Khadija Athani) the Helpdesk Administrator role — a focused role limited to password resets for non-admin users — instead of Global Administrator.</w:t>
            </w:r>
          </w:p>
        </w:tc>
      </w:tr>
    </w:tbl>
    <w:tbl>
      <w:tblPr>
        <w:tblW w:type="dxa" w:w="9360"/>
        <w:tblBorders>
          <w:top w:val="none" w:color="FFFFFF" w:sz="0"/>
          <w:left w:val="single" w:color="3B7A3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360"/>
            <w:shd w:fill="E7F0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5A2E"/>
                <w:sz w:val="22"/>
                <w:szCs w:val="22"/>
              </w:rPr>
              <w:t xml:space="preserve">💡 Why it matters</w:t>
            </w:r>
          </w:p>
          <w:p>
            <w:pPr>
              <w:spacing w:after="60" w:line="276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This is Least Privilege in practice: grant the minimum role the job needs. If the account is compromised, the blast radius is tiny — no billing, no Conditional Access, no ability to create other admins.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task3_assign.png" descr="Add assignments — selecting login1 for the Helpdesk Administrator role.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📸 Add assignments — selecting login1 for the Helpdesk Administrator role.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task3_leastpriv.png" descr="Least Privilege proof — login1 assigned Helpdesk Administrator (Directory scope), not Global Admin.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📸 Least Privilege proof — login1 assigned Helpdesk Administrator (Directory scope), not Global Admin.</w:t>
      </w:r>
    </w:p>
    <w:p>
      <w:pPr>
        <w:pStyle w:val="Heading1"/>
      </w:pPr>
      <w:r>
        <w:t xml:space="preserve">Task 4 — Harden Tenant-wide Settings</w:t>
      </w:r>
    </w:p>
    <w:tbl>
      <w:tblPr>
        <w:tblW w:type="dxa" w:w="9360"/>
        <w:tblBorders>
          <w:top w:val="none" w:color="FFFFFF" w:sz="0"/>
          <w:left w:val="single" w:color="2E549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360"/>
            <w:shd w:fill="F4F7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🔧 What I did</w:t>
            </w:r>
          </w:p>
          <w:p>
            <w:pPr>
              <w:spacing w:after="60" w:line="276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In User settings, set “Users can register applications” to No and “Restrict access to the Microsoft Entra admin center” to Yes. Reviewed guest-access restrictions (left at limited access).</w:t>
            </w:r>
          </w:p>
        </w:tc>
      </w:tr>
    </w:tbl>
    <w:tbl>
      <w:tblPr>
        <w:tblW w:type="dxa" w:w="9360"/>
        <w:tblBorders>
          <w:top w:val="none" w:color="FFFFFF" w:sz="0"/>
          <w:left w:val="single" w:color="3B7A3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360"/>
            <w:shd w:fill="E7F0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5A2E"/>
                <w:sz w:val="22"/>
                <w:szCs w:val="22"/>
              </w:rPr>
              <w:t xml:space="preserve">💡 Why it matters</w:t>
            </w:r>
          </w:p>
          <w:p>
            <w:pPr>
              <w:spacing w:after="60" w:line="276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These are tenant-wide governance defaults — they apply to everyone at once. Disabling self-service app registration reduces shadow-IT risk; restricting admin-center access keeps normal users out of the management portal.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task4_usersettings.png" descr="User settings — app registration disabled and admin-center access restricted.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📸 User settings — app registration disabled and admin-center access restricted.</w:t>
      </w:r>
    </w:p>
    <w:p>
      <w:pPr>
        <w:pStyle w:val="Heading1"/>
      </w:pPr>
      <w:r>
        <w:t xml:space="preserve">Skills demonstrated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Skill proven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Explore admin center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Confident navigation of Microsoft Entra ID; reading tenant identity &amp; license.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Company branding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Anti-phishing hardening of the sign-in experience.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Admin role assignment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Least Privilege — scoped role assignment over Global Admin.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Tenant-wide settings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Governance hardening — app registration &amp; admin-center restrictions.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top w:val="single" w:color="D0D7E5" w:sz="6"/>
        </w:pBdr>
        <w:spacing w:after="80" w:before="200"/>
      </w:pPr>
      <w:r>
        <w:t xml:space="preserve"/>
      </w: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Part of my SC-300 (Microsoft Identity &amp; Access Administrator) hands-on learning journey.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qFormat/>
    <w:pPr>
      <w:spacing w:after="80"/>
      <w:jc w:val="center"/>
    </w:pPr>
    <w:rPr>
      <w:b/>
      <w:bCs/>
      <w:color w:val="1F3864"/>
      <w:sz w:val="44"/>
      <w:szCs w:val="44"/>
    </w:rPr>
  </w:style>
  <w:style w:type="paragraph" w:styleId="Subtitle">
    <w:name w:val="Subtitle"/>
    <w:basedOn w:val="Normal"/>
    <w:pPr>
      <w:spacing w:after="240"/>
      <w:jc w:val="center"/>
    </w:pPr>
    <w:rPr>
      <w:i/>
      <w:iCs/>
      <w:color w:val="5B7DB1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3864"/>
      <w:sz w:val="28"/>
      <w:szCs w:val="28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color w:val="6B7280"/>
      <w:sz w:val="18"/>
      <w:szCs w:val="18"/>
    </w:rPr>
  </w:style>
  <w:style w:type="paragraph" w:styleId="BodyText">
    <w:name w:val="Body Text"/>
    <w:basedOn w:val="Normal"/>
    <w:pPr>
      <w:spacing w:after="140" w:line="288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fbb4f2e61805e7619fdcec886d68d9a3a24a08.png"/><Relationship Id="rId8" Type="http://schemas.openxmlformats.org/officeDocument/2006/relationships/image" Target="media/d95160d1355ba1c4eea0e8559008215c690b8ae2.png"/><Relationship Id="rId9" Type="http://schemas.openxmlformats.org/officeDocument/2006/relationships/image" Target="media/d406efeaebc6aa47948cbc79451381b316da5be1.png"/><Relationship Id="rId10" Type="http://schemas.openxmlformats.org/officeDocument/2006/relationships/image" Target="media/3c3d1592693ea672ddac43d5bcd0dc67682b3222.png"/><Relationship Id="rId11" Type="http://schemas.openxmlformats.org/officeDocument/2006/relationships/image" Target="media/95ae44c5f6f266a63c885d97b7a780e37585622d.png"/><Relationship Id="rId12" Type="http://schemas.openxmlformats.org/officeDocument/2006/relationships/image" Target="media/45a2783e144c9fdd23655e0b4340f01520ee46b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FBDDA6B-4C4F-4F64-A060-40E4A7AE5E9A}">
  <we:reference id="WA200010615" version="1.0.10036.0" store="en-us" storeType="OMEX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2026-09-20T14:59:13.768Z</dcterms:created>
  <dcterms:modified xsi:type="dcterms:W3CDTF">2026-09-20T14:59:13.768Z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