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3D1" w:rsidRPr="003F3B62" w:rsidRDefault="003F3B62" w:rsidP="003F3B62">
      <w:pPr>
        <w:pStyle w:val="Titre1"/>
      </w:pPr>
      <w:r w:rsidRPr="003F3B62">
        <w:t>Equilibres solide-liquide des mélanges d’eau et d’acide acétique</w:t>
      </w:r>
    </w:p>
    <w:p w:rsidR="003F3B62" w:rsidRPr="003F3B62" w:rsidRDefault="003F3B62" w:rsidP="003F3B62">
      <w:pPr>
        <w:pStyle w:val="Titre2"/>
      </w:pPr>
      <w:r w:rsidRPr="003F3B62">
        <w:t>Compilation des données bibliographiques :</w:t>
      </w:r>
    </w:p>
    <w:p w:rsidR="003F3B62" w:rsidRPr="00D27823" w:rsidRDefault="00B727F3" w:rsidP="00D27823">
      <w:pPr>
        <w:pStyle w:val="Lgende"/>
      </w:pPr>
      <w:r w:rsidRPr="00B727F3">
        <w:rPr>
          <w:noProof/>
          <w:lang w:eastAsia="fr-FR"/>
        </w:rPr>
        <w:drawing>
          <wp:inline distT="0" distB="0" distL="0" distR="0">
            <wp:extent cx="5759975" cy="420082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1"/>
                    <a:stretch/>
                  </pic:blipFill>
                  <pic:spPr bwMode="auto">
                    <a:xfrm>
                      <a:off x="0" y="0"/>
                      <a:ext cx="5760720" cy="42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3B62" w:rsidRPr="00D27823">
        <w:t xml:space="preserve">Figure </w:t>
      </w:r>
      <w:r w:rsidR="004D3DF5">
        <w:fldChar w:fldCharType="begin"/>
      </w:r>
      <w:r w:rsidR="00C55003">
        <w:instrText xml:space="preserve"> SEQ Figure \* ARABIC </w:instrText>
      </w:r>
      <w:r w:rsidR="004D3DF5">
        <w:fldChar w:fldCharType="separate"/>
      </w:r>
      <w:r w:rsidR="003F3B62" w:rsidRPr="00D27823">
        <w:t>1</w:t>
      </w:r>
      <w:r w:rsidR="004D3DF5">
        <w:fldChar w:fldCharType="end"/>
      </w:r>
      <w:r w:rsidR="003F3B62" w:rsidRPr="00D27823">
        <w:t> : Diagramme de phases pour l’acide acétique et l</w:t>
      </w:r>
      <w:r w:rsidR="00307C4E">
        <w:t>’eau avec les points expérimentaux.</w:t>
      </w:r>
    </w:p>
    <w:p w:rsidR="00F2607C" w:rsidRPr="00F2607C" w:rsidRDefault="00F2607C" w:rsidP="003F3B62">
      <w:pPr>
        <w:rPr>
          <w:b/>
        </w:rPr>
      </w:pPr>
      <w:r>
        <w:rPr>
          <w:b/>
        </w:rPr>
        <w:t>Informations clés des composés pures :</w:t>
      </w:r>
    </w:p>
    <w:tbl>
      <w:tblPr>
        <w:tblStyle w:val="Grilledutableau"/>
        <w:tblW w:w="8172" w:type="dxa"/>
        <w:tblLook w:val="04A0" w:firstRow="1" w:lastRow="0" w:firstColumn="1" w:lastColumn="0" w:noHBand="0" w:noVBand="1"/>
      </w:tblPr>
      <w:tblGrid>
        <w:gridCol w:w="4106"/>
        <w:gridCol w:w="2126"/>
        <w:gridCol w:w="1940"/>
      </w:tblGrid>
      <w:tr w:rsidR="00F2607C" w:rsidTr="00244F3F">
        <w:tc>
          <w:tcPr>
            <w:tcW w:w="4106" w:type="dxa"/>
          </w:tcPr>
          <w:p w:rsidR="00F2607C" w:rsidRDefault="00F2607C" w:rsidP="003F3B62"/>
        </w:tc>
        <w:tc>
          <w:tcPr>
            <w:tcW w:w="2126" w:type="dxa"/>
          </w:tcPr>
          <w:p w:rsidR="00F2607C" w:rsidRPr="00F2607C" w:rsidRDefault="00F2607C" w:rsidP="003F3B62">
            <w:pPr>
              <w:rPr>
                <w:b/>
              </w:rPr>
            </w:pPr>
            <w:r w:rsidRPr="00F2607C">
              <w:rPr>
                <w:b/>
              </w:rPr>
              <w:t>CH</w:t>
            </w:r>
            <w:r w:rsidRPr="00F2607C">
              <w:rPr>
                <w:b/>
                <w:vertAlign w:val="subscript"/>
              </w:rPr>
              <w:t>3</w:t>
            </w:r>
            <w:r w:rsidRPr="00F2607C">
              <w:rPr>
                <w:b/>
              </w:rPr>
              <w:t>COOH</w:t>
            </w:r>
          </w:p>
        </w:tc>
        <w:tc>
          <w:tcPr>
            <w:tcW w:w="1940" w:type="dxa"/>
          </w:tcPr>
          <w:p w:rsidR="00F2607C" w:rsidRPr="00F2607C" w:rsidRDefault="00F2607C" w:rsidP="003F3B62">
            <w:pPr>
              <w:rPr>
                <w:b/>
              </w:rPr>
            </w:pPr>
            <w:r w:rsidRPr="00F2607C">
              <w:rPr>
                <w:b/>
              </w:rPr>
              <w:t>H</w:t>
            </w:r>
            <w:r w:rsidRPr="00F2607C">
              <w:rPr>
                <w:b/>
                <w:vertAlign w:val="subscript"/>
              </w:rPr>
              <w:t>2</w:t>
            </w:r>
            <w:r w:rsidRPr="00F2607C">
              <w:rPr>
                <w:b/>
              </w:rPr>
              <w:t>O</w:t>
            </w:r>
          </w:p>
        </w:tc>
      </w:tr>
      <w:tr w:rsidR="00F2607C" w:rsidTr="00244F3F">
        <w:tc>
          <w:tcPr>
            <w:tcW w:w="4106" w:type="dxa"/>
          </w:tcPr>
          <w:p w:rsidR="00F2607C" w:rsidRDefault="00F2607C" w:rsidP="003F3B62">
            <w:r>
              <w:t>Température de fusion (°C)</w:t>
            </w:r>
          </w:p>
        </w:tc>
        <w:tc>
          <w:tcPr>
            <w:tcW w:w="2126" w:type="dxa"/>
          </w:tcPr>
          <w:p w:rsidR="00F2607C" w:rsidRDefault="00F2607C" w:rsidP="003F3B62">
            <w:r>
              <w:t>16,5±0.6</w:t>
            </w:r>
          </w:p>
        </w:tc>
        <w:tc>
          <w:tcPr>
            <w:tcW w:w="1940" w:type="dxa"/>
          </w:tcPr>
          <w:p w:rsidR="00F2607C" w:rsidRDefault="00F2607C" w:rsidP="003F3B62">
            <w:r>
              <w:t xml:space="preserve">0 </w:t>
            </w:r>
          </w:p>
        </w:tc>
      </w:tr>
      <w:tr w:rsidR="00F2607C" w:rsidTr="00244F3F">
        <w:tc>
          <w:tcPr>
            <w:tcW w:w="4106" w:type="dxa"/>
          </w:tcPr>
          <w:p w:rsidR="00F2607C" w:rsidRDefault="00F2607C" w:rsidP="003F3B62">
            <w:r>
              <w:t>Température d’ébullition (°C)</w:t>
            </w:r>
          </w:p>
        </w:tc>
        <w:tc>
          <w:tcPr>
            <w:tcW w:w="2126" w:type="dxa"/>
          </w:tcPr>
          <w:p w:rsidR="00F2607C" w:rsidRDefault="00F2607C" w:rsidP="003F3B62">
            <w:r>
              <w:t xml:space="preserve">118±0.6 </w:t>
            </w:r>
          </w:p>
        </w:tc>
        <w:tc>
          <w:tcPr>
            <w:tcW w:w="1940" w:type="dxa"/>
          </w:tcPr>
          <w:p w:rsidR="00F2607C" w:rsidRDefault="00F2607C" w:rsidP="003F3B62">
            <w:r>
              <w:t xml:space="preserve">100 </w:t>
            </w:r>
          </w:p>
        </w:tc>
      </w:tr>
      <w:tr w:rsidR="00244F3F" w:rsidTr="00244F3F">
        <w:tc>
          <w:tcPr>
            <w:tcW w:w="4106" w:type="dxa"/>
          </w:tcPr>
          <w:p w:rsidR="00244F3F" w:rsidRDefault="00244F3F" w:rsidP="003F3B62">
            <w:r>
              <w:t>Masse volumique à 20°C (g.mol</w:t>
            </w:r>
            <w:r w:rsidRPr="00244F3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126" w:type="dxa"/>
          </w:tcPr>
          <w:p w:rsidR="00244F3F" w:rsidRDefault="00244F3F" w:rsidP="003F3B62">
            <w:r>
              <w:t>1,05</w:t>
            </w:r>
          </w:p>
        </w:tc>
        <w:tc>
          <w:tcPr>
            <w:tcW w:w="1940" w:type="dxa"/>
          </w:tcPr>
          <w:p w:rsidR="00244F3F" w:rsidRDefault="00244F3F" w:rsidP="003F3B62">
            <w:r>
              <w:t>1,0</w:t>
            </w:r>
          </w:p>
        </w:tc>
      </w:tr>
      <w:tr w:rsidR="00244F3F" w:rsidTr="00244F3F">
        <w:tc>
          <w:tcPr>
            <w:tcW w:w="4106" w:type="dxa"/>
          </w:tcPr>
          <w:p w:rsidR="00244F3F" w:rsidRDefault="00244F3F" w:rsidP="003F3B62">
            <w:r>
              <w:t>Masse molaire (g.mol</w:t>
            </w:r>
            <w:r w:rsidRPr="00244F3F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126" w:type="dxa"/>
          </w:tcPr>
          <w:p w:rsidR="00244F3F" w:rsidRDefault="00244F3F" w:rsidP="003F3B62">
            <w:r>
              <w:t>60,05</w:t>
            </w:r>
          </w:p>
        </w:tc>
        <w:tc>
          <w:tcPr>
            <w:tcW w:w="1940" w:type="dxa"/>
          </w:tcPr>
          <w:p w:rsidR="00244F3F" w:rsidRDefault="00244F3F" w:rsidP="003F3B62">
            <w:r>
              <w:t>18</w:t>
            </w:r>
          </w:p>
        </w:tc>
      </w:tr>
    </w:tbl>
    <w:p w:rsidR="00F2607C" w:rsidRDefault="00F2607C" w:rsidP="003F3B62"/>
    <w:p w:rsidR="00F2607C" w:rsidRPr="00F2607C" w:rsidRDefault="00F2607C" w:rsidP="003F3B62">
      <w:pPr>
        <w:rPr>
          <w:b/>
        </w:rPr>
      </w:pPr>
      <w:r w:rsidRPr="00F2607C">
        <w:rPr>
          <w:b/>
        </w:rPr>
        <w:t>Point eutectique</w:t>
      </w:r>
      <w:r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034"/>
      </w:tblGrid>
      <w:tr w:rsidR="00F2607C" w:rsidTr="00244F3F">
        <w:tc>
          <w:tcPr>
            <w:tcW w:w="3020" w:type="dxa"/>
          </w:tcPr>
          <w:p w:rsidR="00F2607C" w:rsidRDefault="00F2607C" w:rsidP="00F2607C"/>
        </w:tc>
        <w:tc>
          <w:tcPr>
            <w:tcW w:w="3021" w:type="dxa"/>
          </w:tcPr>
          <w:p w:rsidR="00F2607C" w:rsidRPr="00F2607C" w:rsidRDefault="00F2607C" w:rsidP="00F2607C">
            <w:pPr>
              <w:rPr>
                <w:b/>
              </w:rPr>
            </w:pPr>
            <w:r w:rsidRPr="00F2607C">
              <w:rPr>
                <w:b/>
              </w:rPr>
              <w:t>CH</w:t>
            </w:r>
            <w:r w:rsidRPr="00F2607C">
              <w:rPr>
                <w:b/>
                <w:vertAlign w:val="subscript"/>
              </w:rPr>
              <w:t>3</w:t>
            </w:r>
            <w:r w:rsidRPr="00F2607C">
              <w:rPr>
                <w:b/>
              </w:rPr>
              <w:t>COOH</w:t>
            </w:r>
          </w:p>
        </w:tc>
        <w:tc>
          <w:tcPr>
            <w:tcW w:w="2034" w:type="dxa"/>
          </w:tcPr>
          <w:p w:rsidR="00F2607C" w:rsidRPr="00F2607C" w:rsidRDefault="00F2607C" w:rsidP="00F2607C">
            <w:pPr>
              <w:rPr>
                <w:b/>
              </w:rPr>
            </w:pPr>
            <w:r w:rsidRPr="00F2607C">
              <w:rPr>
                <w:b/>
              </w:rPr>
              <w:t>H</w:t>
            </w:r>
            <w:r w:rsidRPr="00F2607C">
              <w:rPr>
                <w:b/>
                <w:vertAlign w:val="subscript"/>
              </w:rPr>
              <w:t>2</w:t>
            </w:r>
            <w:r w:rsidRPr="00F2607C">
              <w:rPr>
                <w:b/>
              </w:rPr>
              <w:t>O</w:t>
            </w:r>
          </w:p>
        </w:tc>
      </w:tr>
      <w:tr w:rsidR="00F2607C" w:rsidTr="00244F3F">
        <w:tc>
          <w:tcPr>
            <w:tcW w:w="3020" w:type="dxa"/>
          </w:tcPr>
          <w:p w:rsidR="00F2607C" w:rsidRDefault="00F2607C" w:rsidP="00F2607C">
            <w:r>
              <w:t>Composition (massique %)</w:t>
            </w:r>
          </w:p>
        </w:tc>
        <w:tc>
          <w:tcPr>
            <w:tcW w:w="3021" w:type="dxa"/>
          </w:tcPr>
          <w:p w:rsidR="00F2607C" w:rsidRDefault="00F2607C" w:rsidP="00F2607C">
            <w:r>
              <w:t>59,8</w:t>
            </w:r>
          </w:p>
        </w:tc>
        <w:tc>
          <w:tcPr>
            <w:tcW w:w="2034" w:type="dxa"/>
          </w:tcPr>
          <w:p w:rsidR="00F2607C" w:rsidRDefault="00F2607C" w:rsidP="00F2607C">
            <w:r>
              <w:t>40,2</w:t>
            </w:r>
          </w:p>
        </w:tc>
      </w:tr>
      <w:tr w:rsidR="00F2607C" w:rsidTr="00244F3F">
        <w:tc>
          <w:tcPr>
            <w:tcW w:w="3020" w:type="dxa"/>
            <w:tcBorders>
              <w:bottom w:val="single" w:sz="4" w:space="0" w:color="auto"/>
            </w:tcBorders>
          </w:tcPr>
          <w:p w:rsidR="00F2607C" w:rsidRDefault="00F2607C" w:rsidP="00F2607C">
            <w:r>
              <w:t>Composition (molaire %)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F2607C" w:rsidRDefault="00D27823" w:rsidP="00F2607C">
            <w:r>
              <w:t>69,1</w:t>
            </w:r>
          </w:p>
        </w:tc>
        <w:tc>
          <w:tcPr>
            <w:tcW w:w="2034" w:type="dxa"/>
            <w:tcBorders>
              <w:bottom w:val="single" w:sz="4" w:space="0" w:color="auto"/>
            </w:tcBorders>
          </w:tcPr>
          <w:p w:rsidR="00F2607C" w:rsidRDefault="00D27823" w:rsidP="00F2607C">
            <w:r>
              <w:t>30,9</w:t>
            </w:r>
          </w:p>
        </w:tc>
      </w:tr>
      <w:tr w:rsidR="00D27823" w:rsidTr="00244F3F">
        <w:tc>
          <w:tcPr>
            <w:tcW w:w="3020" w:type="dxa"/>
            <w:tcBorders>
              <w:bottom w:val="single" w:sz="4" w:space="0" w:color="auto"/>
            </w:tcBorders>
          </w:tcPr>
          <w:p w:rsidR="00D27823" w:rsidRDefault="00D27823" w:rsidP="00F2607C">
            <w:r>
              <w:t>Température (°C)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</w:tcPr>
          <w:p w:rsidR="00D27823" w:rsidRDefault="00D27823" w:rsidP="00F2607C">
            <w:r>
              <w:t>-26,95</w:t>
            </w:r>
          </w:p>
        </w:tc>
      </w:tr>
      <w:tr w:rsidR="00D27823" w:rsidTr="00244F3F">
        <w:tc>
          <w:tcPr>
            <w:tcW w:w="80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823" w:rsidRDefault="00D27823" w:rsidP="00D27823">
            <w:pPr>
              <w:jc w:val="right"/>
            </w:pPr>
            <w:r>
              <w:t>* V</w:t>
            </w:r>
            <w:r w:rsidRPr="00D27823">
              <w:t>aleurs retenues de</w:t>
            </w:r>
            <w:r w:rsidR="00B727F3">
              <w:t xml:space="preserve"> Barr et Newsham (1986</w:t>
            </w:r>
            <w:r>
              <w:t>)</w:t>
            </w:r>
          </w:p>
        </w:tc>
      </w:tr>
    </w:tbl>
    <w:p w:rsidR="00F2607C" w:rsidRDefault="00F2607C" w:rsidP="003F3B62">
      <w:bookmarkStart w:id="0" w:name="_GoBack"/>
      <w:bookmarkEnd w:id="0"/>
    </w:p>
    <w:p w:rsidR="00307C4E" w:rsidRPr="00D27823" w:rsidRDefault="00375C4D" w:rsidP="00307C4E">
      <w:pPr>
        <w:pStyle w:val="Lgende"/>
      </w:pPr>
      <w:r w:rsidRPr="00375C4D">
        <w:rPr>
          <w:noProof/>
          <w:lang w:eastAsia="fr-FR"/>
        </w:rPr>
        <w:lastRenderedPageBreak/>
        <w:drawing>
          <wp:inline distT="0" distB="0" distL="0" distR="0">
            <wp:extent cx="5760325" cy="410029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5"/>
                    <a:stretch/>
                  </pic:blipFill>
                  <pic:spPr bwMode="auto">
                    <a:xfrm>
                      <a:off x="0" y="0"/>
                      <a:ext cx="5760720" cy="41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7C4E" w:rsidRPr="00307C4E">
        <w:t xml:space="preserve"> </w:t>
      </w:r>
      <w:r w:rsidR="00307C4E" w:rsidRPr="00D27823">
        <w:t xml:space="preserve">Figure </w:t>
      </w:r>
      <w:fldSimple w:instr=" SEQ Figure \* ARABIC ">
        <w:r w:rsidR="00307C4E">
          <w:rPr>
            <w:noProof/>
          </w:rPr>
          <w:t>2</w:t>
        </w:r>
      </w:fldSimple>
      <w:r w:rsidR="00307C4E" w:rsidRPr="00D27823">
        <w:t> : Diagramme de phases pour l’acide acétique et l’eau.</w:t>
      </w:r>
    </w:p>
    <w:p w:rsidR="003F3B62" w:rsidRPr="00307C4E" w:rsidRDefault="00307C4E" w:rsidP="00F2607C">
      <w:pPr>
        <w:pStyle w:val="Titre1"/>
      </w:pPr>
      <w:r w:rsidRPr="00307C4E">
        <w:t>Références :</w:t>
      </w:r>
    </w:p>
    <w:p w:rsidR="00307C4E" w:rsidRPr="00307C4E" w:rsidRDefault="00307C4E" w:rsidP="00307C4E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307C4E">
        <w:rPr>
          <w:noProof/>
        </w:rPr>
        <w:t xml:space="preserve">(1) </w:t>
      </w:r>
      <w:r w:rsidRPr="00307C4E">
        <w:rPr>
          <w:noProof/>
        </w:rPr>
        <w:tab/>
        <w:t>Pickering S.U.</w:t>
      </w:r>
      <w:r>
        <w:rPr>
          <w:noProof/>
        </w:rPr>
        <w:t xml:space="preserve"> : « </w:t>
      </w:r>
      <w:r w:rsidRPr="00941CD7">
        <w:rPr>
          <w:i/>
          <w:noProof/>
        </w:rPr>
        <w:t>A Study of the Properties of some Strong Solutions</w:t>
      </w:r>
      <w:r>
        <w:rPr>
          <w:noProof/>
        </w:rPr>
        <w:t> »</w:t>
      </w:r>
      <w:r w:rsidRPr="00307C4E">
        <w:rPr>
          <w:noProof/>
        </w:rPr>
        <w:t>. J. Chem. Soc. London 63 (1893), 998-1027.</w:t>
      </w:r>
      <w:r w:rsidR="00941CD7">
        <w:rPr>
          <w:noProof/>
        </w:rPr>
        <w:t xml:space="preserve"> (Anglais)</w:t>
      </w:r>
    </w:p>
    <w:p w:rsidR="00307C4E" w:rsidRDefault="00307C4E" w:rsidP="00307C4E">
      <w:pPr>
        <w:widowControl w:val="0"/>
        <w:autoSpaceDE w:val="0"/>
        <w:autoSpaceDN w:val="0"/>
        <w:adjustRightInd w:val="0"/>
        <w:ind w:left="640" w:hanging="640"/>
        <w:rPr>
          <w:noProof/>
          <w:lang w:val="en-US"/>
        </w:rPr>
      </w:pPr>
      <w:r w:rsidRPr="00307C4E">
        <w:rPr>
          <w:noProof/>
        </w:rPr>
        <w:t xml:space="preserve">(2) </w:t>
      </w:r>
      <w:r w:rsidRPr="00307C4E">
        <w:rPr>
          <w:noProof/>
        </w:rPr>
        <w:tab/>
        <w:t xml:space="preserve">Faucon M.A. : </w:t>
      </w:r>
      <w:r>
        <w:rPr>
          <w:noProof/>
        </w:rPr>
        <w:t>« </w:t>
      </w:r>
      <w:r w:rsidRPr="00307C4E">
        <w:rPr>
          <w:noProof/>
        </w:rPr>
        <w:t>Recherches sur les Melanges d'Eau et d'Acides Gras</w:t>
      </w:r>
      <w:r>
        <w:rPr>
          <w:noProof/>
        </w:rPr>
        <w:t> »</w:t>
      </w:r>
      <w:r w:rsidRPr="00307C4E">
        <w:rPr>
          <w:noProof/>
        </w:rPr>
        <w:t xml:space="preserve">. </w:t>
      </w:r>
      <w:r w:rsidRPr="00307C4E">
        <w:rPr>
          <w:noProof/>
          <w:lang w:val="en-US"/>
        </w:rPr>
        <w:t>Ann. Chim.</w:t>
      </w:r>
      <w:r>
        <w:rPr>
          <w:noProof/>
          <w:lang w:val="en-US"/>
        </w:rPr>
        <w:t xml:space="preserve"> </w:t>
      </w:r>
      <w:r w:rsidRPr="00307C4E">
        <w:rPr>
          <w:noProof/>
          <w:lang w:val="en-US"/>
        </w:rPr>
        <w:t>Phys.</w:t>
      </w:r>
      <w:r>
        <w:rPr>
          <w:noProof/>
          <w:lang w:val="en-US"/>
        </w:rPr>
        <w:t xml:space="preserve"> </w:t>
      </w:r>
      <w:r w:rsidRPr="00307C4E">
        <w:rPr>
          <w:noProof/>
          <w:lang w:val="en-US"/>
        </w:rPr>
        <w:t>(Paris) 19 (1910)</w:t>
      </w:r>
      <w:r>
        <w:rPr>
          <w:noProof/>
          <w:lang w:val="en-US"/>
        </w:rPr>
        <w:t xml:space="preserve">, </w:t>
      </w:r>
      <w:r w:rsidRPr="00307C4E">
        <w:rPr>
          <w:noProof/>
          <w:lang w:val="en-US"/>
        </w:rPr>
        <w:t>70-152</w:t>
      </w:r>
      <w:r>
        <w:rPr>
          <w:noProof/>
          <w:lang w:val="en-US"/>
        </w:rPr>
        <w:t>.</w:t>
      </w:r>
    </w:p>
    <w:p w:rsidR="00307C4E" w:rsidRPr="00941CD7" w:rsidRDefault="00307C4E" w:rsidP="00307C4E">
      <w:pPr>
        <w:widowControl w:val="0"/>
        <w:autoSpaceDE w:val="0"/>
        <w:autoSpaceDN w:val="0"/>
        <w:adjustRightInd w:val="0"/>
        <w:ind w:left="640" w:hanging="640"/>
        <w:rPr>
          <w:noProof/>
          <w:lang w:val="en-US"/>
        </w:rPr>
      </w:pPr>
      <w:r w:rsidRPr="00941CD7">
        <w:rPr>
          <w:noProof/>
          <w:lang w:val="pt-BR"/>
        </w:rPr>
        <w:t xml:space="preserve">(3) </w:t>
      </w:r>
      <w:r w:rsidRPr="00941CD7">
        <w:rPr>
          <w:noProof/>
          <w:lang w:val="pt-BR"/>
        </w:rPr>
        <w:tab/>
      </w:r>
      <w:r w:rsidR="00941CD7" w:rsidRPr="00941CD7">
        <w:rPr>
          <w:noProof/>
        </w:rPr>
        <w:t>Hirata M., Hirose Y., Omi A., Kobayashi J. :</w:t>
      </w:r>
      <w:r w:rsidR="00941CD7" w:rsidRPr="00941CD7">
        <w:rPr>
          <w:noProof/>
          <w:lang w:val="pt-BR"/>
        </w:rPr>
        <w:t xml:space="preserve"> </w:t>
      </w:r>
      <w:r w:rsidR="00941CD7">
        <w:rPr>
          <w:noProof/>
        </w:rPr>
        <w:t>« </w:t>
      </w:r>
      <w:r w:rsidR="00941CD7" w:rsidRPr="00941CD7">
        <w:rPr>
          <w:i/>
          <w:noProof/>
        </w:rPr>
        <w:t>Solid-Liquid Equlibria of the System Acetic Acid-Water</w:t>
      </w:r>
      <w:r w:rsidR="00941CD7">
        <w:rPr>
          <w:noProof/>
        </w:rPr>
        <w:t xml:space="preserve"> ». </w:t>
      </w:r>
      <w:r w:rsidR="00941CD7" w:rsidRPr="00941CD7">
        <w:rPr>
          <w:noProof/>
          <w:lang w:val="en-US"/>
        </w:rPr>
        <w:t>Chemical engineering 23 (1959), 403-405.</w:t>
      </w:r>
      <w:r w:rsidR="00941CD7">
        <w:rPr>
          <w:noProof/>
          <w:lang w:val="en-US"/>
        </w:rPr>
        <w:t xml:space="preserve"> (Japonais)</w:t>
      </w:r>
    </w:p>
    <w:p w:rsidR="00307C4E" w:rsidRPr="00941CD7" w:rsidRDefault="00307C4E" w:rsidP="00307C4E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941CD7">
        <w:rPr>
          <w:noProof/>
        </w:rPr>
        <w:t xml:space="preserve">(4) </w:t>
      </w:r>
      <w:r w:rsidRPr="00941CD7">
        <w:rPr>
          <w:noProof/>
        </w:rPr>
        <w:tab/>
      </w:r>
      <w:r w:rsidR="00941CD7" w:rsidRPr="00941CD7">
        <w:rPr>
          <w:noProof/>
        </w:rPr>
        <w:t>Reid R. C., Pr</w:t>
      </w:r>
      <w:r w:rsidR="00941CD7">
        <w:rPr>
          <w:noProof/>
        </w:rPr>
        <w:t>ausnitz J. M., Sherwood T. K. : </w:t>
      </w:r>
      <w:r w:rsidR="00941CD7" w:rsidRPr="00941CD7">
        <w:rPr>
          <w:i/>
          <w:noProof/>
        </w:rPr>
        <w:t>The properties of Gases and Liquids</w:t>
      </w:r>
      <w:r w:rsidR="00941CD7">
        <w:rPr>
          <w:noProof/>
        </w:rPr>
        <w:t>, 3</w:t>
      </w:r>
      <w:r w:rsidR="00941CD7" w:rsidRPr="00941CD7">
        <w:rPr>
          <w:noProof/>
          <w:vertAlign w:val="superscript"/>
        </w:rPr>
        <w:t>ème</w:t>
      </w:r>
      <w:r w:rsidR="00941CD7">
        <w:rPr>
          <w:noProof/>
        </w:rPr>
        <w:t xml:space="preserve"> edition, McGraw-Hill, New York (1977). (Anglais)</w:t>
      </w:r>
    </w:p>
    <w:p w:rsidR="00307C4E" w:rsidRPr="00B727F3" w:rsidRDefault="00307C4E" w:rsidP="00307C4E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B727F3">
        <w:rPr>
          <w:noProof/>
          <w:lang w:val="en-US"/>
        </w:rPr>
        <w:t xml:space="preserve">(5) </w:t>
      </w:r>
      <w:r w:rsidRPr="00B727F3">
        <w:rPr>
          <w:noProof/>
          <w:lang w:val="en-US"/>
        </w:rPr>
        <w:tab/>
      </w:r>
      <w:r w:rsidR="00B727F3" w:rsidRPr="00B727F3">
        <w:rPr>
          <w:noProof/>
        </w:rPr>
        <w:t xml:space="preserve">Barr R. S., Newsham D. M. T. : </w:t>
      </w:r>
      <w:r w:rsidR="00B727F3">
        <w:rPr>
          <w:noProof/>
        </w:rPr>
        <w:t>« </w:t>
      </w:r>
      <w:r w:rsidR="00B727F3" w:rsidRPr="00B727F3">
        <w:rPr>
          <w:i/>
          <w:noProof/>
        </w:rPr>
        <w:t>Freezing Temperatures of Water, Arkanoic Acids and their Mixtures </w:t>
      </w:r>
      <w:r w:rsidR="00B727F3">
        <w:rPr>
          <w:noProof/>
        </w:rPr>
        <w:t>». J. Chem. Eng. 33 (1986), 79-86. (Anglais)</w:t>
      </w:r>
    </w:p>
    <w:p w:rsidR="00B727F3" w:rsidRPr="00B727F3" w:rsidRDefault="00307C4E" w:rsidP="00B727F3">
      <w:pPr>
        <w:widowControl w:val="0"/>
        <w:autoSpaceDE w:val="0"/>
        <w:autoSpaceDN w:val="0"/>
        <w:adjustRightInd w:val="0"/>
        <w:ind w:left="640" w:hanging="640"/>
      </w:pPr>
      <w:r w:rsidRPr="00B727F3">
        <w:rPr>
          <w:noProof/>
        </w:rPr>
        <w:t xml:space="preserve">(6) </w:t>
      </w:r>
      <w:r w:rsidRPr="00B727F3">
        <w:rPr>
          <w:noProof/>
        </w:rPr>
        <w:tab/>
      </w:r>
      <w:r w:rsidR="00B727F3">
        <w:rPr>
          <w:noProof/>
        </w:rPr>
        <w:t xml:space="preserve">Chemicals Ltd. B. P. : </w:t>
      </w:r>
      <w:r w:rsidR="00B727F3" w:rsidRPr="00B727F3">
        <w:rPr>
          <w:noProof/>
        </w:rPr>
        <w:t>communication privée</w:t>
      </w:r>
      <w:r w:rsidR="00B727F3">
        <w:rPr>
          <w:noProof/>
        </w:rPr>
        <w:t>.</w:t>
      </w:r>
    </w:p>
    <w:p w:rsidR="00F2607C" w:rsidRPr="003F3B62" w:rsidRDefault="00F2607C" w:rsidP="00307C4E">
      <w:pPr>
        <w:widowControl w:val="0"/>
        <w:autoSpaceDE w:val="0"/>
        <w:autoSpaceDN w:val="0"/>
        <w:adjustRightInd w:val="0"/>
        <w:ind w:left="640" w:hanging="640"/>
      </w:pPr>
    </w:p>
    <w:sectPr w:rsidR="00F2607C" w:rsidRPr="003F3B62" w:rsidSect="004D3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76B91"/>
    <w:multiLevelType w:val="hybridMultilevel"/>
    <w:tmpl w:val="41862EFE"/>
    <w:lvl w:ilvl="0" w:tplc="58F0515A">
      <w:start w:val="1"/>
      <w:numFmt w:val="bullet"/>
      <w:pStyle w:val="Titr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0MTA0NgUCY2NLAyUdpeDU4uLM/DyQAuNaAPK8K3IsAAAA"/>
  </w:docVars>
  <w:rsids>
    <w:rsidRoot w:val="003F3B62"/>
    <w:rsid w:val="0014195C"/>
    <w:rsid w:val="00244F3F"/>
    <w:rsid w:val="002540D6"/>
    <w:rsid w:val="00307C4E"/>
    <w:rsid w:val="00375C4D"/>
    <w:rsid w:val="003F3B62"/>
    <w:rsid w:val="004D3DF5"/>
    <w:rsid w:val="006E0FC7"/>
    <w:rsid w:val="00941CD7"/>
    <w:rsid w:val="009965F3"/>
    <w:rsid w:val="00B67613"/>
    <w:rsid w:val="00B727F3"/>
    <w:rsid w:val="00C168FB"/>
    <w:rsid w:val="00C55003"/>
    <w:rsid w:val="00D27823"/>
    <w:rsid w:val="00EB43D1"/>
    <w:rsid w:val="00EC72F2"/>
    <w:rsid w:val="00F2607C"/>
    <w:rsid w:val="00FC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859E"/>
  <w15:docId w15:val="{FA93FD21-6359-46A4-A9D5-2E8AA059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DF5"/>
  </w:style>
  <w:style w:type="paragraph" w:styleId="Titre1">
    <w:name w:val="heading 1"/>
    <w:basedOn w:val="Normal"/>
    <w:next w:val="Normal"/>
    <w:link w:val="Titre1Car"/>
    <w:uiPriority w:val="9"/>
    <w:qFormat/>
    <w:rsid w:val="003F3B62"/>
    <w:pPr>
      <w:keepNext/>
      <w:keepLines/>
      <w:spacing w:before="240" w:after="240"/>
      <w:outlineLvl w:val="0"/>
    </w:pPr>
    <w:rPr>
      <w:rFonts w:eastAsiaTheme="majorEastAsia" w:cstheme="minorHAnsi"/>
      <w:b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3B62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inorHAns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3B62"/>
    <w:rPr>
      <w:rFonts w:eastAsiaTheme="majorEastAsia" w:cstheme="minorHAnsi"/>
      <w:b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F3B62"/>
    <w:rPr>
      <w:rFonts w:eastAsiaTheme="majorEastAsia" w:cstheme="minorHAnsi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D27823"/>
    <w:pPr>
      <w:spacing w:after="200" w:line="240" w:lineRule="auto"/>
      <w:jc w:val="center"/>
    </w:pPr>
    <w:rPr>
      <w:iCs/>
      <w:sz w:val="18"/>
      <w:szCs w:val="18"/>
    </w:rPr>
  </w:style>
  <w:style w:type="table" w:styleId="Grilledutableau">
    <w:name w:val="Table Grid"/>
    <w:basedOn w:val="TableauNormal"/>
    <w:uiPriority w:val="39"/>
    <w:rsid w:val="003F3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0F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DSI-A7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SCHORNE PINTO</dc:creator>
  <cp:lastModifiedBy>Isabelle Hallery</cp:lastModifiedBy>
  <cp:revision>3</cp:revision>
  <dcterms:created xsi:type="dcterms:W3CDTF">2019-03-29T20:24:00Z</dcterms:created>
  <dcterms:modified xsi:type="dcterms:W3CDTF">2019-03-29T20:31:00Z</dcterms:modified>
</cp:coreProperties>
</file>