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Ceza Havuzu Kontrolü (control type: penalty)</w:t>
      </w:r>
    </w:p>
    <w:p>
      <w:pPr>
        <w:pStyle w:val="Heading2"/>
      </w:pPr>
      <w:r>
        <w:t xml:space="preserve">Açıklama</w:t>
      </w:r>
    </w:p>
    <w:p>
      <w:r>
        <w:t xml:space="preserve">Ceza havuzu, projenin uygun gelmeyen belge kısmı üzerinden hesaplanan cezai matrahtır. Beklenen matrah = Proje Tutarı − Uygun Gelen Belge Tutarı. Sistemde kayıtlı matrah ile karşılaştırılır.</w:t>
      </w:r>
    </w:p>
    <w:p>
      <w:pPr>
        <w:pStyle w:val="Heading2"/>
      </w:pPr>
      <w:r>
        <w:t xml:space="preserve">Parametreler</w:t>
      </w:r>
    </w:p>
    <w:p>
      <w:r>
        <w:t xml:space="preserve">Büyük fark eşiği: proje tutarının %5'i</w:t>
      </w:r>
    </w:p>
    <w:p>
      <w:pPr>
        <w:pStyle w:val="Heading2"/>
      </w:pPr>
      <w:r>
        <w:t xml:space="preserve">Senaryolar</w:t>
      </w:r>
    </w:p>
    <w:p>
      <w:r>
        <w:t xml:space="preserve">Uyumsuzluk - büyük fark: Fark proje tutarının %5'inden büyükse skor 86.</w:t>
      </w:r>
    </w:p>
    <w:p>
      <w:r>
        <w:t xml:space="preserve">Uyumsuzluk - küçük fark: Fark daha küçükse skor 65. Uygun belge tutarı ve cezaya konu proje tutarı yeniden hesaplanmalı.</w:t>
      </w:r>
    </w:p>
    <w:p>
      <w:r>
        <w:t xml:space="preserve">Uyumlu: Skor 16. Belge ayrıştırma ve uygunluk kayıtları izlenmeye devam edilmeli.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2026-05-20T17:17:06.285Z</dcterms:created>
  <dcterms:modified xsi:type="dcterms:W3CDTF">2026-05-20T17:17:06.285Z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