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Çoklu Satıcı Kontrolü (control type: seller)</w:t>
      </w:r>
    </w:p>
    <w:p>
      <w:pPr>
        <w:pStyle w:val="Heading2"/>
      </w:pPr>
      <w:r>
        <w:t xml:space="preserve">Açıklama</w:t>
      </w:r>
    </w:p>
    <w:p>
      <w:r>
        <w:t xml:space="preserve">Bir projede birden fazla satıcı varsa, satıcı bazında ödeme tutarı ile fatura/belge tutarı eşleşmelidir. Fark işareti riskin yönünü belirler: belge fazlaysa ceza havuzu yanlış hesaplanır, ödeme fazlaysa eksik belge riski oluşur.</w:t>
      </w:r>
    </w:p>
    <w:p>
      <w:pPr>
        <w:pStyle w:val="Heading2"/>
      </w:pPr>
      <w:r>
        <w:t xml:space="preserve">Parametreler</w:t>
      </w:r>
    </w:p>
    <w:p>
      <w:r>
        <w:t xml:space="preserve">Büyük fark eşiği: ödeme tutarının %15'i</w:t>
      </w:r>
    </w:p>
    <w:p>
      <w:pPr>
        <w:pStyle w:val="Heading2"/>
      </w:pPr>
      <w:r>
        <w:t xml:space="preserve">Senaryolar</w:t>
      </w:r>
    </w:p>
    <w:p>
      <w:r>
        <w:t xml:space="preserve">Fazla belge - büyük fark: Belge tutarı ödemenin %15'inden çok fazlaysa skor 84.</w:t>
      </w:r>
    </w:p>
    <w:p>
      <w:r>
        <w:t xml:space="preserve">Fazla belge - küçük fark: Daha küçük fazlalıkta skor 62. Fazla belge gelen belge tutarına dahil edilmemeli.</w:t>
      </w:r>
    </w:p>
    <w:p>
      <w:r>
        <w:t xml:space="preserve">Eksik belge: Ödeme belgeden yüksekse skor 52. Eksik belge tamamlatılmalı veya ceza matrahı yeniden hesaplanmalı.</w:t>
      </w:r>
    </w:p>
    <w:p>
      <w:r>
        <w:t xml:space="preserve">Uyumlu: Skor 14. Standart izleme yeterli.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2026-05-20T17:17:06.300Z</dcterms:created>
  <dcterms:modified xsi:type="dcterms:W3CDTF">2026-05-20T17:17:06.300Z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