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 Limit Kontrolü (control type: limit)</w:t>
      </w:r>
    </w:p>
    <w:p>
      <w:pPr>
        <w:pStyle w:val="Heading2"/>
      </w:pPr>
      <w:r>
        <w:t xml:space="preserve">Açıklama</w:t>
      </w:r>
    </w:p>
    <w:p>
      <w:r>
        <w:t xml:space="preserve">Müşterinin aynı anda taşıyabileceği aktif proje adedi banka kredi politikası veya sözleşme tarafından sınırlandırılır. Aşım, istisna ve komite onayı ile geçici tolere edilebilir; dayanak belge ibraz edilmelidir.</w:t>
      </w:r>
    </w:p>
    <w:p>
      <w:pPr>
        <w:pStyle w:val="Heading2"/>
      </w:pPr>
      <w:r>
        <w:t xml:space="preserve">Parametreler</w:t>
      </w:r>
    </w:p>
    <w:p>
      <w:r>
        <w:t xml:space="preserve">(Limit değeri her müşteri için Excel verisinden okunur, kural setinde sabit eşik yoktur.)</w:t>
      </w:r>
    </w:p>
    <w:p>
      <w:pPr>
        <w:pStyle w:val="Heading2"/>
      </w:pPr>
      <w:r>
        <w:t xml:space="preserve">Senaryolar</w:t>
      </w:r>
    </w:p>
    <w:p>
      <w:r>
        <w:t xml:space="preserve">Aşım var, istisna yok: Skor 82. Yeni proje girişi durdurulmalı; limit, istisna ve komite onayı kontrol edilmeli.</w:t>
      </w:r>
    </w:p>
    <w:p>
      <w:r>
        <w:t xml:space="preserve">Aşım var, istisna var ama dayanak yok: Skor 58. Onay kapsamı ve geçerlilik süresi belgeyle doğrulanmalı.</w:t>
      </w:r>
    </w:p>
    <w:p>
      <w:r>
        <w:t xml:space="preserve">Aşım var, istisna ve dayanak var: Skor 42. Onay kapsamı rapora eklenmeli, iz kayıtları korunmalı.</w:t>
      </w:r>
    </w:p>
    <w:p>
      <w:r>
        <w:t xml:space="preserve">Uyumlu: Skor 14. Standart izleme yeterli.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2026-05-20T17:17:06.314Z</dcterms:created>
  <dcterms:modified xsi:type="dcterms:W3CDTF">2026-05-20T17:17:06.314Z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