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color w:val="1A4072"/>
          <w:sz w:val="24"/>
        </w:rPr>
        <w:t>════════════════════════════════════════════════════════════</w:t>
      </w:r>
    </w:p>
    <w:p>
      <w:pPr>
        <w:spacing w:after="60"/>
        <w:jc w:val="center"/>
      </w:pPr>
      <w:r>
        <w:rPr>
          <w:rFonts w:ascii="Times New Roman" w:hAnsi="Times New Roman"/>
          <w:b/>
          <w:i w:val="0"/>
          <w:color w:val="1A4072"/>
          <w:sz w:val="40"/>
        </w:rPr>
        <w:t>PDP UNIVERSITY</w:t>
      </w:r>
    </w:p>
    <w:p>
      <w:pPr>
        <w:spacing w:after="60"/>
        <w:jc w:val="center"/>
      </w:pPr>
      <w:r>
        <w:rPr>
          <w:rFonts w:ascii="Times New Roman" w:hAnsi="Times New Roman"/>
          <w:b w:val="0"/>
          <w:i w:val="0"/>
          <w:color w:val="000000"/>
          <w:sz w:val="26"/>
        </w:rPr>
        <w:t>Faculty of Business Information Technology</w:t>
      </w:r>
    </w:p>
    <w:p>
      <w:pPr>
        <w:spacing w:after="60"/>
        <w:jc w:val="center"/>
      </w:pPr>
      <w:r>
        <w:rPr>
          <w:rFonts w:ascii="Times New Roman" w:hAnsi="Times New Roman"/>
          <w:b w:val="0"/>
          <w:i w:val="0"/>
          <w:color w:val="000000"/>
          <w:sz w:val="26"/>
        </w:rPr>
        <w:t>Tashkent, Uzbekistan</w:t>
      </w:r>
    </w:p>
    <w:p>
      <w:pPr>
        <w:spacing w:after="60"/>
        <w:jc w:val="center"/>
      </w:pPr>
      <w:r>
        <w:rPr>
          <w:rFonts w:ascii="Times New Roman" w:hAnsi="Times New Roman"/>
          <w:b w:val="0"/>
          <w:i w:val="0"/>
          <w:color w:val="000000"/>
          <w:sz w:val="20"/>
        </w:rPr>
      </w:r>
    </w:p>
    <w:p>
      <w:pPr>
        <w:spacing w:after="60"/>
        <w:jc w:val="center"/>
      </w:pPr>
      <w:r>
        <w:rPr>
          <w:rFonts w:ascii="Times New Roman" w:hAnsi="Times New Roman"/>
          <w:b/>
          <w:i w:val="0"/>
          <w:color w:val="1A4072"/>
          <w:sz w:val="32"/>
        </w:rPr>
        <w:t>INDEPENDENT PROJECT</w:t>
      </w:r>
    </w:p>
    <w:p>
      <w:pPr>
        <w:spacing w:after="60"/>
        <w:jc w:val="center"/>
      </w:pPr>
      <w:r>
        <w:rPr>
          <w:rFonts w:ascii="Times New Roman" w:hAnsi="Times New Roman"/>
          <w:b w:val="0"/>
          <w:i w:val="0"/>
          <w:color w:val="000000"/>
          <w:sz w:val="24"/>
        </w:rPr>
        <w:t>Pearson BTEC Level 6 Diploma in Digital Technologies</w:t>
      </w:r>
    </w:p>
    <w:p>
      <w:pPr>
        <w:spacing w:after="60"/>
        <w:jc w:val="center"/>
      </w:pPr>
      <w:r>
        <w:rPr>
          <w:rFonts w:ascii="Times New Roman" w:hAnsi="Times New Roman"/>
          <w:b w:val="0"/>
          <w:i w:val="0"/>
          <w:color w:val="000000"/>
          <w:sz w:val="24"/>
        </w:rPr>
        <w:t>Unit 2 — Unit Code: 70726U — Credit Value: 30</w:t>
      </w:r>
    </w:p>
    <w:p>
      <w:pPr>
        <w:spacing w:after="60"/>
        <w:jc w:val="center"/>
      </w:pPr>
      <w:r>
        <w:rPr>
          <w:rFonts w:ascii="Times New Roman" w:hAnsi="Times New Roman"/>
          <w:b w:val="0"/>
          <w:i w:val="0"/>
          <w:color w:val="000000"/>
          <w:sz w:val="16"/>
        </w:rPr>
      </w:r>
    </w:p>
    <w:p>
      <w:pPr>
        <w:spacing w:before="240" w:after="120"/>
        <w:jc w:val="center"/>
      </w:pPr>
      <w:r>
        <w:rPr>
          <w:rFonts w:ascii="Times New Roman" w:hAnsi="Times New Roman"/>
          <w:b/>
          <w:i w:val="0"/>
          <w:color w:val="1A4072"/>
          <w:sz w:val="32"/>
        </w:rPr>
        <w:t>RiskGuard AI: Design, Development and Evaluation</w:t>
        <w:br/>
        <w:t>of a Machine Learning Platform for Automated Road</w:t>
        <w:br/>
        <w:t>Accident Risk Assessment in Motor Insurance Underwriting</w:t>
      </w:r>
    </w:p>
    <w:p>
      <w:pPr>
        <w:spacing w:after="400"/>
        <w:jc w:val="center"/>
      </w:pPr>
      <w:r>
        <w:rPr>
          <w:rFonts w:ascii="Times New Roman" w:hAnsi="Times New Roman"/>
          <w:b w:val="0"/>
          <w:i/>
          <w:sz w:val="24"/>
        </w:rPr>
        <w:t>How can machine learning algorithms improve the accuracy, transparency</w:t>
        <w:br/>
        <w:t>and efficiency of road accident risk profiling in insurance underwriting?</w:t>
      </w:r>
    </w:p>
    <w:p>
      <w:pPr>
        <w:spacing w:after="40"/>
        <w:jc w:val="center"/>
      </w:pPr>
      <w:r>
        <w:rPr>
          <w:rFonts w:ascii="Times New Roman" w:hAnsi="Times New Roman"/>
          <w:b/>
          <w:i w:val="0"/>
          <w:sz w:val="22"/>
        </w:rPr>
        <w:t>Student Name:</w:t>
        <w:tab/>
      </w:r>
      <w:r>
        <w:rPr>
          <w:rFonts w:ascii="Times New Roman" w:hAnsi="Times New Roman"/>
          <w:b w:val="0"/>
          <w:i w:val="0"/>
          <w:sz w:val="22"/>
        </w:rPr>
        <w:t>Mubina Rustamova</w:t>
      </w:r>
    </w:p>
    <w:p>
      <w:pPr>
        <w:spacing w:after="40"/>
        <w:jc w:val="center"/>
      </w:pPr>
      <w:r>
        <w:rPr>
          <w:rFonts w:ascii="Times New Roman" w:hAnsi="Times New Roman"/>
          <w:b/>
          <w:i w:val="0"/>
          <w:sz w:val="22"/>
        </w:rPr>
        <w:t>Student ID:</w:t>
        <w:tab/>
      </w:r>
      <w:r>
        <w:rPr>
          <w:rFonts w:ascii="Times New Roman" w:hAnsi="Times New Roman"/>
          <w:b w:val="0"/>
          <w:i w:val="0"/>
          <w:sz w:val="22"/>
        </w:rPr>
        <w:t>[Your Student ID]</w:t>
      </w:r>
    </w:p>
    <w:p>
      <w:pPr>
        <w:spacing w:after="40"/>
        <w:jc w:val="center"/>
      </w:pPr>
      <w:r>
        <w:rPr>
          <w:rFonts w:ascii="Times New Roman" w:hAnsi="Times New Roman"/>
          <w:b/>
          <w:i w:val="0"/>
          <w:sz w:val="22"/>
        </w:rPr>
        <w:t>Programme / Group:</w:t>
        <w:tab/>
      </w:r>
      <w:r>
        <w:rPr>
          <w:rFonts w:ascii="Times New Roman" w:hAnsi="Times New Roman"/>
          <w:b w:val="0"/>
          <w:i w:val="0"/>
          <w:sz w:val="22"/>
        </w:rPr>
        <w:t>BIT — [Your Group]</w:t>
      </w:r>
    </w:p>
    <w:p>
      <w:pPr>
        <w:spacing w:after="40"/>
        <w:jc w:val="center"/>
      </w:pPr>
      <w:r>
        <w:rPr>
          <w:rFonts w:ascii="Times New Roman" w:hAnsi="Times New Roman"/>
          <w:b/>
          <w:i w:val="0"/>
          <w:sz w:val="22"/>
        </w:rPr>
        <w:t>Project Format:</w:t>
        <w:tab/>
      </w:r>
      <w:r>
        <w:rPr>
          <w:rFonts w:ascii="Times New Roman" w:hAnsi="Times New Roman"/>
          <w:b w:val="0"/>
          <w:i w:val="0"/>
          <w:sz w:val="22"/>
        </w:rPr>
        <w:t>Capstone-style</w:t>
      </w:r>
    </w:p>
    <w:p>
      <w:pPr>
        <w:spacing w:after="40"/>
        <w:jc w:val="center"/>
      </w:pPr>
      <w:r>
        <w:rPr>
          <w:rFonts w:ascii="Times New Roman" w:hAnsi="Times New Roman"/>
          <w:b/>
          <w:i w:val="0"/>
          <w:sz w:val="22"/>
        </w:rPr>
        <w:t>Supervisor:</w:t>
        <w:tab/>
      </w:r>
      <w:r>
        <w:rPr>
          <w:rFonts w:ascii="Times New Roman" w:hAnsi="Times New Roman"/>
          <w:b w:val="0"/>
          <w:i w:val="0"/>
          <w:sz w:val="22"/>
        </w:rPr>
        <w:t>[Supervisor Full Name]</w:t>
      </w:r>
    </w:p>
    <w:p>
      <w:pPr>
        <w:spacing w:after="40"/>
        <w:jc w:val="center"/>
      </w:pPr>
      <w:r>
        <w:rPr>
          <w:rFonts w:ascii="Times New Roman" w:hAnsi="Times New Roman"/>
          <w:b/>
          <w:i w:val="0"/>
          <w:sz w:val="22"/>
        </w:rPr>
        <w:t>Submission Date:</w:t>
        <w:tab/>
      </w:r>
      <w:r>
        <w:rPr>
          <w:rFonts w:ascii="Times New Roman" w:hAnsi="Times New Roman"/>
          <w:b w:val="0"/>
          <w:i w:val="0"/>
          <w:sz w:val="22"/>
        </w:rPr>
        <w:t>June 2026</w:t>
      </w:r>
    </w:p>
    <w:p>
      <w:pPr>
        <w:spacing w:after="40"/>
        <w:jc w:val="center"/>
      </w:pPr>
      <w:r>
        <w:rPr>
          <w:rFonts w:ascii="Times New Roman" w:hAnsi="Times New Roman"/>
          <w:b/>
          <w:i w:val="0"/>
          <w:sz w:val="22"/>
        </w:rPr>
        <w:t>Word Count:</w:t>
        <w:tab/>
      </w:r>
      <w:r>
        <w:rPr>
          <w:rFonts w:ascii="Times New Roman" w:hAnsi="Times New Roman"/>
          <w:b w:val="0"/>
          <w:i w:val="0"/>
          <w:sz w:val="22"/>
        </w:rPr>
        <w:t>~11,540 words</w:t>
      </w:r>
    </w:p>
    <w:p/>
    <w:p>
      <w:pPr>
        <w:jc w:val="center"/>
      </w:pPr>
      <w:r>
        <w:rPr>
          <w:rFonts w:ascii="Times New Roman" w:hAnsi="Times New Roman"/>
          <w:b w:val="0"/>
          <w:i/>
          <w:sz w:val="22"/>
        </w:rPr>
        <w:t>Submitted in partial fulfilment of the requirements for the</w:t>
        <w:br/>
        <w:t>Bachelor's Degree in Business Information Technology</w:t>
        <w:br/>
        <w:t>Academic Year 2025–2026</w:t>
      </w:r>
    </w:p>
    <w:p>
      <w:pPr>
        <w:jc w:val="center"/>
      </w:pPr>
      <w:r>
        <w:rPr>
          <w:rFonts w:ascii="Times New Roman" w:hAnsi="Times New Roman"/>
          <w:b w:val="0"/>
          <w:i w:val="0"/>
          <w:color w:val="1A4072"/>
          <w:sz w:val="24"/>
        </w:rPr>
        <w:t>════════════════════════════════════════════════════════════</w:t>
      </w:r>
    </w:p>
    <w:p>
      <w:r>
        <w:br w:type="page"/>
      </w:r>
    </w:p>
    <w:p>
      <w:pPr>
        <w:pStyle w:val="Heading1"/>
        <w:spacing w:before="280" w:after="120"/>
      </w:pPr>
      <w:r>
        <w:rPr>
          <w:rFonts w:ascii="Times New Roman" w:hAnsi="Times New Roman"/>
          <w:color w:val="1A4072"/>
        </w:rPr>
        <w:t>Declaration of Originality</w:t>
      </w:r>
    </w:p>
    <w:p>
      <w:pPr>
        <w:spacing w:after="120" w:line="400" w:lineRule="exact"/>
      </w:pPr>
      <w:r>
        <w:rPr>
          <w:rFonts w:ascii="Times New Roman" w:hAnsi="Times New Roman"/>
          <w:b w:val="0"/>
          <w:i w:val="0"/>
          <w:sz w:val="22"/>
        </w:rPr>
        <w:t>I hereby declare that this Independent Project, submitted in partial fulfilment of the requirements for the Pearson BTEC Level 6 Diploma in Digital Technologies and the Bachelor's Degree in Business Information Technology at PDP University, is the result of my own original work.</w:t>
      </w:r>
    </w:p>
    <w:p>
      <w:pPr>
        <w:spacing w:after="120" w:line="400" w:lineRule="exact"/>
      </w:pPr>
      <w:r>
        <w:rPr>
          <w:rFonts w:ascii="Times New Roman" w:hAnsi="Times New Roman"/>
          <w:b w:val="0"/>
          <w:i w:val="0"/>
          <w:sz w:val="22"/>
        </w:rPr>
        <w:t>I confirm that:</w:t>
      </w:r>
    </w:p>
    <w:p>
      <w:pPr>
        <w:pStyle w:val="ListBullet"/>
      </w:pPr>
      <w:r>
        <w:rPr>
          <w:rFonts w:ascii="Times New Roman" w:hAnsi="Times New Roman"/>
          <w:b w:val="0"/>
          <w:i w:val="0"/>
          <w:sz w:val="22"/>
        </w:rPr>
        <w:t>All sources of information, data and ideas drawn from other authors have been fully acknowledged through accurate in-text citations and a complete reference list using the Harvard (author–date) referencing system.</w:t>
      </w:r>
    </w:p>
    <w:p>
      <w:pPr>
        <w:pStyle w:val="ListBullet"/>
      </w:pPr>
      <w:r>
        <w:rPr>
          <w:rFonts w:ascii="Times New Roman" w:hAnsi="Times New Roman"/>
          <w:b w:val="0"/>
          <w:i w:val="0"/>
          <w:sz w:val="22"/>
        </w:rPr>
        <w:t>This work has not been previously submitted, in whole or in part, for any other academic award at this or any other institution.</w:t>
      </w:r>
    </w:p>
    <w:p>
      <w:pPr>
        <w:pStyle w:val="ListBullet"/>
      </w:pPr>
      <w:r>
        <w:rPr>
          <w:rFonts w:ascii="Times New Roman" w:hAnsi="Times New Roman"/>
          <w:b w:val="0"/>
          <w:i w:val="0"/>
          <w:sz w:val="22"/>
        </w:rPr>
        <w:t>All synthetic data generation and model training procedures described herein were conducted independently using open-source libraries.</w:t>
      </w:r>
    </w:p>
    <w:p>
      <w:pPr>
        <w:pStyle w:val="ListBullet"/>
      </w:pPr>
      <w:r>
        <w:rPr>
          <w:rFonts w:ascii="Times New Roman" w:hAnsi="Times New Roman"/>
          <w:b w:val="0"/>
          <w:i w:val="0"/>
          <w:sz w:val="22"/>
        </w:rPr>
        <w:t>I understand that any breach of academic integrity, including plagiarism, fabrication of data or unauthorised collaboration, may result in the withdrawal of this submission and disciplinary action.</w:t>
      </w:r>
    </w:p>
    <w:p/>
    <w:p>
      <w:r>
        <w:rPr>
          <w:rFonts w:ascii="Times New Roman" w:hAnsi="Times New Roman"/>
          <w:b w:val="0"/>
          <w:i w:val="0"/>
          <w:sz w:val="22"/>
        </w:rPr>
        <w:t>Signature: ___________________________</w:t>
        <w:tab/>
        <w:tab/>
        <w:t>Date: June 2026</w:t>
      </w:r>
    </w:p>
    <w:p>
      <w:r>
        <w:br w:type="page"/>
      </w:r>
    </w:p>
    <w:p>
      <w:pPr>
        <w:pStyle w:val="Heading1"/>
        <w:spacing w:before="280" w:after="120"/>
      </w:pPr>
      <w:r>
        <w:rPr>
          <w:rFonts w:ascii="Times New Roman" w:hAnsi="Times New Roman"/>
          <w:color w:val="1A4072"/>
        </w:rPr>
        <w:t>Acknowledgements</w:t>
      </w:r>
    </w:p>
    <w:p>
      <w:pPr>
        <w:spacing w:after="120" w:line="400" w:lineRule="exact"/>
      </w:pPr>
      <w:r>
        <w:rPr>
          <w:rFonts w:ascii="Times New Roman" w:hAnsi="Times New Roman"/>
          <w:b w:val="0"/>
          <w:i w:val="0"/>
          <w:sz w:val="22"/>
        </w:rPr>
        <w:t>I would like to express my sincere gratitude to my supervisor for their continuous guidance, valuable feedback and patience throughout the development of this project. Their expertise in machine learning and software engineering fundamentally shaped my understanding of the subject matter.</w:t>
      </w:r>
    </w:p>
    <w:p>
      <w:pPr>
        <w:spacing w:after="120" w:line="400" w:lineRule="exact"/>
      </w:pPr>
      <w:r>
        <w:rPr>
          <w:rFonts w:ascii="Times New Roman" w:hAnsi="Times New Roman"/>
          <w:b w:val="0"/>
          <w:i w:val="0"/>
          <w:sz w:val="22"/>
        </w:rPr>
        <w:t>I am deeply grateful to the Faculty of Business Information Technology at PDP University for providing an intellectually stimulating environment and access to the computational resources that made this work possible. Special thanks are owed to the wider BIT cohort whose questions and discussions during seminars continuously sharpened my thinking.</w:t>
      </w:r>
    </w:p>
    <w:p>
      <w:pPr>
        <w:spacing w:after="120" w:line="400" w:lineRule="exact"/>
      </w:pPr>
      <w:r>
        <w:rPr>
          <w:rFonts w:ascii="Times New Roman" w:hAnsi="Times New Roman"/>
          <w:b w:val="0"/>
          <w:i w:val="0"/>
          <w:sz w:val="22"/>
        </w:rPr>
        <w:t>I also wish to acknowledge the open-source communities behind Python, Flask, scikit-learn and XGBoost — tools whose quality and comprehensive documentation made the technical implementation of RiskGuard AI achievable within the constraints of a single academic year.</w:t>
      </w:r>
    </w:p>
    <w:p>
      <w:pPr>
        <w:spacing w:after="120" w:line="400" w:lineRule="exact"/>
      </w:pPr>
      <w:r>
        <w:rPr>
          <w:rFonts w:ascii="Times New Roman" w:hAnsi="Times New Roman"/>
          <w:b w:val="0"/>
          <w:i w:val="0"/>
          <w:sz w:val="22"/>
        </w:rPr>
        <w:t>Finally, I extend my heartfelt thanks to my family for their unwavering support, patience and encouragement during every late night and difficult day of this project.</w:t>
      </w:r>
    </w:p>
    <w:p>
      <w:r>
        <w:br w:type="page"/>
      </w:r>
    </w:p>
    <w:p>
      <w:pPr>
        <w:pStyle w:val="Heading1"/>
        <w:spacing w:before="280" w:after="120"/>
      </w:pPr>
      <w:r>
        <w:rPr>
          <w:rFonts w:ascii="Times New Roman" w:hAnsi="Times New Roman"/>
          <w:color w:val="1A4072"/>
        </w:rPr>
        <w:t>Abstract</w:t>
      </w:r>
    </w:p>
    <w:p>
      <w:pPr>
        <w:spacing w:after="120" w:line="400" w:lineRule="exact"/>
      </w:pPr>
      <w:r>
        <w:rPr>
          <w:rFonts w:ascii="Times New Roman" w:hAnsi="Times New Roman"/>
          <w:b w:val="0"/>
          <w:i w:val="0"/>
          <w:sz w:val="22"/>
        </w:rPr>
        <w:t>The motor insurance industry has long relied on actuarial tables and human judgement to assess driver risk profiles — a process that is labour-intensive, inconsistent and increasingly misaligned with the granular behavioural data now available to insurers. This project investigates whether a machine learning pipeline can deliver significantly more accurate, automated and explainable road accident risk assessments compared to traditional scoring methods.</w:t>
      </w:r>
    </w:p>
    <w:p>
      <w:pPr>
        <w:spacing w:after="120" w:line="400" w:lineRule="exact"/>
      </w:pPr>
      <w:r>
        <w:rPr>
          <w:rFonts w:ascii="Times New Roman" w:hAnsi="Times New Roman"/>
          <w:b w:val="0"/>
          <w:i w:val="0"/>
          <w:sz w:val="22"/>
        </w:rPr>
        <w:t>The aim of this study is to design, develop and rigorously evaluate a full-stack intelligent web application — RiskGuard AI — capable of real-time risk profiling, premium calculation and evidence-based driver recommendations for insurance underwriting professionals. A design-science research approach was adopted, combining quantitative model evaluation with applied software engineering.</w:t>
      </w:r>
    </w:p>
    <w:p>
      <w:pPr>
        <w:spacing w:after="120" w:line="400" w:lineRule="exact"/>
      </w:pPr>
      <w:r>
        <w:rPr>
          <w:rFonts w:ascii="Times New Roman" w:hAnsi="Times New Roman"/>
          <w:b w:val="0"/>
          <w:i w:val="0"/>
          <w:sz w:val="22"/>
        </w:rPr>
        <w:t>A synthetic dataset of 30,000 records was generated using actuarially validated algorithms across twelve input features and six engineered interaction variables. Six classification algorithms were trained, tuned and benchmarked: Decision Tree, Logistic Regression, Extra Trees, Random Forest, Gradient Boosting and XGBoost. GridSearchCV was applied for hyperparameter optimisation across all models.</w:t>
      </w:r>
    </w:p>
    <w:p>
      <w:pPr>
        <w:spacing w:after="120" w:line="400" w:lineRule="exact"/>
      </w:pPr>
      <w:r>
        <w:rPr>
          <w:rFonts w:ascii="Times New Roman" w:hAnsi="Times New Roman"/>
          <w:b w:val="0"/>
          <w:i w:val="0"/>
          <w:sz w:val="22"/>
        </w:rPr>
        <w:t>The findings reveal that the tuned XGBoost classifier achieved 85.22% accuracy and a ROC-AUC score of 0.9738 — the highest of all evaluated models — with previous accident history, vehicle type and driving experience identified as the dominant risk predictors. The deployed platform provides insurance professionals with a risk score (0–100), a corresponding premium multiplier (1.0× to 2.30×), a factor-contribution breakdown and an AI-powered bilingual chatbot for decision support (English and Uzbek).</w:t>
      </w:r>
    </w:p>
    <w:p>
      <w:pPr>
        <w:spacing w:after="120" w:line="400" w:lineRule="exact"/>
      </w:pPr>
      <w:r>
        <w:rPr>
          <w:rFonts w:ascii="Times New Roman" w:hAnsi="Times New Roman"/>
          <w:b w:val="0"/>
          <w:i w:val="0"/>
          <w:sz w:val="22"/>
        </w:rPr>
        <w:t>The project concludes that XGBoost-based risk assessment can materially improve underwriting consistency, with the RiskGuard AI architecture offering a deployable template for small-to-medium insurers seeking to digitalise their pricing workflows. Future research should explore real-world validation with anonymised insurer datasets and integration of telematics data streams.</w:t>
      </w:r>
    </w:p>
    <w:p/>
    <w:p>
      <w:r>
        <w:rPr>
          <w:rFonts w:ascii="Times New Roman" w:hAnsi="Times New Roman"/>
          <w:b/>
          <w:i w:val="0"/>
          <w:sz w:val="22"/>
        </w:rPr>
        <w:t xml:space="preserve">Keywords: </w:t>
      </w:r>
      <w:r>
        <w:rPr>
          <w:rFonts w:ascii="Times New Roman" w:hAnsi="Times New Roman"/>
          <w:b w:val="0"/>
          <w:i/>
          <w:sz w:val="22"/>
        </w:rPr>
        <w:t>machine learning; risk assessment; XGBoost; motor insurance; Flask; underwriting; explainable AI; classification</w:t>
      </w:r>
    </w:p>
    <w:p>
      <w:r>
        <w:br w:type="page"/>
      </w:r>
    </w:p>
    <w:p>
      <w:pPr>
        <w:pStyle w:val="Heading1"/>
        <w:spacing w:before="280" w:after="120"/>
      </w:pPr>
      <w:r>
        <w:rPr>
          <w:rFonts w:ascii="Times New Roman" w:hAnsi="Times New Roman"/>
          <w:color w:val="1A4072"/>
        </w:rPr>
        <w:t>List of Figures</w:t>
      </w:r>
    </w:p>
    <w:p>
      <w:pPr>
        <w:spacing w:after="60"/>
      </w:pPr>
      <w:r>
        <w:rPr>
          <w:rFonts w:ascii="Times New Roman" w:hAnsi="Times New Roman"/>
          <w:b w:val="0"/>
          <w:i w:val="0"/>
          <w:sz w:val="22"/>
        </w:rPr>
        <w:t>Figure 2.1: RiskGuard AI Conceptual Framework</w:t>
      </w:r>
    </w:p>
    <w:p>
      <w:pPr>
        <w:spacing w:after="60"/>
      </w:pPr>
      <w:r>
        <w:rPr>
          <w:rFonts w:ascii="Times New Roman" w:hAnsi="Times New Roman"/>
          <w:b w:val="0"/>
          <w:i w:val="0"/>
          <w:sz w:val="22"/>
        </w:rPr>
        <w:t>Figure 2.2: Risk Categories and Premium Multipliers</w:t>
      </w:r>
    </w:p>
    <w:p>
      <w:pPr>
        <w:spacing w:after="60"/>
      </w:pPr>
      <w:r>
        <w:rPr>
          <w:rFonts w:ascii="Times New Roman" w:hAnsi="Times New Roman"/>
          <w:b w:val="0"/>
          <w:i w:val="0"/>
          <w:sz w:val="22"/>
        </w:rPr>
        <w:t>Figure 3.2: Project Gantt Chart (January–June 2026)</w:t>
      </w:r>
    </w:p>
    <w:p>
      <w:pPr>
        <w:spacing w:after="60"/>
      </w:pPr>
      <w:r>
        <w:rPr>
          <w:rFonts w:ascii="Times New Roman" w:hAnsi="Times New Roman"/>
          <w:b w:val="0"/>
          <w:i w:val="0"/>
          <w:sz w:val="22"/>
        </w:rPr>
        <w:t>Figure 3.3: RiskGuard AI System Architecture</w:t>
      </w:r>
    </w:p>
    <w:p>
      <w:pPr>
        <w:spacing w:after="60"/>
      </w:pPr>
      <w:r>
        <w:rPr>
          <w:rFonts w:ascii="Times New Roman" w:hAnsi="Times New Roman"/>
          <w:b w:val="0"/>
          <w:i w:val="0"/>
          <w:sz w:val="22"/>
        </w:rPr>
        <w:t>Figure 4.1: Comparative Model Performance (Accuracy &amp; ROC-AUC)</w:t>
      </w:r>
    </w:p>
    <w:p>
      <w:pPr>
        <w:spacing w:after="60"/>
      </w:pPr>
      <w:r>
        <w:rPr>
          <w:rFonts w:ascii="Times New Roman" w:hAnsi="Times New Roman"/>
          <w:b w:val="0"/>
          <w:i w:val="0"/>
          <w:sz w:val="22"/>
        </w:rPr>
        <w:t>Figure 4.2: ROC Curves — XGBoost (One-vs-Rest)</w:t>
      </w:r>
    </w:p>
    <w:p>
      <w:pPr>
        <w:spacing w:after="60"/>
      </w:pPr>
      <w:r>
        <w:rPr>
          <w:rFonts w:ascii="Times New Roman" w:hAnsi="Times New Roman"/>
          <w:b w:val="0"/>
          <w:i w:val="0"/>
          <w:sz w:val="22"/>
        </w:rPr>
        <w:t>Figure 4.3: XGBoost Feature Importance (Top 10)</w:t>
      </w:r>
    </w:p>
    <w:p>
      <w:pPr>
        <w:spacing w:after="60"/>
      </w:pPr>
      <w:r>
        <w:rPr>
          <w:rFonts w:ascii="Times New Roman" w:hAnsi="Times New Roman"/>
          <w:b w:val="0"/>
          <w:i w:val="0"/>
          <w:sz w:val="22"/>
        </w:rPr>
        <w:t>Figure 4.4: Risk Score Distribution (30,000 records)</w:t>
      </w:r>
    </w:p>
    <w:p>
      <w:pPr>
        <w:spacing w:after="60"/>
      </w:pPr>
      <w:r>
        <w:rPr>
          <w:rFonts w:ascii="Times New Roman" w:hAnsi="Times New Roman"/>
          <w:b w:val="0"/>
          <w:i w:val="0"/>
          <w:sz w:val="22"/>
        </w:rPr>
        <w:t>Figure 4.5: Confusion Matrix — XGBoost Test Set</w:t>
      </w:r>
    </w:p>
    <w:p>
      <w:pPr>
        <w:pStyle w:val="Heading1"/>
        <w:spacing w:before="280" w:after="120"/>
      </w:pPr>
      <w:r>
        <w:rPr>
          <w:rFonts w:ascii="Times New Roman" w:hAnsi="Times New Roman"/>
          <w:color w:val="1A4072"/>
        </w:rPr>
        <w:t>List of Tables</w:t>
      </w:r>
    </w:p>
    <w:p>
      <w:pPr>
        <w:spacing w:after="60"/>
      </w:pPr>
      <w:r>
        <w:rPr>
          <w:rFonts w:ascii="Times New Roman" w:hAnsi="Times New Roman"/>
          <w:b w:val="0"/>
          <w:i w:val="0"/>
          <w:sz w:val="22"/>
        </w:rPr>
        <w:t>Table 3.1: Project Timeline</w:t>
      </w:r>
    </w:p>
    <w:p>
      <w:pPr>
        <w:spacing w:after="60"/>
      </w:pPr>
      <w:r>
        <w:rPr>
          <w:rFonts w:ascii="Times New Roman" w:hAnsi="Times New Roman"/>
          <w:b w:val="0"/>
          <w:i w:val="0"/>
          <w:sz w:val="22"/>
        </w:rPr>
        <w:t>Table 3.2: Project Milestones</w:t>
      </w:r>
    </w:p>
    <w:p>
      <w:pPr>
        <w:spacing w:after="60"/>
      </w:pPr>
      <w:r>
        <w:rPr>
          <w:rFonts w:ascii="Times New Roman" w:hAnsi="Times New Roman"/>
          <w:b w:val="0"/>
          <w:i w:val="0"/>
          <w:sz w:val="22"/>
        </w:rPr>
        <w:t>Table 3.3: Resource Planning</w:t>
      </w:r>
    </w:p>
    <w:p>
      <w:pPr>
        <w:spacing w:after="60"/>
      </w:pPr>
      <w:r>
        <w:rPr>
          <w:rFonts w:ascii="Times New Roman" w:hAnsi="Times New Roman"/>
          <w:b w:val="0"/>
          <w:i w:val="0"/>
          <w:sz w:val="22"/>
        </w:rPr>
        <w:t>Table 3.4: Risk Register</w:t>
      </w:r>
    </w:p>
    <w:p>
      <w:pPr>
        <w:spacing w:after="60"/>
      </w:pPr>
      <w:r>
        <w:rPr>
          <w:rFonts w:ascii="Times New Roman" w:hAnsi="Times New Roman"/>
          <w:b w:val="0"/>
          <w:i w:val="0"/>
          <w:sz w:val="22"/>
        </w:rPr>
        <w:t>Table 4.1: Dataset Feature Summary</w:t>
      </w:r>
    </w:p>
    <w:p>
      <w:pPr>
        <w:spacing w:after="60"/>
      </w:pPr>
      <w:r>
        <w:rPr>
          <w:rFonts w:ascii="Times New Roman" w:hAnsi="Times New Roman"/>
          <w:b w:val="0"/>
          <w:i w:val="0"/>
          <w:sz w:val="22"/>
        </w:rPr>
        <w:t>Table 4.2: Full Model Evaluation Results</w:t>
      </w:r>
    </w:p>
    <w:p>
      <w:pPr>
        <w:spacing w:after="60"/>
      </w:pPr>
      <w:r>
        <w:rPr>
          <w:rFonts w:ascii="Times New Roman" w:hAnsi="Times New Roman"/>
          <w:b w:val="0"/>
          <w:i w:val="0"/>
          <w:sz w:val="22"/>
        </w:rPr>
        <w:t>Table 5.1: Project Effectiveness Evaluation (RAG)</w:t>
      </w:r>
    </w:p>
    <w:p>
      <w:pPr>
        <w:spacing w:after="60"/>
      </w:pPr>
      <w:r>
        <w:rPr>
          <w:rFonts w:ascii="Times New Roman" w:hAnsi="Times New Roman"/>
          <w:b w:val="0"/>
          <w:i w:val="0"/>
          <w:sz w:val="22"/>
        </w:rPr>
        <w:t>Table 7.1: SWOT Analysis of Personal Development</w:t>
      </w:r>
    </w:p>
    <w:p>
      <w:pPr>
        <w:spacing w:after="60"/>
      </w:pPr>
      <w:r>
        <w:rPr>
          <w:rFonts w:ascii="Times New Roman" w:hAnsi="Times New Roman"/>
          <w:b w:val="0"/>
          <w:i w:val="0"/>
          <w:sz w:val="22"/>
        </w:rPr>
        <w:t>Table 7.2: Transferable Skills Gained</w:t>
      </w:r>
    </w:p>
    <w:p>
      <w:pPr>
        <w:pStyle w:val="Heading1"/>
        <w:spacing w:before="280" w:after="120"/>
      </w:pPr>
      <w:r>
        <w:rPr>
          <w:rFonts w:ascii="Times New Roman" w:hAnsi="Times New Roman"/>
          <w:color w:val="1A4072"/>
        </w:rPr>
        <w:t>List of Abbreviations</w:t>
      </w:r>
    </w:p>
    <w:tbl>
      <w:tblPr>
        <w:tblStyle w:val="TableGrid"/>
        <w:tblW w:type="auto" w:w="0"/>
        <w:jc w:val="center"/>
        <w:tblLook w:firstColumn="1" w:firstRow="1" w:lastColumn="0" w:lastRow="0" w:noHBand="0" w:noVBand="1" w:val="04A0"/>
      </w:tblPr>
      <w:tblGrid>
        <w:gridCol w:w="4536"/>
        <w:gridCol w:w="4536"/>
      </w:tblGrid>
      <w:tr>
        <w:tc>
          <w:tcPr>
            <w:tcW w:type="dxa" w:w="2835"/>
            <w:shd w:fill="1A4072" w:color="FFFFFF" w:val="clear"/>
          </w:tcPr>
          <w:p>
            <w:r>
              <w:rPr>
                <w:rFonts w:ascii="Times New Roman" w:hAnsi="Times New Roman"/>
                <w:b/>
                <w:color w:val="FFFFFF"/>
                <w:sz w:val="20"/>
              </w:rPr>
              <w:t>Abbreviation</w:t>
            </w:r>
          </w:p>
        </w:tc>
        <w:tc>
          <w:tcPr>
            <w:tcW w:type="dxa" w:w="6803"/>
            <w:shd w:fill="1A4072" w:color="FFFFFF" w:val="clear"/>
          </w:tcPr>
          <w:p>
            <w:r>
              <w:rPr>
                <w:rFonts w:ascii="Times New Roman" w:hAnsi="Times New Roman"/>
                <w:b/>
                <w:color w:val="FFFFFF"/>
                <w:sz w:val="20"/>
              </w:rPr>
              <w:t>Full Form</w:t>
            </w:r>
          </w:p>
        </w:tc>
      </w:tr>
      <w:tr>
        <w:tc>
          <w:tcPr>
            <w:tcW w:type="dxa" w:w="2835"/>
          </w:tcPr>
          <w:p>
            <w:r>
              <w:rPr>
                <w:rFonts w:ascii="Times New Roman" w:hAnsi="Times New Roman"/>
                <w:sz w:val="20"/>
              </w:rPr>
              <w:t>AUC</w:t>
            </w:r>
          </w:p>
        </w:tc>
        <w:tc>
          <w:tcPr>
            <w:tcW w:type="dxa" w:w="6803"/>
          </w:tcPr>
          <w:p>
            <w:r>
              <w:rPr>
                <w:rFonts w:ascii="Times New Roman" w:hAnsi="Times New Roman"/>
                <w:sz w:val="20"/>
              </w:rPr>
              <w:t>Area Under the Curve</w:t>
            </w:r>
          </w:p>
        </w:tc>
      </w:tr>
      <w:tr>
        <w:tc>
          <w:tcPr>
            <w:tcW w:type="dxa" w:w="2835"/>
          </w:tcPr>
          <w:p>
            <w:r>
              <w:rPr>
                <w:rFonts w:ascii="Times New Roman" w:hAnsi="Times New Roman"/>
                <w:sz w:val="20"/>
              </w:rPr>
              <w:t>BTEC</w:t>
            </w:r>
          </w:p>
        </w:tc>
        <w:tc>
          <w:tcPr>
            <w:tcW w:type="dxa" w:w="6803"/>
          </w:tcPr>
          <w:p>
            <w:r>
              <w:rPr>
                <w:rFonts w:ascii="Times New Roman" w:hAnsi="Times New Roman"/>
                <w:sz w:val="20"/>
              </w:rPr>
              <w:t>Business and Technology Education Council</w:t>
            </w:r>
          </w:p>
        </w:tc>
      </w:tr>
      <w:tr>
        <w:tc>
          <w:tcPr>
            <w:tcW w:type="dxa" w:w="2835"/>
          </w:tcPr>
          <w:p>
            <w:r>
              <w:rPr>
                <w:rFonts w:ascii="Times New Roman" w:hAnsi="Times New Roman"/>
                <w:sz w:val="20"/>
              </w:rPr>
              <w:t>CSRF</w:t>
            </w:r>
          </w:p>
        </w:tc>
        <w:tc>
          <w:tcPr>
            <w:tcW w:type="dxa" w:w="6803"/>
          </w:tcPr>
          <w:p>
            <w:r>
              <w:rPr>
                <w:rFonts w:ascii="Times New Roman" w:hAnsi="Times New Roman"/>
                <w:sz w:val="20"/>
              </w:rPr>
              <w:t>Cross-Site Request Forgery</w:t>
            </w:r>
          </w:p>
        </w:tc>
      </w:tr>
      <w:tr>
        <w:tc>
          <w:tcPr>
            <w:tcW w:type="dxa" w:w="2835"/>
          </w:tcPr>
          <w:p>
            <w:r>
              <w:rPr>
                <w:rFonts w:ascii="Times New Roman" w:hAnsi="Times New Roman"/>
                <w:sz w:val="20"/>
              </w:rPr>
              <w:t>DfT</w:t>
            </w:r>
          </w:p>
        </w:tc>
        <w:tc>
          <w:tcPr>
            <w:tcW w:type="dxa" w:w="6803"/>
          </w:tcPr>
          <w:p>
            <w:r>
              <w:rPr>
                <w:rFonts w:ascii="Times New Roman" w:hAnsi="Times New Roman"/>
                <w:sz w:val="20"/>
              </w:rPr>
              <w:t>Department for Transport (UK)</w:t>
            </w:r>
          </w:p>
        </w:tc>
      </w:tr>
      <w:tr>
        <w:tc>
          <w:tcPr>
            <w:tcW w:type="dxa" w:w="2835"/>
          </w:tcPr>
          <w:p>
            <w:r>
              <w:rPr>
                <w:rFonts w:ascii="Times New Roman" w:hAnsi="Times New Roman"/>
                <w:sz w:val="20"/>
              </w:rPr>
              <w:t>DSR</w:t>
            </w:r>
          </w:p>
        </w:tc>
        <w:tc>
          <w:tcPr>
            <w:tcW w:type="dxa" w:w="6803"/>
          </w:tcPr>
          <w:p>
            <w:r>
              <w:rPr>
                <w:rFonts w:ascii="Times New Roman" w:hAnsi="Times New Roman"/>
                <w:sz w:val="20"/>
              </w:rPr>
              <w:t>Design Science Research</w:t>
            </w:r>
          </w:p>
        </w:tc>
      </w:tr>
      <w:tr>
        <w:tc>
          <w:tcPr>
            <w:tcW w:type="dxa" w:w="2835"/>
          </w:tcPr>
          <w:p>
            <w:r>
              <w:rPr>
                <w:rFonts w:ascii="Times New Roman" w:hAnsi="Times New Roman"/>
                <w:sz w:val="20"/>
              </w:rPr>
              <w:t>GDPR</w:t>
            </w:r>
          </w:p>
        </w:tc>
        <w:tc>
          <w:tcPr>
            <w:tcW w:type="dxa" w:w="6803"/>
          </w:tcPr>
          <w:p>
            <w:r>
              <w:rPr>
                <w:rFonts w:ascii="Times New Roman" w:hAnsi="Times New Roman"/>
                <w:sz w:val="20"/>
              </w:rPr>
              <w:t>General Data Protection Regulation</w:t>
            </w:r>
          </w:p>
        </w:tc>
      </w:tr>
      <w:tr>
        <w:tc>
          <w:tcPr>
            <w:tcW w:type="dxa" w:w="2835"/>
          </w:tcPr>
          <w:p>
            <w:r>
              <w:rPr>
                <w:rFonts w:ascii="Times New Roman" w:hAnsi="Times New Roman"/>
                <w:sz w:val="20"/>
              </w:rPr>
              <w:t>KPI</w:t>
            </w:r>
          </w:p>
        </w:tc>
        <w:tc>
          <w:tcPr>
            <w:tcW w:type="dxa" w:w="6803"/>
          </w:tcPr>
          <w:p>
            <w:r>
              <w:rPr>
                <w:rFonts w:ascii="Times New Roman" w:hAnsi="Times New Roman"/>
                <w:sz w:val="20"/>
              </w:rPr>
              <w:t>Key Performance Indicator</w:t>
            </w:r>
          </w:p>
        </w:tc>
      </w:tr>
      <w:tr>
        <w:tc>
          <w:tcPr>
            <w:tcW w:type="dxa" w:w="2835"/>
          </w:tcPr>
          <w:p>
            <w:r>
              <w:rPr>
                <w:rFonts w:ascii="Times New Roman" w:hAnsi="Times New Roman"/>
                <w:sz w:val="20"/>
              </w:rPr>
              <w:t>ML</w:t>
            </w:r>
          </w:p>
        </w:tc>
        <w:tc>
          <w:tcPr>
            <w:tcW w:type="dxa" w:w="6803"/>
          </w:tcPr>
          <w:p>
            <w:r>
              <w:rPr>
                <w:rFonts w:ascii="Times New Roman" w:hAnsi="Times New Roman"/>
                <w:sz w:val="20"/>
              </w:rPr>
              <w:t>Machine Learning</w:t>
            </w:r>
          </w:p>
        </w:tc>
      </w:tr>
      <w:tr>
        <w:tc>
          <w:tcPr>
            <w:tcW w:type="dxa" w:w="2835"/>
          </w:tcPr>
          <w:p>
            <w:r>
              <w:rPr>
                <w:rFonts w:ascii="Times New Roman" w:hAnsi="Times New Roman"/>
                <w:sz w:val="20"/>
              </w:rPr>
              <w:t>NCB</w:t>
            </w:r>
          </w:p>
        </w:tc>
        <w:tc>
          <w:tcPr>
            <w:tcW w:type="dxa" w:w="6803"/>
          </w:tcPr>
          <w:p>
            <w:r>
              <w:rPr>
                <w:rFonts w:ascii="Times New Roman" w:hAnsi="Times New Roman"/>
                <w:sz w:val="20"/>
              </w:rPr>
              <w:t>No-Claims Bonus</w:t>
            </w:r>
          </w:p>
        </w:tc>
      </w:tr>
      <w:tr>
        <w:tc>
          <w:tcPr>
            <w:tcW w:type="dxa" w:w="2835"/>
          </w:tcPr>
          <w:p>
            <w:r>
              <w:rPr>
                <w:rFonts w:ascii="Times New Roman" w:hAnsi="Times New Roman"/>
                <w:sz w:val="20"/>
              </w:rPr>
              <w:t>OWASP</w:t>
            </w:r>
          </w:p>
        </w:tc>
        <w:tc>
          <w:tcPr>
            <w:tcW w:type="dxa" w:w="6803"/>
          </w:tcPr>
          <w:p>
            <w:r>
              <w:rPr>
                <w:rFonts w:ascii="Times New Roman" w:hAnsi="Times New Roman"/>
                <w:sz w:val="20"/>
              </w:rPr>
              <w:t>Open Web Application Security Project</w:t>
            </w:r>
          </w:p>
        </w:tc>
      </w:tr>
      <w:tr>
        <w:tc>
          <w:tcPr>
            <w:tcW w:type="dxa" w:w="2835"/>
          </w:tcPr>
          <w:p>
            <w:r>
              <w:rPr>
                <w:rFonts w:ascii="Times New Roman" w:hAnsi="Times New Roman"/>
                <w:sz w:val="20"/>
              </w:rPr>
              <w:t>PDF</w:t>
            </w:r>
          </w:p>
        </w:tc>
        <w:tc>
          <w:tcPr>
            <w:tcW w:type="dxa" w:w="6803"/>
          </w:tcPr>
          <w:p>
            <w:r>
              <w:rPr>
                <w:rFonts w:ascii="Times New Roman" w:hAnsi="Times New Roman"/>
                <w:sz w:val="20"/>
              </w:rPr>
              <w:t>Portable Document Format</w:t>
            </w:r>
          </w:p>
        </w:tc>
      </w:tr>
      <w:tr>
        <w:tc>
          <w:tcPr>
            <w:tcW w:type="dxa" w:w="2835"/>
          </w:tcPr>
          <w:p>
            <w:r>
              <w:rPr>
                <w:rFonts w:ascii="Times New Roman" w:hAnsi="Times New Roman"/>
                <w:sz w:val="20"/>
              </w:rPr>
              <w:t>RAG</w:t>
            </w:r>
          </w:p>
        </w:tc>
        <w:tc>
          <w:tcPr>
            <w:tcW w:type="dxa" w:w="6803"/>
          </w:tcPr>
          <w:p>
            <w:r>
              <w:rPr>
                <w:rFonts w:ascii="Times New Roman" w:hAnsi="Times New Roman"/>
                <w:sz w:val="20"/>
              </w:rPr>
              <w:t>Red, Amber, Green (status)</w:t>
            </w:r>
          </w:p>
        </w:tc>
      </w:tr>
      <w:tr>
        <w:tc>
          <w:tcPr>
            <w:tcW w:type="dxa" w:w="2835"/>
          </w:tcPr>
          <w:p>
            <w:r>
              <w:rPr>
                <w:rFonts w:ascii="Times New Roman" w:hAnsi="Times New Roman"/>
                <w:sz w:val="20"/>
              </w:rPr>
              <w:t>ROC</w:t>
            </w:r>
          </w:p>
        </w:tc>
        <w:tc>
          <w:tcPr>
            <w:tcW w:type="dxa" w:w="6803"/>
          </w:tcPr>
          <w:p>
            <w:r>
              <w:rPr>
                <w:rFonts w:ascii="Times New Roman" w:hAnsi="Times New Roman"/>
                <w:sz w:val="20"/>
              </w:rPr>
              <w:t>Receiver Operating Characteristic</w:t>
            </w:r>
          </w:p>
        </w:tc>
      </w:tr>
      <w:tr>
        <w:tc>
          <w:tcPr>
            <w:tcW w:type="dxa" w:w="2835"/>
          </w:tcPr>
          <w:p>
            <w:r>
              <w:rPr>
                <w:rFonts w:ascii="Times New Roman" w:hAnsi="Times New Roman"/>
                <w:sz w:val="20"/>
              </w:rPr>
              <w:t>SMART</w:t>
            </w:r>
          </w:p>
        </w:tc>
        <w:tc>
          <w:tcPr>
            <w:tcW w:type="dxa" w:w="6803"/>
          </w:tcPr>
          <w:p>
            <w:r>
              <w:rPr>
                <w:rFonts w:ascii="Times New Roman" w:hAnsi="Times New Roman"/>
                <w:sz w:val="20"/>
              </w:rPr>
              <w:t>Specific, Measurable, Achievable, Relevant, Time-bound</w:t>
            </w:r>
          </w:p>
        </w:tc>
      </w:tr>
      <w:tr>
        <w:tc>
          <w:tcPr>
            <w:tcW w:type="dxa" w:w="2835"/>
          </w:tcPr>
          <w:p>
            <w:r>
              <w:rPr>
                <w:rFonts w:ascii="Times New Roman" w:hAnsi="Times New Roman"/>
                <w:sz w:val="20"/>
              </w:rPr>
              <w:t>SWOT</w:t>
            </w:r>
          </w:p>
        </w:tc>
        <w:tc>
          <w:tcPr>
            <w:tcW w:type="dxa" w:w="6803"/>
          </w:tcPr>
          <w:p>
            <w:r>
              <w:rPr>
                <w:rFonts w:ascii="Times New Roman" w:hAnsi="Times New Roman"/>
                <w:sz w:val="20"/>
              </w:rPr>
              <w:t>Strengths, Weaknesses, Opportunities, Threats</w:t>
            </w:r>
          </w:p>
        </w:tc>
      </w:tr>
      <w:tr>
        <w:tc>
          <w:tcPr>
            <w:tcW w:type="dxa" w:w="2835"/>
          </w:tcPr>
          <w:p>
            <w:r>
              <w:rPr>
                <w:rFonts w:ascii="Times New Roman" w:hAnsi="Times New Roman"/>
                <w:sz w:val="20"/>
              </w:rPr>
              <w:t>UBI</w:t>
            </w:r>
          </w:p>
        </w:tc>
        <w:tc>
          <w:tcPr>
            <w:tcW w:type="dxa" w:w="6803"/>
          </w:tcPr>
          <w:p>
            <w:r>
              <w:rPr>
                <w:rFonts w:ascii="Times New Roman" w:hAnsi="Times New Roman"/>
                <w:sz w:val="20"/>
              </w:rPr>
              <w:t>Usage-Based Insurance</w:t>
            </w:r>
          </w:p>
        </w:tc>
      </w:tr>
      <w:tr>
        <w:tc>
          <w:tcPr>
            <w:tcW w:type="dxa" w:w="2835"/>
          </w:tcPr>
          <w:p>
            <w:r>
              <w:rPr>
                <w:rFonts w:ascii="Times New Roman" w:hAnsi="Times New Roman"/>
                <w:sz w:val="20"/>
              </w:rPr>
              <w:t>WBS</w:t>
            </w:r>
          </w:p>
        </w:tc>
        <w:tc>
          <w:tcPr>
            <w:tcW w:type="dxa" w:w="6803"/>
          </w:tcPr>
          <w:p>
            <w:r>
              <w:rPr>
                <w:rFonts w:ascii="Times New Roman" w:hAnsi="Times New Roman"/>
                <w:sz w:val="20"/>
              </w:rPr>
              <w:t>Work Breakdown Structure</w:t>
            </w:r>
          </w:p>
        </w:tc>
      </w:tr>
      <w:tr>
        <w:tc>
          <w:tcPr>
            <w:tcW w:type="dxa" w:w="2835"/>
          </w:tcPr>
          <w:p>
            <w:r>
              <w:rPr>
                <w:rFonts w:ascii="Times New Roman" w:hAnsi="Times New Roman"/>
                <w:sz w:val="20"/>
              </w:rPr>
              <w:t>XAI</w:t>
            </w:r>
          </w:p>
        </w:tc>
        <w:tc>
          <w:tcPr>
            <w:tcW w:type="dxa" w:w="6803"/>
          </w:tcPr>
          <w:p>
            <w:r>
              <w:rPr>
                <w:rFonts w:ascii="Times New Roman" w:hAnsi="Times New Roman"/>
                <w:sz w:val="20"/>
              </w:rPr>
              <w:t>Explainable Artificial Intelligence</w:t>
            </w:r>
          </w:p>
        </w:tc>
      </w:tr>
    </w:tbl>
    <w:p/>
    <w:p>
      <w:r>
        <w:br w:type="page"/>
      </w:r>
    </w:p>
    <w:p>
      <w:pPr>
        <w:pStyle w:val="Heading1"/>
        <w:spacing w:before="280" w:after="120"/>
      </w:pPr>
      <w:r>
        <w:rPr>
          <w:rFonts w:ascii="Times New Roman" w:hAnsi="Times New Roman"/>
          <w:color w:val="1A4072"/>
        </w:rPr>
        <w:t>Chapter 1 — Introduction</w:t>
      </w:r>
    </w:p>
    <w:p>
      <w:pPr>
        <w:spacing w:after="120" w:line="400" w:lineRule="exact"/>
      </w:pPr>
      <w:r>
        <w:rPr>
          <w:rFonts w:ascii="Times New Roman" w:hAnsi="Times New Roman"/>
          <w:b w:val="0"/>
          <w:i/>
          <w:sz w:val="20"/>
        </w:rPr>
        <w:t>[Addresses LO1 — P1, P2 | Merit M1 | Distinction D1]</w:t>
      </w:r>
    </w:p>
    <w:p>
      <w:pPr>
        <w:pStyle w:val="Heading2"/>
        <w:spacing w:before="160" w:after="120"/>
      </w:pPr>
      <w:r>
        <w:rPr>
          <w:rFonts w:ascii="Times New Roman" w:hAnsi="Times New Roman"/>
          <w:color w:val="1A4072"/>
        </w:rPr>
        <w:t>1.1  Background and Context</w:t>
      </w:r>
    </w:p>
    <w:p>
      <w:pPr>
        <w:spacing w:after="120" w:line="400" w:lineRule="exact"/>
      </w:pPr>
      <w:r>
        <w:rPr>
          <w:rFonts w:ascii="Times New Roman" w:hAnsi="Times New Roman"/>
          <w:b w:val="0"/>
          <w:i w:val="0"/>
          <w:sz w:val="22"/>
        </w:rPr>
        <w:t>The convergence of big data analytics, cloud computing and ensemble machine learning has fundamentally altered how financial services organisations assess and price risk. Within the motor insurance sector specifically, the transition from rule-based actuarial models to data-driven predictive systems has accelerated markedly since 2018, driven by regulatory pressure for transparency, competitive pricing dynamics and the widespread availability of structured driving behaviour data (Deloitte, 2023). According to McKinsey &amp; Company (2022), insurers that adopt advanced analytics in underwriting processes report a 15–30% improvement in loss ratio accuracy compared to organisations relying solely on traditional rating factors such as age, gender and vehicle class.</w:t>
      </w:r>
    </w:p>
    <w:p>
      <w:pPr>
        <w:spacing w:after="120" w:line="400" w:lineRule="exact"/>
      </w:pPr>
      <w:r>
        <w:rPr>
          <w:rFonts w:ascii="Times New Roman" w:hAnsi="Times New Roman"/>
          <w:b w:val="0"/>
          <w:i w:val="0"/>
          <w:sz w:val="22"/>
        </w:rPr>
        <w:t>Uzbekistan's insurance market is at an earlier but rapidly evolving stage of this transformation. The State Insurance Supervision Committee reported a 34% year-on-year increase in motor insurance premiums collected in 2023, reflecting both regulatory mandates and growing vehicle ownership rates in urban centres such as Tashkent, Samarkand and Namangan (SISC, 2023). However, the pricing methodologies employed by domestic insurers remain predominantly manual, relying on paper-based risk questionnaires and coarse demographic segmentation — an approach that consistently mis-prices risk for young urban drivers and fails to capture behavioural indicators such as night-time driving frequency or traffic violation history (World Bank, 2022).</w:t>
      </w:r>
    </w:p>
    <w:p>
      <w:pPr>
        <w:spacing w:after="120" w:line="400" w:lineRule="exact"/>
      </w:pPr>
      <w:r>
        <w:rPr>
          <w:rFonts w:ascii="Times New Roman" w:hAnsi="Times New Roman"/>
          <w:b w:val="0"/>
          <w:i w:val="0"/>
          <w:sz w:val="22"/>
        </w:rPr>
        <w:t>The emergence of affordable supervised machine learning libraries — particularly gradient boosting frameworks such as XGBoost (Chen and Guestrin, 2016) and the scikit-learn ensemble suite — makes it technically and economically feasible for even small insurers to deploy automated risk scoring pipelines. What remains challenging is integrating these models into usable, secure, production-ready web applications that non-technical insurance professionals can operate effectively. This project addresses precisely that gap.</w:t>
      </w:r>
    </w:p>
    <w:p>
      <w:pPr>
        <w:pStyle w:val="Heading2"/>
        <w:spacing w:before="160" w:after="120"/>
      </w:pPr>
      <w:r>
        <w:rPr>
          <w:rFonts w:ascii="Times New Roman" w:hAnsi="Times New Roman"/>
          <w:color w:val="1A4072"/>
        </w:rPr>
        <w:t>1.2  Problem Statement</w:t>
      </w:r>
    </w:p>
    <w:p>
      <w:pPr>
        <w:spacing w:after="120" w:line="400" w:lineRule="exact"/>
      </w:pPr>
      <w:r>
        <w:rPr>
          <w:rFonts w:ascii="Times New Roman" w:hAnsi="Times New Roman"/>
          <w:b w:val="0"/>
          <w:i w:val="0"/>
          <w:sz w:val="22"/>
        </w:rPr>
        <w:t>Existing motor insurance risk assessment suffers from three interconnected problems. First, inconsistency: manual scoring by different underwriters for identical risk profiles yields materially different premium outcomes, creating both customer dissatisfaction and adverse selection risk (Eling and Lehmann, 2018). Second, opacity: insurers struggle to provide evidence-based, transparent explanations when premiums are raised — a shortcoming that conflicts with consumer protection legislation and the principles of GDPR Article 22 (European Parliament, 2016). Third, latency: a conventional manual assessment process may take 24–72 hours, whereas modern digital consumers expect near-instantaneous quotes.</w:t>
      </w:r>
    </w:p>
    <w:p>
      <w:pPr>
        <w:spacing w:after="120" w:line="400" w:lineRule="exact"/>
      </w:pPr>
      <w:r>
        <w:rPr>
          <w:rFonts w:ascii="Times New Roman" w:hAnsi="Times New Roman"/>
          <w:b w:val="0"/>
          <w:i w:val="0"/>
          <w:sz w:val="22"/>
        </w:rPr>
        <w:t>No open-source, deployable full-stack solution exists that simultaneously addresses all three problems through a trained ML pipeline, an explainability layer, a premium calculator and an intelligent conversational assistant within a single integrated platform. This is the gap that RiskGuard AI is designed to close.</w:t>
      </w:r>
    </w:p>
    <w:p>
      <w:pPr>
        <w:pStyle w:val="Heading2"/>
        <w:spacing w:before="160" w:after="120"/>
      </w:pPr>
      <w:r>
        <w:rPr>
          <w:rFonts w:ascii="Times New Roman" w:hAnsi="Times New Roman"/>
          <w:color w:val="1A4072"/>
        </w:rPr>
        <w:t>1.3  Project Aim</w:t>
      </w:r>
    </w:p>
    <w:p>
      <w:pPr>
        <w:spacing w:after="120" w:line="400" w:lineRule="exact"/>
      </w:pPr>
      <w:r>
        <w:rPr>
          <w:rFonts w:ascii="Times New Roman" w:hAnsi="Times New Roman"/>
          <w:b w:val="0"/>
          <w:i w:val="0"/>
          <w:sz w:val="22"/>
        </w:rPr>
        <w:t>The aim of this project is to design, develop and evaluate RiskGuard AI — an intelligent, full-stack machine learning web application that automates road accident risk assessment for motor insurance underwriting professionals, delivering explainable risk scores, premium multipliers and evidence-based recommendations through a secure, scalable Flask-based architecture.</w:t>
      </w:r>
    </w:p>
    <w:p>
      <w:pPr>
        <w:pStyle w:val="Heading2"/>
        <w:spacing w:before="160" w:after="120"/>
      </w:pPr>
      <w:r>
        <w:rPr>
          <w:rFonts w:ascii="Times New Roman" w:hAnsi="Times New Roman"/>
          <w:color w:val="1A4072"/>
        </w:rPr>
        <w:t>1.4  Project Objectives</w:t>
      </w:r>
    </w:p>
    <w:p>
      <w:pPr>
        <w:pStyle w:val="ListNumber"/>
      </w:pPr>
      <w:r>
        <w:rPr>
          <w:rFonts w:ascii="Times New Roman" w:hAnsi="Times New Roman"/>
          <w:b w:val="0"/>
          <w:i w:val="0"/>
          <w:sz w:val="22"/>
        </w:rPr>
        <w:t>To critically review the academic and industry literature on machine learning applications in motor insurance risk assessment in order to identify the most appropriate modelling approaches and design principles.</w:t>
      </w:r>
    </w:p>
    <w:p>
      <w:pPr>
        <w:pStyle w:val="ListNumber"/>
      </w:pPr>
      <w:r>
        <w:rPr>
          <w:rFonts w:ascii="Times New Roman" w:hAnsi="Times New Roman"/>
          <w:b w:val="0"/>
          <w:i w:val="0"/>
          <w:sz w:val="22"/>
        </w:rPr>
        <w:t>To generate a synthetic, actuarially grounded training dataset of 30,000 records across twelve input features and six engineered interaction variables by April 2026.</w:t>
      </w:r>
    </w:p>
    <w:p>
      <w:pPr>
        <w:pStyle w:val="ListNumber"/>
      </w:pPr>
      <w:r>
        <w:rPr>
          <w:rFonts w:ascii="Times New Roman" w:hAnsi="Times New Roman"/>
          <w:b w:val="0"/>
          <w:i w:val="0"/>
          <w:sz w:val="22"/>
        </w:rPr>
        <w:t>To train, tune and comparatively evaluate six classification algorithms — Decision Tree, Logistic Regression, Extra Trees, Random Forest, Gradient Boosting and XGBoost — using accuracy and ROC-AUC as primary evaluation metrics, completing model selection by April 2026.</w:t>
      </w:r>
    </w:p>
    <w:p>
      <w:pPr>
        <w:pStyle w:val="ListNumber"/>
      </w:pPr>
      <w:r>
        <w:rPr>
          <w:rFonts w:ascii="Times New Roman" w:hAnsi="Times New Roman"/>
          <w:b w:val="0"/>
          <w:i w:val="0"/>
          <w:sz w:val="22"/>
        </w:rPr>
        <w:t>To design and deploy a secure, full-stack Flask web application incorporating fourteen functional modules by May 2026.</w:t>
      </w:r>
    </w:p>
    <w:p>
      <w:pPr>
        <w:pStyle w:val="ListNumber"/>
      </w:pPr>
      <w:r>
        <w:rPr>
          <w:rFonts w:ascii="Times New Roman" w:hAnsi="Times New Roman"/>
          <w:b w:val="0"/>
          <w:i w:val="0"/>
          <w:sz w:val="22"/>
        </w:rPr>
        <w:t>To evaluate the platform against BTEC assessment criteria and produce evidence-based recommendations for future practitioners and researchers.</w:t>
      </w:r>
    </w:p>
    <w:p>
      <w:pPr>
        <w:pStyle w:val="Heading2"/>
        <w:spacing w:before="160" w:after="120"/>
      </w:pPr>
      <w:r>
        <w:rPr>
          <w:rFonts w:ascii="Times New Roman" w:hAnsi="Times New Roman"/>
          <w:color w:val="1A4072"/>
        </w:rPr>
        <w:t>1.5  Research Questions</w:t>
      </w:r>
    </w:p>
    <w:p>
      <w:pPr>
        <w:spacing w:after="120" w:line="400" w:lineRule="exact"/>
      </w:pPr>
      <w:r>
        <w:rPr>
          <w:rFonts w:ascii="Times New Roman" w:hAnsi="Times New Roman"/>
          <w:b w:val="0"/>
          <w:i w:val="0"/>
          <w:sz w:val="22"/>
        </w:rPr>
        <w:t>RQ1: Which supervised machine learning algorithm delivers the highest predictive accuracy and discriminatory power (ROC-AUC) for road accident risk classification across the defined feature set?</w:t>
      </w:r>
    </w:p>
    <w:p>
      <w:pPr>
        <w:spacing w:after="120" w:line="400" w:lineRule="exact"/>
      </w:pPr>
      <w:r>
        <w:rPr>
          <w:rFonts w:ascii="Times New Roman" w:hAnsi="Times New Roman"/>
          <w:b w:val="0"/>
          <w:i w:val="0"/>
          <w:sz w:val="22"/>
        </w:rPr>
        <w:t>RQ2: What system architecture and security design best supports a production-ready, multi-feature insurance underwriting platform built on Python and Flask?</w:t>
      </w:r>
    </w:p>
    <w:p>
      <w:pPr>
        <w:spacing w:after="120" w:line="400" w:lineRule="exact"/>
      </w:pPr>
      <w:r>
        <w:rPr>
          <w:rFonts w:ascii="Times New Roman" w:hAnsi="Times New Roman"/>
          <w:b w:val="0"/>
          <w:i w:val="0"/>
          <w:sz w:val="22"/>
        </w:rPr>
        <w:t>RQ3: To what extent can rule-based factor-contribution analysis supplement ML model predictions to provide human-interpretable risk explanations acceptable to insurance professionals?</w:t>
      </w:r>
    </w:p>
    <w:p>
      <w:pPr>
        <w:pStyle w:val="Heading2"/>
        <w:spacing w:before="160" w:after="120"/>
      </w:pPr>
      <w:r>
        <w:rPr>
          <w:rFonts w:ascii="Times New Roman" w:hAnsi="Times New Roman"/>
          <w:color w:val="1A4072"/>
        </w:rPr>
        <w:t>1.6  Significance of the Project</w:t>
      </w:r>
    </w:p>
    <w:p>
      <w:pPr>
        <w:spacing w:after="120" w:line="400" w:lineRule="exact"/>
      </w:pPr>
      <w:r>
        <w:rPr>
          <w:rFonts w:ascii="Times New Roman" w:hAnsi="Times New Roman"/>
          <w:b w:val="0"/>
          <w:i w:val="0"/>
          <w:sz w:val="22"/>
        </w:rPr>
        <w:t>Academically, this project contributes an empirically benchmarked comparison of six classification algorithms on an actuarially designed synthetic dataset. The feature engineering methodology — creating six interaction variables from twelve base inputs — provides a replicable template for future insurance ML research in under-studied emerging markets such as Uzbekistan.</w:t>
      </w:r>
    </w:p>
    <w:p>
      <w:pPr>
        <w:spacing w:after="120" w:line="400" w:lineRule="exact"/>
      </w:pPr>
      <w:r>
        <w:rPr>
          <w:rFonts w:ascii="Times New Roman" w:hAnsi="Times New Roman"/>
          <w:b w:val="0"/>
          <w:i w:val="0"/>
          <w:sz w:val="22"/>
        </w:rPr>
        <w:t>For industry, RiskGuard AI demonstrates a deployable architecture that a small domestic insurer could adopt with minimal infrastructure cost. The entirely open-source Python stack (Flask, scikit-learn, XGBoost, SQLite) eliminates expensive vendor licensing, and the REST API layer allows integration with legacy policy management systems through standard JSON interfaces.</w:t>
      </w:r>
    </w:p>
    <w:p>
      <w:pPr>
        <w:spacing w:after="120" w:line="400" w:lineRule="exact"/>
      </w:pPr>
      <w:r>
        <w:rPr>
          <w:rFonts w:ascii="Times New Roman" w:hAnsi="Times New Roman"/>
          <w:b w:val="0"/>
          <w:i w:val="0"/>
          <w:sz w:val="22"/>
        </w:rPr>
        <w:t>Personally, this project represents the synthesis of three years of BIT study — combining database design, web development, machine learning and software security into a single testable artefact. The skills developed in model evaluation, Flask security hardening and academic research methodology are directly transferable to a career in fintech or insurtech.</w:t>
      </w:r>
    </w:p>
    <w:p>
      <w:pPr>
        <w:pStyle w:val="Heading2"/>
        <w:spacing w:before="160" w:after="120"/>
      </w:pPr>
      <w:r>
        <w:rPr>
          <w:rFonts w:ascii="Times New Roman" w:hAnsi="Times New Roman"/>
          <w:color w:val="1A4072"/>
        </w:rPr>
        <w:t>1.7  Scope and Limitations</w:t>
      </w:r>
    </w:p>
    <w:p>
      <w:pPr>
        <w:spacing w:after="120" w:line="400" w:lineRule="exact"/>
      </w:pPr>
      <w:r>
        <w:rPr>
          <w:rFonts w:ascii="Times New Roman" w:hAnsi="Times New Roman"/>
          <w:b w:val="0"/>
          <w:i w:val="0"/>
          <w:sz w:val="22"/>
        </w:rPr>
        <w:t>The project encompasses the full ML pipeline from synthetic data generation to local deployment; a web application with fourteen functional modules; and comparative model evaluation across six algorithms. The project does not extend to real-world deployment on live insurer systems, integration with external telematics APIs, or formal regulatory approval processes.</w:t>
      </w:r>
    </w:p>
    <w:p>
      <w:pPr>
        <w:spacing w:after="120" w:line="400" w:lineRule="exact"/>
      </w:pPr>
      <w:r>
        <w:rPr>
          <w:rFonts w:ascii="Times New Roman" w:hAnsi="Times New Roman"/>
          <w:b w:val="0"/>
          <w:i w:val="0"/>
          <w:sz w:val="22"/>
        </w:rPr>
        <w:t>Limitations include: the use of synthetic rather than real insurance claims data; the single-node SQLite database unsuitable for enterprise-scale concurrent usage; and the absence of formal usability testing with professional insurance underwriters.</w:t>
      </w:r>
    </w:p>
    <w:p>
      <w:pPr>
        <w:pStyle w:val="Heading2"/>
        <w:spacing w:before="160" w:after="120"/>
      </w:pPr>
      <w:r>
        <w:rPr>
          <w:rFonts w:ascii="Times New Roman" w:hAnsi="Times New Roman"/>
          <w:color w:val="1A4072"/>
        </w:rPr>
        <w:t>1.8  Structure of the Report</w:t>
      </w:r>
    </w:p>
    <w:p>
      <w:pPr>
        <w:spacing w:after="120" w:line="400" w:lineRule="exact"/>
      </w:pPr>
      <w:r>
        <w:rPr>
          <w:rFonts w:ascii="Times New Roman" w:hAnsi="Times New Roman"/>
          <w:b w:val="0"/>
          <w:i w:val="0"/>
          <w:sz w:val="22"/>
        </w:rPr>
        <w:t>Chapter 2 critically reviews the academic and industry literature on ML-based risk assessment, gradient boosting and insurance technology. Chapter 3 sets out the research philosophy, project management methodology, Gantt chart, risk register and ethical framework. Chapter 4 presents data collection, feature engineering, model training and quantitative findings. Chapter 5 interprets findings relative to the literature and evaluates validity and reliability. Chapter 6 provides conclusions and recommendations. Chapter 7 reflects on personal and professional development using Gibbs' Reflective Cycle.</w:t>
      </w:r>
    </w:p>
    <w:p>
      <w:r>
        <w:br w:type="page"/>
      </w:r>
    </w:p>
    <w:p>
      <w:pPr>
        <w:pStyle w:val="Heading1"/>
        <w:spacing w:before="280" w:after="120"/>
      </w:pPr>
      <w:r>
        <w:rPr>
          <w:rFonts w:ascii="Times New Roman" w:hAnsi="Times New Roman"/>
          <w:color w:val="1A4072"/>
        </w:rPr>
        <w:t>Chapter 2 — Literature Review</w:t>
      </w:r>
    </w:p>
    <w:p>
      <w:pPr>
        <w:spacing w:after="120" w:line="400" w:lineRule="exact"/>
      </w:pPr>
      <w:r>
        <w:rPr>
          <w:rFonts w:ascii="Times New Roman" w:hAnsi="Times New Roman"/>
          <w:b w:val="0"/>
          <w:i/>
          <w:sz w:val="20"/>
        </w:rPr>
        <w:t>[Addresses LO1 — Merit M1 | Distinction D1]</w:t>
      </w:r>
    </w:p>
    <w:p>
      <w:pPr>
        <w:pStyle w:val="Heading2"/>
        <w:spacing w:before="160" w:after="120"/>
      </w:pPr>
      <w:r>
        <w:rPr>
          <w:rFonts w:ascii="Times New Roman" w:hAnsi="Times New Roman"/>
          <w:color w:val="1A4072"/>
        </w:rPr>
        <w:t>2.1  Introduction to the Literature Review</w:t>
      </w:r>
    </w:p>
    <w:p>
      <w:pPr>
        <w:spacing w:after="120" w:line="400" w:lineRule="exact"/>
      </w:pPr>
      <w:r>
        <w:rPr>
          <w:rFonts w:ascii="Times New Roman" w:hAnsi="Times New Roman"/>
          <w:b w:val="0"/>
          <w:i w:val="0"/>
          <w:sz w:val="22"/>
        </w:rPr>
        <w:t>This chapter examines academic and industry literature relevant to three interlocking domains: machine learning algorithms for classification tasks, their application to insurance risk assessment, and the design of full-stack decision-support systems for financial services. The review was conducted using Google Scholar, IEEE Xplore, ScienceDirect and the ACM Digital Library, with a date range of 2015–2025. Twenty-seven sources met the inclusion criteria of peer-reviewed journals, conference proceedings, and industry white papers from recognised bodies.</w:t>
      </w:r>
    </w:p>
    <w:p>
      <w:pPr>
        <w:pStyle w:val="Heading2"/>
        <w:spacing w:before="160" w:after="120"/>
      </w:pPr>
      <w:r>
        <w:rPr>
          <w:rFonts w:ascii="Times New Roman" w:hAnsi="Times New Roman"/>
          <w:color w:val="1A4072"/>
        </w:rPr>
        <w:t>2.2  Theoretical Framework</w:t>
      </w:r>
    </w:p>
    <w:p>
      <w:pPr>
        <w:spacing w:after="120" w:line="400" w:lineRule="exact"/>
      </w:pPr>
      <w:r>
        <w:rPr>
          <w:rFonts w:ascii="Times New Roman" w:hAnsi="Times New Roman"/>
          <w:b w:val="0"/>
          <w:i w:val="0"/>
          <w:sz w:val="22"/>
        </w:rPr>
        <w:t>This project draws on two complementary theoretical lenses. The first is Design Science Research (DSR), articulated by Hevner et al. (2004), which holds that applied computing artefacts constitute legitimate and rigorous academic contributions when developed through a structured process of problem identification, artefact design, evaluation and reflection. DSR is particularly suited to capstone projects in information systems because it validates both the technical product and the process by which it was built (Oates, Griffiths and McLean, 2022).</w:t>
      </w:r>
    </w:p>
    <w:p>
      <w:pPr>
        <w:spacing w:after="120" w:line="400" w:lineRule="exact"/>
      </w:pPr>
      <w:r>
        <w:rPr>
          <w:rFonts w:ascii="Times New Roman" w:hAnsi="Times New Roman"/>
          <w:b w:val="0"/>
          <w:i w:val="0"/>
          <w:sz w:val="22"/>
        </w:rPr>
        <w:t>The second lens is Explainable Artificial Intelligence (XAI), concerned with making black-box ML predictions interpretable to non-specialist end users (Samek, Wiegand and Müller, 2017; Arrieta et al., 2020). In insurance underwriting contexts, regulators increasingly require that automated decisions be explainable to customers — a principle encoded in GDPR Article 22 (European Parliament, 2016). XAI principles directly inform the factor-contribution module of RiskGuard AI.</w:t>
      </w:r>
    </w:p>
    <w:p>
      <w:pPr>
        <w:spacing w:before="160"/>
        <w:jc w:val="center"/>
      </w:pPr>
      <w:r>
        <w:drawing>
          <wp:inline xmlns:a="http://schemas.openxmlformats.org/drawingml/2006/main" xmlns:pic="http://schemas.openxmlformats.org/drawingml/2006/picture">
            <wp:extent cx="5040000" cy="2529692"/>
            <wp:docPr id="1" name="Picture 1"/>
            <wp:cNvGraphicFramePr>
              <a:graphicFrameLocks noChangeAspect="1"/>
            </wp:cNvGraphicFramePr>
            <a:graphic>
              <a:graphicData uri="http://schemas.openxmlformats.org/drawingml/2006/picture">
                <pic:pic>
                  <pic:nvPicPr>
                    <pic:cNvPr id="0" name="fig2_1_framework.png"/>
                    <pic:cNvPicPr/>
                  </pic:nvPicPr>
                  <pic:blipFill>
                    <a:blip r:embed="rId9"/>
                    <a:stretch>
                      <a:fillRect/>
                    </a:stretch>
                  </pic:blipFill>
                  <pic:spPr>
                    <a:xfrm>
                      <a:off x="0" y="0"/>
                      <a:ext cx="5040000" cy="2529692"/>
                    </a:xfrm>
                    <a:prstGeom prst="rect"/>
                  </pic:spPr>
                </pic:pic>
              </a:graphicData>
            </a:graphic>
          </wp:inline>
        </w:drawing>
      </w:r>
    </w:p>
    <w:p>
      <w:pPr>
        <w:spacing w:after="200"/>
        <w:jc w:val="center"/>
      </w:pPr>
      <w:r>
        <w:rPr>
          <w:rFonts w:ascii="Times New Roman" w:hAnsi="Times New Roman"/>
          <w:b w:val="0"/>
          <w:i/>
          <w:color w:val="404040"/>
          <w:sz w:val="20"/>
        </w:rPr>
        <w:t>Figure 2.1: RiskGuard AI Conceptual Framework — data flow from raw inputs through ML pipeline to insurance outputs.</w:t>
      </w:r>
    </w:p>
    <w:p>
      <w:pPr>
        <w:pStyle w:val="Heading2"/>
        <w:spacing w:before="160" w:after="120"/>
      </w:pPr>
      <w:r>
        <w:rPr>
          <w:rFonts w:ascii="Times New Roman" w:hAnsi="Times New Roman"/>
          <w:color w:val="1A4072"/>
        </w:rPr>
        <w:t>2.3  Thematic Review</w:t>
      </w:r>
    </w:p>
    <w:p>
      <w:pPr>
        <w:pStyle w:val="Heading3"/>
        <w:spacing w:before="160" w:after="120"/>
      </w:pPr>
      <w:r>
        <w:rPr>
          <w:rFonts w:ascii="Times New Roman" w:hAnsi="Times New Roman"/>
          <w:color w:val="1A4072"/>
        </w:rPr>
        <w:t>2.3.1  Theme 1 — Machine Learning for Insurance Risk Classification</w:t>
      </w:r>
    </w:p>
    <w:p>
      <w:pPr>
        <w:spacing w:after="120" w:line="400" w:lineRule="exact"/>
      </w:pPr>
      <w:r>
        <w:rPr>
          <w:rFonts w:ascii="Times New Roman" w:hAnsi="Times New Roman"/>
          <w:b w:val="0"/>
          <w:i w:val="0"/>
          <w:sz w:val="22"/>
        </w:rPr>
        <w:t>The application of supervised ML to insurance pricing is well-established but unevenly implemented. Wüthrich and Merz (2023) survey actuarial data science methods, noting that while gradient boosting achieves superior predictive accuracy, insurers encounter barriers around model interpretability and regulatory approval. Among algorithm families, gradient boosting — introduced by Friedman (2001) — consistently outperforms alternative tree-based and linear methods on tabular insurance data. This superiority stems from sequential error-correction: each weak learner is trained on the residuals of its predecessor, progressively reducing bias without substantially increasing variance (Hastie, Tibshirani and Friedman, 2009).</w:t>
      </w:r>
    </w:p>
    <w:p>
      <w:pPr>
        <w:spacing w:after="120" w:line="400" w:lineRule="exact"/>
      </w:pPr>
      <w:r>
        <w:rPr>
          <w:rFonts w:ascii="Times New Roman" w:hAnsi="Times New Roman"/>
          <w:b w:val="0"/>
          <w:i w:val="0"/>
          <w:sz w:val="22"/>
        </w:rPr>
        <w:t>XGBoost, introduced by Chen and Guestrin (2016), extends gradient boosting with L1 and L2 regularisation, sparsity-aware split-finding and block-structured parallelism. Diao and Weng (2019) found XGBoost achieved the highest AUC (0.971) in a seven-algorithm comparison on the UCI Auto Insurance dataset — closely aligned with the ROC-AUC of 0.9738 reported in this project, providing external validity to the evaluation.</w:t>
      </w:r>
    </w:p>
    <w:p>
      <w:pPr>
        <w:pStyle w:val="Heading3"/>
        <w:spacing w:before="160" w:after="120"/>
      </w:pPr>
      <w:r>
        <w:rPr>
          <w:rFonts w:ascii="Times New Roman" w:hAnsi="Times New Roman"/>
          <w:color w:val="1A4072"/>
        </w:rPr>
        <w:t>2.3.2  Theme 2 — Feature Engineering in Motor Insurance</w:t>
      </w:r>
    </w:p>
    <w:p>
      <w:pPr>
        <w:spacing w:after="120" w:line="400" w:lineRule="exact"/>
      </w:pPr>
      <w:r>
        <w:rPr>
          <w:rFonts w:ascii="Times New Roman" w:hAnsi="Times New Roman"/>
          <w:b w:val="0"/>
          <w:i w:val="0"/>
          <w:sz w:val="22"/>
        </w:rPr>
        <w:t>Feature engineering is frequently cited as the most impactful lever for improving classification model performance on structured data (Guyon and Elisseeff, 2003). Boucher, Denuit and Guillen (2007) demonstrated that interaction features combining driver age with experience level substantially outperformed either variable alone in predicting claim frequency. Henckaerts et al. (2021) replicated this finding using telematics data from a Belgian insurer. The six engineered features incorporated in RiskGuard AI — acc_per_exp, viol_per_exp, youth_risk, senior_risk, risk_combo, and high_risk_vehicle — directly capture these documented non-linear interaction effects.</w:t>
      </w:r>
    </w:p>
    <w:p>
      <w:pPr>
        <w:spacing w:after="120" w:line="400" w:lineRule="exact"/>
      </w:pPr>
      <w:r>
        <w:rPr>
          <w:rFonts w:ascii="Times New Roman" w:hAnsi="Times New Roman"/>
          <w:b w:val="0"/>
          <w:i w:val="0"/>
          <w:sz w:val="22"/>
        </w:rPr>
        <w:t>Previous accident history emerges consistently as the most predictive single variable across the literature (Boucher, Denuit and Guillen, 2007; Verbelen, Antonio and Claeskens, 2018). In RiskGuard AI, each prior accident contributes +14 points to the risk score — calibrated from actuarial evidence that a single prior claim increases expected future claim probability by 40–60% (Boucher, Denuit and Guillen, 2009).</w:t>
      </w:r>
    </w:p>
    <w:p>
      <w:pPr>
        <w:pStyle w:val="Heading3"/>
        <w:spacing w:before="160" w:after="120"/>
      </w:pPr>
      <w:r>
        <w:rPr>
          <w:rFonts w:ascii="Times New Roman" w:hAnsi="Times New Roman"/>
          <w:color w:val="1A4072"/>
        </w:rPr>
        <w:t>2.3.3  Theme 3 — System Design for Insurance Decision Support</w:t>
      </w:r>
    </w:p>
    <w:p>
      <w:pPr>
        <w:spacing w:after="120" w:line="400" w:lineRule="exact"/>
      </w:pPr>
      <w:r>
        <w:rPr>
          <w:rFonts w:ascii="Times New Roman" w:hAnsi="Times New Roman"/>
          <w:b w:val="0"/>
          <w:i w:val="0"/>
          <w:sz w:val="22"/>
        </w:rPr>
        <w:t>Klüppelberg and Mikosch (2022) argue that production ML systems for financial decisions must enforce strict separation between the prediction layer and the explanation layer. RiskGuard AI implements this principle: the XGBoost pipeline handles probability estimation while a separate compute_factor_contributions() function generates rule-based explanations stable across model retraining cycles. OWASP (2021) recommends CSRF token enforcement, rate limiting, bcrypt password hashing and HTTPOnly cookies for financial web applications — all four are implemented in RiskGuard AI.</w:t>
      </w:r>
    </w:p>
    <w:p>
      <w:pPr>
        <w:spacing w:before="160"/>
        <w:jc w:val="center"/>
      </w:pPr>
      <w:r>
        <w:drawing>
          <wp:inline xmlns:a="http://schemas.openxmlformats.org/drawingml/2006/main" xmlns:pic="http://schemas.openxmlformats.org/drawingml/2006/picture">
            <wp:extent cx="5040000" cy="1934045"/>
            <wp:docPr id="2" name="Picture 2"/>
            <wp:cNvGraphicFramePr>
              <a:graphicFrameLocks noChangeAspect="1"/>
            </wp:cNvGraphicFramePr>
            <a:graphic>
              <a:graphicData uri="http://schemas.openxmlformats.org/drawingml/2006/picture">
                <pic:pic>
                  <pic:nvPicPr>
                    <pic:cNvPr id="0" name="fig2_2_premium.png"/>
                    <pic:cNvPicPr/>
                  </pic:nvPicPr>
                  <pic:blipFill>
                    <a:blip r:embed="rId10"/>
                    <a:stretch>
                      <a:fillRect/>
                    </a:stretch>
                  </pic:blipFill>
                  <pic:spPr>
                    <a:xfrm>
                      <a:off x="0" y="0"/>
                      <a:ext cx="5040000" cy="1934045"/>
                    </a:xfrm>
                    <a:prstGeom prst="rect"/>
                  </pic:spPr>
                </pic:pic>
              </a:graphicData>
            </a:graphic>
          </wp:inline>
        </w:drawing>
      </w:r>
    </w:p>
    <w:p>
      <w:pPr>
        <w:spacing w:after="200"/>
        <w:jc w:val="center"/>
      </w:pPr>
      <w:r>
        <w:rPr>
          <w:rFonts w:ascii="Times New Roman" w:hAnsi="Times New Roman"/>
          <w:b w:val="0"/>
          <w:i/>
          <w:color w:val="404040"/>
          <w:sz w:val="20"/>
        </w:rPr>
        <w:t>Figure 2.2: Risk categories and premium multipliers — the four-tier pricing structure of RiskGuard AI.</w:t>
      </w:r>
    </w:p>
    <w:p>
      <w:pPr>
        <w:pStyle w:val="Heading2"/>
        <w:spacing w:before="160" w:after="120"/>
      </w:pPr>
      <w:r>
        <w:rPr>
          <w:rFonts w:ascii="Times New Roman" w:hAnsi="Times New Roman"/>
          <w:color w:val="1A4072"/>
        </w:rPr>
        <w:t>2.4  Industry and Practice Review</w:t>
      </w:r>
    </w:p>
    <w:p>
      <w:pPr>
        <w:spacing w:after="120" w:line="400" w:lineRule="exact"/>
      </w:pPr>
      <w:r>
        <w:rPr>
          <w:rFonts w:ascii="Times New Roman" w:hAnsi="Times New Roman"/>
          <w:b w:val="0"/>
          <w:i w:val="0"/>
          <w:sz w:val="22"/>
        </w:rPr>
        <w:t>The insurtech landscape in 2024 is characterised by rapid consolidation around usage-based insurance (UBI), automated underwriting and claims automation (Deloitte, 2023). Root Insurance's telematics-first model and Shift Technology's gradient boosting fraud detection API — which integrates with existing policy management systems through REST APIs — directly mirror the architecture of RiskGuard AI's /api/assess endpoint (Shift Technology, 2022). The Insurance Association of Uzbekistan (2023) has identified digital underwriting as a strategic priority for the 2025–2030 national insurance development programme, signalling regulatory receptivity to AI-assisted pricing tools.</w:t>
      </w:r>
    </w:p>
    <w:p>
      <w:pPr>
        <w:pStyle w:val="Heading2"/>
        <w:spacing w:before="160" w:after="120"/>
      </w:pPr>
      <w:r>
        <w:rPr>
          <w:rFonts w:ascii="Times New Roman" w:hAnsi="Times New Roman"/>
          <w:color w:val="1A4072"/>
        </w:rPr>
        <w:t>2.5  Identification of the Gap</w:t>
      </w:r>
    </w:p>
    <w:p>
      <w:pPr>
        <w:spacing w:after="120" w:line="400" w:lineRule="exact"/>
      </w:pPr>
      <w:r>
        <w:rPr>
          <w:rFonts w:ascii="Times New Roman" w:hAnsi="Times New Roman"/>
          <w:b w:val="0"/>
          <w:i w:val="0"/>
          <w:sz w:val="22"/>
        </w:rPr>
        <w:t>The literature establishes clearly that: (a) XGBoost is the leading algorithm for tabular insurance classification; (b) engineered interaction features materially improve performance; and (c) explainability and security are non-negotiable for deployed financial AI. What the literature does not provide is an integrated, open-source, full-stack implementation combining all three requirements in a single deployable artefact with documented benchmarks on an actuarially designed synthetic dataset.</w:t>
      </w:r>
    </w:p>
    <w:p>
      <w:pPr>
        <w:spacing w:after="120" w:line="400" w:lineRule="exact"/>
      </w:pPr>
      <w:r>
        <w:rPr>
          <w:rFonts w:ascii="Times New Roman" w:hAnsi="Times New Roman"/>
          <w:b w:val="0"/>
          <w:i w:val="0"/>
          <w:sz w:val="22"/>
        </w:rPr>
        <w:t>Two alternative directions were evaluated and rejected. A deep learning approach was dismissed because transformer models on tabular data with fewer than 100,000 records underperform gradient boosting in controlled benchmarks (Grinsztajn, Oyallon and Varoquaux, 2022). A real-world STATS19 dataset approach was rejected because it lacks credit score, vehicle age and annual mileage — three variables with documented actuarial significance — making it unsuitable for comprehensive risk profiling.</w:t>
      </w:r>
    </w:p>
    <w:p>
      <w:pPr>
        <w:pStyle w:val="Heading2"/>
        <w:spacing w:before="160" w:after="120"/>
      </w:pPr>
      <w:r>
        <w:rPr>
          <w:rFonts w:ascii="Times New Roman" w:hAnsi="Times New Roman"/>
          <w:color w:val="1A4072"/>
        </w:rPr>
        <w:t>2.6  Summary of the Literature Review</w:t>
      </w:r>
    </w:p>
    <w:p>
      <w:pPr>
        <w:spacing w:after="120" w:line="400" w:lineRule="exact"/>
      </w:pPr>
      <w:r>
        <w:rPr>
          <w:rFonts w:ascii="Times New Roman" w:hAnsi="Times New Roman"/>
          <w:b w:val="0"/>
          <w:i w:val="0"/>
          <w:sz w:val="22"/>
        </w:rPr>
        <w:t>This review has established that XGBoost is the empirically dominant algorithm for motor insurance risk classification, that engineered interaction features improve model discriminatory power, and that production deployment requires an integrated explainability layer and robust security architecture. The identified gap — no integrated deployable solution — is what RiskGuard AI directly addresses. Chapter 3 translates these findings into a concrete research methodology and project plan.</w:t>
      </w:r>
    </w:p>
    <w:p>
      <w:r>
        <w:br w:type="page"/>
      </w:r>
    </w:p>
    <w:p>
      <w:pPr>
        <w:pStyle w:val="Heading1"/>
        <w:spacing w:before="280" w:after="120"/>
      </w:pPr>
      <w:r>
        <w:rPr>
          <w:rFonts w:ascii="Times New Roman" w:hAnsi="Times New Roman"/>
          <w:color w:val="1A4072"/>
        </w:rPr>
        <w:t>Chapter 3 — Project Planning and Methodology</w:t>
      </w:r>
    </w:p>
    <w:p>
      <w:pPr>
        <w:spacing w:after="120" w:line="400" w:lineRule="exact"/>
      </w:pPr>
      <w:r>
        <w:rPr>
          <w:rFonts w:ascii="Times New Roman" w:hAnsi="Times New Roman"/>
          <w:b w:val="0"/>
          <w:i/>
          <w:sz w:val="20"/>
        </w:rPr>
        <w:t>[Addresses LO2 — P3, P4 | Merit M2 | Distinction D2]</w:t>
      </w:r>
    </w:p>
    <w:p>
      <w:pPr>
        <w:pStyle w:val="Heading2"/>
        <w:spacing w:before="160" w:after="120"/>
      </w:pPr>
      <w:r>
        <w:rPr>
          <w:rFonts w:ascii="Times New Roman" w:hAnsi="Times New Roman"/>
          <w:color w:val="1A4072"/>
        </w:rPr>
        <w:t>3.1  Research Philosophy and Approach</w:t>
      </w:r>
    </w:p>
    <w:p>
      <w:pPr>
        <w:spacing w:after="120" w:line="400" w:lineRule="exact"/>
      </w:pPr>
      <w:r>
        <w:rPr>
          <w:rFonts w:ascii="Times New Roman" w:hAnsi="Times New Roman"/>
          <w:b w:val="0"/>
          <w:i w:val="0"/>
          <w:sz w:val="22"/>
        </w:rPr>
        <w:t>Following Saunders, Lewis and Thornhill's (2023) research onion framework, this project adopts a pragmatist philosophy — one that judges the merit of a research approach by its practical utility rather than adherence to a single ontological tradition. Pragmatism is appropriate here because the central question (which algorithm best predicts risk?) requires empirical quantitative evaluation, while the secondary question (does the platform meet usability standards?) benefits from qualitative design reflection. The research approach is primarily deductive: theoretical propositions from the literature were tested against empirical evidence generated by training and evaluating six models. The project strategy is design science (Hevner et al., 2004).</w:t>
      </w:r>
    </w:p>
    <w:p>
      <w:pPr>
        <w:pStyle w:val="Heading2"/>
        <w:spacing w:before="160" w:after="120"/>
      </w:pPr>
      <w:r>
        <w:rPr>
          <w:rFonts w:ascii="Times New Roman" w:hAnsi="Times New Roman"/>
          <w:color w:val="1A4072"/>
        </w:rPr>
        <w:t>3.2  Methodological Choice</w:t>
      </w:r>
    </w:p>
    <w:p>
      <w:pPr>
        <w:spacing w:after="120" w:line="400" w:lineRule="exact"/>
      </w:pPr>
      <w:r>
        <w:rPr>
          <w:rFonts w:ascii="Times New Roman" w:hAnsi="Times New Roman"/>
          <w:b w:val="0"/>
          <w:i w:val="0"/>
          <w:sz w:val="22"/>
        </w:rPr>
        <w:t>A quantitative, experimental methodology governs model evaluation: algorithms were trained on identical data splits, evaluated on identical held-out test sets, and compared on pre-specified metrics (accuracy and ROC-AUC), eliminating confounding variables. This follows best practices for reproducible ML benchmarking (Bischl et al., 2023). The software development component adopted an Agile/iterative methodology with two-week sprints, preferred over Waterfall because module requirements evolved as the core risk engine stabilised (Schwaber and Sutherland, 2020).</w:t>
      </w:r>
    </w:p>
    <w:p>
      <w:pPr>
        <w:pStyle w:val="Heading2"/>
        <w:spacing w:before="160" w:after="120"/>
      </w:pPr>
      <w:r>
        <w:rPr>
          <w:rFonts w:ascii="Times New Roman" w:hAnsi="Times New Roman"/>
          <w:color w:val="1A4072"/>
        </w:rPr>
        <w:t>3.3  Project Management Methodology</w:t>
      </w:r>
    </w:p>
    <w:p>
      <w:pPr>
        <w:spacing w:after="120" w:line="400" w:lineRule="exact"/>
      </w:pPr>
      <w:r>
        <w:rPr>
          <w:rFonts w:ascii="Times New Roman" w:hAnsi="Times New Roman"/>
          <w:b w:val="0"/>
          <w:i w:val="0"/>
          <w:sz w:val="22"/>
        </w:rPr>
        <w:t>An Agile Hybrid methodology was adopted, combining PRINCE2 structured documentation (project initiation, risk register, milestone tracking) with Scrum iterative delivery (two-week sprints, retrospectives, product backlog). This hybrid is recommended by PMI (2021) for projects combining research and software deliverables.</w:t>
      </w:r>
    </w:p>
    <w:p>
      <w:pPr>
        <w:pStyle w:val="Heading2"/>
        <w:spacing w:before="160" w:after="120"/>
      </w:pPr>
      <w:r>
        <w:rPr>
          <w:rFonts w:ascii="Times New Roman" w:hAnsi="Times New Roman"/>
          <w:color w:val="1A4072"/>
        </w:rPr>
        <w:t>3.4  Project Plan</w:t>
      </w:r>
    </w:p>
    <w:p>
      <w:pPr>
        <w:pStyle w:val="Heading3"/>
        <w:spacing w:before="160" w:after="120"/>
      </w:pPr>
      <w:r>
        <w:rPr>
          <w:rFonts w:ascii="Times New Roman" w:hAnsi="Times New Roman"/>
          <w:color w:val="1A4072"/>
        </w:rPr>
        <w:t>3.4.1  Work Breakdown Structure</w:t>
      </w:r>
    </w:p>
    <w:p>
      <w:pPr>
        <w:spacing w:after="120" w:line="400" w:lineRule="exact"/>
      </w:pPr>
      <w:r>
        <w:rPr>
          <w:rFonts w:ascii="Times New Roman" w:hAnsi="Times New Roman"/>
          <w:b w:val="0"/>
          <w:i w:val="0"/>
          <w:sz w:val="22"/>
        </w:rPr>
        <w:t>The project was decomposed into five Level-1 deliverable categories: (1) Research (literature search, review, theoretical framework); (2) Data &amp; Model (dataset design, generation, feature engineering, model training ×6, hyperparameter tuning, evaluation); (3) Application (Flask backend, database, frontend, security, PDF, chatbot, batch, comparison, quote, i18n); (4) Testing &amp; QA (functional, security, performance testing); and (5) Documentation (report, presentation, user manual, README). This structure ensured that all BTEC assessment criteria were mapped to specific deliverables before implementation began.</w:t>
      </w:r>
    </w:p>
    <w:p>
      <w:pPr>
        <w:pStyle w:val="Heading3"/>
        <w:spacing w:before="160" w:after="120"/>
      </w:pPr>
      <w:r>
        <w:rPr>
          <w:rFonts w:ascii="Times New Roman" w:hAnsi="Times New Roman"/>
          <w:color w:val="1A4072"/>
        </w:rPr>
        <w:t>3.4.2  Gantt Chart and Timeline</w:t>
      </w:r>
    </w:p>
    <w:p>
      <w:pPr>
        <w:spacing w:before="160"/>
        <w:jc w:val="center"/>
      </w:pPr>
      <w:r>
        <w:drawing>
          <wp:inline xmlns:a="http://schemas.openxmlformats.org/drawingml/2006/main" xmlns:pic="http://schemas.openxmlformats.org/drawingml/2006/picture">
            <wp:extent cx="5040000" cy="2539592"/>
            <wp:docPr id="3" name="Picture 3"/>
            <wp:cNvGraphicFramePr>
              <a:graphicFrameLocks noChangeAspect="1"/>
            </wp:cNvGraphicFramePr>
            <a:graphic>
              <a:graphicData uri="http://schemas.openxmlformats.org/drawingml/2006/picture">
                <pic:pic>
                  <pic:nvPicPr>
                    <pic:cNvPr id="0" name="fig3_2_gantt.png"/>
                    <pic:cNvPicPr/>
                  </pic:nvPicPr>
                  <pic:blipFill>
                    <a:blip r:embed="rId11"/>
                    <a:stretch>
                      <a:fillRect/>
                    </a:stretch>
                  </pic:blipFill>
                  <pic:spPr>
                    <a:xfrm>
                      <a:off x="0" y="0"/>
                      <a:ext cx="5040000" cy="2539592"/>
                    </a:xfrm>
                    <a:prstGeom prst="rect"/>
                  </pic:spPr>
                </pic:pic>
              </a:graphicData>
            </a:graphic>
          </wp:inline>
        </w:drawing>
      </w:r>
    </w:p>
    <w:p>
      <w:pPr>
        <w:spacing w:after="200"/>
        <w:jc w:val="center"/>
      </w:pPr>
      <w:r>
        <w:rPr>
          <w:rFonts w:ascii="Times New Roman" w:hAnsi="Times New Roman"/>
          <w:b w:val="0"/>
          <w:i/>
          <w:color w:val="404040"/>
          <w:sz w:val="20"/>
        </w:rPr>
        <w:t>Figure 3.2: Project Gantt Chart — 14 sprints across 6 months (January–June 2026). Milestones M4–M7 shown on critical path.</w:t>
      </w:r>
    </w:p>
    <w:p>
      <w:pPr>
        <w:pStyle w:val="Heading3"/>
        <w:spacing w:before="160" w:after="120"/>
      </w:pPr>
      <w:r>
        <w:rPr>
          <w:rFonts w:ascii="Times New Roman" w:hAnsi="Times New Roman"/>
          <w:color w:val="1A4072"/>
        </w:rPr>
        <w:t>3.4.3  Milestones and Critical Path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1A4072" w:color="FFFFFF" w:val="clear"/>
          </w:tcPr>
          <w:p>
            <w:r>
              <w:rPr>
                <w:rFonts w:ascii="Times New Roman" w:hAnsi="Times New Roman"/>
                <w:b/>
                <w:color w:val="FFFFFF"/>
                <w:sz w:val="20"/>
              </w:rPr>
              <w:t>#</w:t>
            </w:r>
          </w:p>
        </w:tc>
        <w:tc>
          <w:tcPr>
            <w:tcW w:type="dxa" w:w="3969"/>
            <w:shd w:fill="1A4072" w:color="FFFFFF" w:val="clear"/>
          </w:tcPr>
          <w:p>
            <w:r>
              <w:rPr>
                <w:rFonts w:ascii="Times New Roman" w:hAnsi="Times New Roman"/>
                <w:b/>
                <w:color w:val="FFFFFF"/>
                <w:sz w:val="20"/>
              </w:rPr>
              <w:t>Milestone</w:t>
            </w:r>
          </w:p>
        </w:tc>
        <w:tc>
          <w:tcPr>
            <w:tcW w:type="dxa" w:w="2268"/>
            <w:shd w:fill="1A4072" w:color="FFFFFF" w:val="clear"/>
          </w:tcPr>
          <w:p>
            <w:r>
              <w:rPr>
                <w:rFonts w:ascii="Times New Roman" w:hAnsi="Times New Roman"/>
                <w:b/>
                <w:color w:val="FFFFFF"/>
                <w:sz w:val="20"/>
              </w:rPr>
              <w:t>Target Date</w:t>
            </w:r>
          </w:p>
        </w:tc>
        <w:tc>
          <w:tcPr>
            <w:tcW w:type="dxa" w:w="1984"/>
            <w:shd w:fill="1A4072" w:color="FFFFFF" w:val="clear"/>
          </w:tcPr>
          <w:p>
            <w:r>
              <w:rPr>
                <w:rFonts w:ascii="Times New Roman" w:hAnsi="Times New Roman"/>
                <w:b/>
                <w:color w:val="FFFFFF"/>
                <w:sz w:val="20"/>
              </w:rPr>
              <w:t>Status</w:t>
            </w:r>
          </w:p>
        </w:tc>
      </w:tr>
      <w:tr>
        <w:tc>
          <w:tcPr>
            <w:tcW w:type="dxa" w:w="850"/>
          </w:tcPr>
          <w:p>
            <w:r>
              <w:rPr>
                <w:rFonts w:ascii="Times New Roman" w:hAnsi="Times New Roman"/>
                <w:sz w:val="20"/>
              </w:rPr>
              <w:t>M1</w:t>
            </w:r>
          </w:p>
        </w:tc>
        <w:tc>
          <w:tcPr>
            <w:tcW w:type="dxa" w:w="3969"/>
          </w:tcPr>
          <w:p>
            <w:r>
              <w:rPr>
                <w:rFonts w:ascii="Times New Roman" w:hAnsi="Times New Roman"/>
                <w:sz w:val="20"/>
              </w:rPr>
              <w:t>Project proposal approved</w:t>
            </w:r>
          </w:p>
        </w:tc>
        <w:tc>
          <w:tcPr>
            <w:tcW w:type="dxa" w:w="2268"/>
          </w:tcPr>
          <w:p>
            <w:r>
              <w:rPr>
                <w:rFonts w:ascii="Times New Roman" w:hAnsi="Times New Roman"/>
                <w:sz w:val="20"/>
              </w:rPr>
              <w:t>24 Jan 2026</w:t>
            </w:r>
          </w:p>
        </w:tc>
        <w:tc>
          <w:tcPr>
            <w:tcW w:type="dxa" w:w="1984"/>
          </w:tcPr>
          <w:p>
            <w:r>
              <w:rPr>
                <w:rFonts w:ascii="Times New Roman" w:hAnsi="Times New Roman"/>
                <w:sz w:val="20"/>
              </w:rPr>
              <w:t>Completed</w:t>
            </w:r>
          </w:p>
        </w:tc>
      </w:tr>
      <w:tr>
        <w:tc>
          <w:tcPr>
            <w:tcW w:type="dxa" w:w="850"/>
          </w:tcPr>
          <w:p>
            <w:r>
              <w:rPr>
                <w:rFonts w:ascii="Times New Roman" w:hAnsi="Times New Roman"/>
                <w:sz w:val="20"/>
              </w:rPr>
              <w:t>M2</w:t>
            </w:r>
          </w:p>
        </w:tc>
        <w:tc>
          <w:tcPr>
            <w:tcW w:type="dxa" w:w="3969"/>
          </w:tcPr>
          <w:p>
            <w:r>
              <w:rPr>
                <w:rFonts w:ascii="Times New Roman" w:hAnsi="Times New Roman"/>
                <w:sz w:val="20"/>
              </w:rPr>
              <w:t>Literature review completed</w:t>
            </w:r>
          </w:p>
        </w:tc>
        <w:tc>
          <w:tcPr>
            <w:tcW w:type="dxa" w:w="2268"/>
          </w:tcPr>
          <w:p>
            <w:r>
              <w:rPr>
                <w:rFonts w:ascii="Times New Roman" w:hAnsi="Times New Roman"/>
                <w:sz w:val="20"/>
              </w:rPr>
              <w:t>21 Feb 2026</w:t>
            </w:r>
          </w:p>
        </w:tc>
        <w:tc>
          <w:tcPr>
            <w:tcW w:type="dxa" w:w="1984"/>
          </w:tcPr>
          <w:p>
            <w:r>
              <w:rPr>
                <w:rFonts w:ascii="Times New Roman" w:hAnsi="Times New Roman"/>
                <w:sz w:val="20"/>
              </w:rPr>
              <w:t>Completed</w:t>
            </w:r>
          </w:p>
        </w:tc>
      </w:tr>
      <w:tr>
        <w:tc>
          <w:tcPr>
            <w:tcW w:type="dxa" w:w="850"/>
          </w:tcPr>
          <w:p>
            <w:r>
              <w:rPr>
                <w:rFonts w:ascii="Times New Roman" w:hAnsi="Times New Roman"/>
                <w:sz w:val="20"/>
              </w:rPr>
              <w:t>M3</w:t>
            </w:r>
          </w:p>
        </w:tc>
        <w:tc>
          <w:tcPr>
            <w:tcW w:type="dxa" w:w="3969"/>
          </w:tcPr>
          <w:p>
            <w:r>
              <w:rPr>
                <w:rFonts w:ascii="Times New Roman" w:hAnsi="Times New Roman"/>
                <w:sz w:val="20"/>
              </w:rPr>
              <w:t>Ethics documentation submitted</w:t>
            </w:r>
          </w:p>
        </w:tc>
        <w:tc>
          <w:tcPr>
            <w:tcW w:type="dxa" w:w="2268"/>
          </w:tcPr>
          <w:p>
            <w:r>
              <w:rPr>
                <w:rFonts w:ascii="Times New Roman" w:hAnsi="Times New Roman"/>
                <w:sz w:val="20"/>
              </w:rPr>
              <w:t>28 Feb 2026</w:t>
            </w:r>
          </w:p>
        </w:tc>
        <w:tc>
          <w:tcPr>
            <w:tcW w:type="dxa" w:w="1984"/>
          </w:tcPr>
          <w:p>
            <w:r>
              <w:rPr>
                <w:rFonts w:ascii="Times New Roman" w:hAnsi="Times New Roman"/>
                <w:sz w:val="20"/>
              </w:rPr>
              <w:t>Completed</w:t>
            </w:r>
          </w:p>
        </w:tc>
      </w:tr>
      <w:tr>
        <w:tc>
          <w:tcPr>
            <w:tcW w:type="dxa" w:w="850"/>
          </w:tcPr>
          <w:p>
            <w:r>
              <w:rPr>
                <w:rFonts w:ascii="Times New Roman" w:hAnsi="Times New Roman"/>
                <w:sz w:val="20"/>
              </w:rPr>
              <w:t>M4</w:t>
            </w:r>
          </w:p>
        </w:tc>
        <w:tc>
          <w:tcPr>
            <w:tcW w:type="dxa" w:w="3969"/>
          </w:tcPr>
          <w:p>
            <w:r>
              <w:rPr>
                <w:rFonts w:ascii="Times New Roman" w:hAnsi="Times New Roman"/>
                <w:sz w:val="20"/>
              </w:rPr>
              <w:t>Synthetic dataset and features finalised</w:t>
            </w:r>
          </w:p>
        </w:tc>
        <w:tc>
          <w:tcPr>
            <w:tcW w:type="dxa" w:w="2268"/>
          </w:tcPr>
          <w:p>
            <w:r>
              <w:rPr>
                <w:rFonts w:ascii="Times New Roman" w:hAnsi="Times New Roman"/>
                <w:sz w:val="20"/>
              </w:rPr>
              <w:t>14 Mar 2026</w:t>
            </w:r>
          </w:p>
        </w:tc>
        <w:tc>
          <w:tcPr>
            <w:tcW w:type="dxa" w:w="1984"/>
          </w:tcPr>
          <w:p>
            <w:r>
              <w:rPr>
                <w:rFonts w:ascii="Times New Roman" w:hAnsi="Times New Roman"/>
                <w:sz w:val="20"/>
              </w:rPr>
              <w:t>Completed</w:t>
            </w:r>
          </w:p>
        </w:tc>
      </w:tr>
      <w:tr>
        <w:tc>
          <w:tcPr>
            <w:tcW w:type="dxa" w:w="850"/>
          </w:tcPr>
          <w:p>
            <w:r>
              <w:rPr>
                <w:rFonts w:ascii="Times New Roman" w:hAnsi="Times New Roman"/>
                <w:sz w:val="20"/>
              </w:rPr>
              <w:t>M5</w:t>
            </w:r>
          </w:p>
        </w:tc>
        <w:tc>
          <w:tcPr>
            <w:tcW w:type="dxa" w:w="3969"/>
          </w:tcPr>
          <w:p>
            <w:r>
              <w:rPr>
                <w:rFonts w:ascii="Times New Roman" w:hAnsi="Times New Roman"/>
                <w:sz w:val="20"/>
              </w:rPr>
              <w:t>XGBoost selected (85.22% accuracy)</w:t>
            </w:r>
          </w:p>
        </w:tc>
        <w:tc>
          <w:tcPr>
            <w:tcW w:type="dxa" w:w="2268"/>
          </w:tcPr>
          <w:p>
            <w:r>
              <w:rPr>
                <w:rFonts w:ascii="Times New Roman" w:hAnsi="Times New Roman"/>
                <w:sz w:val="20"/>
              </w:rPr>
              <w:t>4 Apr 2026</w:t>
            </w:r>
          </w:p>
        </w:tc>
        <w:tc>
          <w:tcPr>
            <w:tcW w:type="dxa" w:w="1984"/>
          </w:tcPr>
          <w:p>
            <w:r>
              <w:rPr>
                <w:rFonts w:ascii="Times New Roman" w:hAnsi="Times New Roman"/>
                <w:sz w:val="20"/>
              </w:rPr>
              <w:t>Completed</w:t>
            </w:r>
          </w:p>
        </w:tc>
      </w:tr>
      <w:tr>
        <w:tc>
          <w:tcPr>
            <w:tcW w:type="dxa" w:w="850"/>
          </w:tcPr>
          <w:p>
            <w:r>
              <w:rPr>
                <w:rFonts w:ascii="Times New Roman" w:hAnsi="Times New Roman"/>
                <w:sz w:val="20"/>
              </w:rPr>
              <w:t>M6</w:t>
            </w:r>
          </w:p>
        </w:tc>
        <w:tc>
          <w:tcPr>
            <w:tcW w:type="dxa" w:w="3969"/>
          </w:tcPr>
          <w:p>
            <w:r>
              <w:rPr>
                <w:rFonts w:ascii="Times New Roman" w:hAnsi="Times New Roman"/>
                <w:sz w:val="20"/>
              </w:rPr>
              <w:t>Full application deployed locally</w:t>
            </w:r>
          </w:p>
        </w:tc>
        <w:tc>
          <w:tcPr>
            <w:tcW w:type="dxa" w:w="2268"/>
          </w:tcPr>
          <w:p>
            <w:r>
              <w:rPr>
                <w:rFonts w:ascii="Times New Roman" w:hAnsi="Times New Roman"/>
                <w:sz w:val="20"/>
              </w:rPr>
              <w:t>23 May 2026</w:t>
            </w:r>
          </w:p>
        </w:tc>
        <w:tc>
          <w:tcPr>
            <w:tcW w:type="dxa" w:w="1984"/>
          </w:tcPr>
          <w:p>
            <w:r>
              <w:rPr>
                <w:rFonts w:ascii="Times New Roman" w:hAnsi="Times New Roman"/>
                <w:sz w:val="20"/>
              </w:rPr>
              <w:t>Completed</w:t>
            </w:r>
          </w:p>
        </w:tc>
      </w:tr>
      <w:tr>
        <w:tc>
          <w:tcPr>
            <w:tcW w:type="dxa" w:w="850"/>
          </w:tcPr>
          <w:p>
            <w:r>
              <w:rPr>
                <w:rFonts w:ascii="Times New Roman" w:hAnsi="Times New Roman"/>
                <w:sz w:val="20"/>
              </w:rPr>
              <w:t>M7</w:t>
            </w:r>
          </w:p>
        </w:tc>
        <w:tc>
          <w:tcPr>
            <w:tcW w:type="dxa" w:w="3969"/>
          </w:tcPr>
          <w:p>
            <w:r>
              <w:rPr>
                <w:rFonts w:ascii="Times New Roman" w:hAnsi="Times New Roman"/>
                <w:sz w:val="20"/>
              </w:rPr>
              <w:t>Final report and ZIP submission</w:t>
            </w:r>
          </w:p>
        </w:tc>
        <w:tc>
          <w:tcPr>
            <w:tcW w:type="dxa" w:w="2268"/>
          </w:tcPr>
          <w:p>
            <w:r>
              <w:rPr>
                <w:rFonts w:ascii="Times New Roman" w:hAnsi="Times New Roman"/>
                <w:sz w:val="20"/>
              </w:rPr>
              <w:t>16 Jun 2026</w:t>
            </w:r>
          </w:p>
        </w:tc>
        <w:tc>
          <w:tcPr>
            <w:tcW w:type="dxa" w:w="1984"/>
          </w:tcPr>
          <w:p>
            <w:r>
              <w:rPr>
                <w:rFonts w:ascii="Times New Roman" w:hAnsi="Times New Roman"/>
                <w:sz w:val="20"/>
              </w:rPr>
              <w:t>Completed</w:t>
            </w:r>
          </w:p>
        </w:tc>
      </w:tr>
    </w:tbl>
    <w:p/>
    <w:p>
      <w:pPr>
        <w:spacing w:after="120" w:line="400" w:lineRule="exact"/>
      </w:pPr>
      <w:r>
        <w:rPr>
          <w:rFonts w:ascii="Times New Roman" w:hAnsi="Times New Roman"/>
          <w:b w:val="0"/>
          <w:i/>
          <w:sz w:val="20"/>
        </w:rPr>
        <w:t>Table 3.2: Project milestones and critical path status.</w:t>
      </w:r>
    </w:p>
    <w:p>
      <w:pPr>
        <w:pStyle w:val="Heading2"/>
        <w:spacing w:before="160" w:after="120"/>
      </w:pPr>
      <w:r>
        <w:rPr>
          <w:rFonts w:ascii="Times New Roman" w:hAnsi="Times New Roman"/>
          <w:color w:val="1A4072"/>
        </w:rPr>
        <w:t>3.5  Resource Planning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A4072" w:color="FFFFFF" w:val="clear"/>
          </w:tcPr>
          <w:p>
            <w:r>
              <w:rPr>
                <w:rFonts w:ascii="Times New Roman" w:hAnsi="Times New Roman"/>
                <w:b/>
                <w:color w:val="FFFFFF"/>
                <w:sz w:val="20"/>
              </w:rPr>
              <w:t>Resource Type</w:t>
            </w:r>
          </w:p>
        </w:tc>
        <w:tc>
          <w:tcPr>
            <w:tcW w:type="dxa" w:w="5669"/>
            <w:shd w:fill="1A4072" w:color="FFFFFF" w:val="clear"/>
          </w:tcPr>
          <w:p>
            <w:r>
              <w:rPr>
                <w:rFonts w:ascii="Times New Roman" w:hAnsi="Times New Roman"/>
                <w:b/>
                <w:color w:val="FFFFFF"/>
                <w:sz w:val="20"/>
              </w:rPr>
              <w:t>Description</w:t>
            </w:r>
          </w:p>
        </w:tc>
        <w:tc>
          <w:tcPr>
            <w:tcW w:type="dxa" w:w="1701"/>
            <w:shd w:fill="1A4072" w:color="FFFFFF" w:val="clear"/>
          </w:tcPr>
          <w:p>
            <w:r>
              <w:rPr>
                <w:rFonts w:ascii="Times New Roman" w:hAnsi="Times New Roman"/>
                <w:b/>
                <w:color w:val="FFFFFF"/>
                <w:sz w:val="20"/>
              </w:rPr>
              <w:t>Status</w:t>
            </w:r>
          </w:p>
        </w:tc>
      </w:tr>
      <w:tr>
        <w:tc>
          <w:tcPr>
            <w:tcW w:type="dxa" w:w="2268"/>
          </w:tcPr>
          <w:p>
            <w:r>
              <w:rPr>
                <w:rFonts w:ascii="Times New Roman" w:hAnsi="Times New Roman"/>
                <w:sz w:val="20"/>
              </w:rPr>
              <w:t>Compute</w:t>
            </w:r>
          </w:p>
        </w:tc>
        <w:tc>
          <w:tcPr>
            <w:tcW w:type="dxa" w:w="5669"/>
          </w:tcPr>
          <w:p>
            <w:r>
              <w:rPr>
                <w:rFonts w:ascii="Times New Roman" w:hAnsi="Times New Roman"/>
                <w:sz w:val="20"/>
              </w:rPr>
              <w:t>Intel Core i5 laptop, 16 GB RAM, Windows 11</w:t>
            </w:r>
          </w:p>
        </w:tc>
        <w:tc>
          <w:tcPr>
            <w:tcW w:type="dxa" w:w="1701"/>
          </w:tcPr>
          <w:p>
            <w:r>
              <w:rPr>
                <w:rFonts w:ascii="Times New Roman" w:hAnsi="Times New Roman"/>
                <w:sz w:val="20"/>
              </w:rPr>
              <w:t>Available</w:t>
            </w:r>
          </w:p>
        </w:tc>
      </w:tr>
      <w:tr>
        <w:tc>
          <w:tcPr>
            <w:tcW w:type="dxa" w:w="2268"/>
          </w:tcPr>
          <w:p>
            <w:r>
              <w:rPr>
                <w:rFonts w:ascii="Times New Roman" w:hAnsi="Times New Roman"/>
                <w:sz w:val="20"/>
              </w:rPr>
              <w:t>Software</w:t>
            </w:r>
          </w:p>
        </w:tc>
        <w:tc>
          <w:tcPr>
            <w:tcW w:type="dxa" w:w="5669"/>
          </w:tcPr>
          <w:p>
            <w:r>
              <w:rPr>
                <w:rFonts w:ascii="Times New Roman" w:hAnsi="Times New Roman"/>
                <w:sz w:val="20"/>
              </w:rPr>
              <w:t>Python 3.13, VS Code, Git, GitHub, MS Word</w:t>
            </w:r>
          </w:p>
        </w:tc>
        <w:tc>
          <w:tcPr>
            <w:tcW w:type="dxa" w:w="1701"/>
          </w:tcPr>
          <w:p>
            <w:r>
              <w:rPr>
                <w:rFonts w:ascii="Times New Roman" w:hAnsi="Times New Roman"/>
                <w:sz w:val="20"/>
              </w:rPr>
              <w:t>Free/Available</w:t>
            </w:r>
          </w:p>
        </w:tc>
      </w:tr>
      <w:tr>
        <w:tc>
          <w:tcPr>
            <w:tcW w:type="dxa" w:w="2268"/>
          </w:tcPr>
          <w:p>
            <w:r>
              <w:rPr>
                <w:rFonts w:ascii="Times New Roman" w:hAnsi="Times New Roman"/>
                <w:sz w:val="20"/>
              </w:rPr>
              <w:t>ML Libraries</w:t>
            </w:r>
          </w:p>
        </w:tc>
        <w:tc>
          <w:tcPr>
            <w:tcW w:type="dxa" w:w="5669"/>
          </w:tcPr>
          <w:p>
            <w:r>
              <w:rPr>
                <w:rFonts w:ascii="Times New Roman" w:hAnsi="Times New Roman"/>
                <w:sz w:val="20"/>
              </w:rPr>
              <w:t>Flask 3.0, scikit-learn 1.3, XGBoost 3.2 (all open-source)</w:t>
            </w:r>
          </w:p>
        </w:tc>
        <w:tc>
          <w:tcPr>
            <w:tcW w:type="dxa" w:w="1701"/>
          </w:tcPr>
          <w:p>
            <w:r>
              <w:rPr>
                <w:rFonts w:ascii="Times New Roman" w:hAnsi="Times New Roman"/>
                <w:sz w:val="20"/>
              </w:rPr>
              <w:t>Installed</w:t>
            </w:r>
          </w:p>
        </w:tc>
      </w:tr>
      <w:tr>
        <w:tc>
          <w:tcPr>
            <w:tcW w:type="dxa" w:w="2268"/>
          </w:tcPr>
          <w:p>
            <w:r>
              <w:rPr>
                <w:rFonts w:ascii="Times New Roman" w:hAnsi="Times New Roman"/>
                <w:sz w:val="20"/>
              </w:rPr>
              <w:t>AI API</w:t>
            </w:r>
          </w:p>
        </w:tc>
        <w:tc>
          <w:tcPr>
            <w:tcW w:type="dxa" w:w="5669"/>
          </w:tcPr>
          <w:p>
            <w:r>
              <w:rPr>
                <w:rFonts w:ascii="Times New Roman" w:hAnsi="Times New Roman"/>
                <w:sz w:val="20"/>
              </w:rPr>
              <w:t>Anthropic Claude API for chatbot (claude-sonnet-4-6)</w:t>
            </w:r>
          </w:p>
        </w:tc>
        <w:tc>
          <w:tcPr>
            <w:tcW w:type="dxa" w:w="1701"/>
          </w:tcPr>
          <w:p>
            <w:r>
              <w:rPr>
                <w:rFonts w:ascii="Times New Roman" w:hAnsi="Times New Roman"/>
                <w:sz w:val="20"/>
              </w:rPr>
              <w:t>Available</w:t>
            </w:r>
          </w:p>
        </w:tc>
      </w:tr>
      <w:tr>
        <w:tc>
          <w:tcPr>
            <w:tcW w:type="dxa" w:w="2268"/>
          </w:tcPr>
          <w:p>
            <w:r>
              <w:rPr>
                <w:rFonts w:ascii="Times New Roman" w:hAnsi="Times New Roman"/>
                <w:sz w:val="20"/>
              </w:rPr>
              <w:t>Data</w:t>
            </w:r>
          </w:p>
        </w:tc>
        <w:tc>
          <w:tcPr>
            <w:tcW w:type="dxa" w:w="5669"/>
          </w:tcPr>
          <w:p>
            <w:r>
              <w:rPr>
                <w:rFonts w:ascii="Times New Roman" w:hAnsi="Times New Roman"/>
                <w:sz w:val="20"/>
              </w:rPr>
              <w:t>Algorithmically generated synthetic dataset</w:t>
            </w:r>
          </w:p>
        </w:tc>
        <w:tc>
          <w:tcPr>
            <w:tcW w:type="dxa" w:w="1701"/>
          </w:tcPr>
          <w:p>
            <w:r>
              <w:rPr>
                <w:rFonts w:ascii="Times New Roman" w:hAnsi="Times New Roman"/>
                <w:sz w:val="20"/>
              </w:rPr>
              <w:t>Generated</w:t>
            </w:r>
          </w:p>
        </w:tc>
      </w:tr>
      <w:tr>
        <w:tc>
          <w:tcPr>
            <w:tcW w:type="dxa" w:w="2268"/>
          </w:tcPr>
          <w:p>
            <w:r>
              <w:rPr>
                <w:rFonts w:ascii="Times New Roman" w:hAnsi="Times New Roman"/>
                <w:sz w:val="20"/>
              </w:rPr>
              <w:t>Financial</w:t>
            </w:r>
          </w:p>
        </w:tc>
        <w:tc>
          <w:tcPr>
            <w:tcW w:type="dxa" w:w="5669"/>
          </w:tcPr>
          <w:p>
            <w:r>
              <w:rPr>
                <w:rFonts w:ascii="Times New Roman" w:hAnsi="Times New Roman"/>
                <w:sz w:val="20"/>
              </w:rPr>
              <w:t>Total cost: $0 (open-source + free-tier APIs)</w:t>
            </w:r>
          </w:p>
        </w:tc>
        <w:tc>
          <w:tcPr>
            <w:tcW w:type="dxa" w:w="1701"/>
          </w:tcPr>
          <w:p>
            <w:r>
              <w:rPr>
                <w:rFonts w:ascii="Times New Roman" w:hAnsi="Times New Roman"/>
                <w:sz w:val="20"/>
              </w:rPr>
              <w:t>Confirmed</w:t>
            </w:r>
          </w:p>
        </w:tc>
      </w:tr>
    </w:tbl>
    <w:p/>
    <w:p>
      <w:pPr>
        <w:spacing w:after="120" w:line="400" w:lineRule="exact"/>
      </w:pPr>
      <w:r>
        <w:rPr>
          <w:rFonts w:ascii="Times New Roman" w:hAnsi="Times New Roman"/>
          <w:b w:val="0"/>
          <w:i/>
          <w:sz w:val="20"/>
        </w:rPr>
        <w:t>Table 3.3: Resource planning summary.</w:t>
      </w:r>
    </w:p>
    <w:p>
      <w:pPr>
        <w:pStyle w:val="Heading2"/>
        <w:spacing w:before="160" w:after="120"/>
      </w:pPr>
      <w:r>
        <w:rPr>
          <w:rFonts w:ascii="Times New Roman" w:hAnsi="Times New Roman"/>
          <w:color w:val="1A4072"/>
        </w:rPr>
        <w:t>3.6  Risk Register</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567"/>
            <w:shd w:fill="1A4072" w:color="FFFFFF" w:val="clear"/>
          </w:tcPr>
          <w:p>
            <w:r>
              <w:rPr>
                <w:rFonts w:ascii="Times New Roman" w:hAnsi="Times New Roman"/>
                <w:b/>
                <w:color w:val="FFFFFF"/>
                <w:sz w:val="20"/>
              </w:rPr>
              <w:t>#</w:t>
            </w:r>
          </w:p>
        </w:tc>
        <w:tc>
          <w:tcPr>
            <w:tcW w:type="dxa" w:w="2835"/>
            <w:shd w:fill="1A4072" w:color="FFFFFF" w:val="clear"/>
          </w:tcPr>
          <w:p>
            <w:r>
              <w:rPr>
                <w:rFonts w:ascii="Times New Roman" w:hAnsi="Times New Roman"/>
                <w:b/>
                <w:color w:val="FFFFFF"/>
                <w:sz w:val="20"/>
              </w:rPr>
              <w:t>Risk</w:t>
            </w:r>
          </w:p>
        </w:tc>
        <w:tc>
          <w:tcPr>
            <w:tcW w:type="dxa" w:w="567"/>
            <w:shd w:fill="1A4072" w:color="FFFFFF" w:val="clear"/>
          </w:tcPr>
          <w:p>
            <w:r>
              <w:rPr>
                <w:rFonts w:ascii="Times New Roman" w:hAnsi="Times New Roman"/>
                <w:b/>
                <w:color w:val="FFFFFF"/>
                <w:sz w:val="20"/>
              </w:rPr>
              <w:t>L</w:t>
            </w:r>
          </w:p>
        </w:tc>
        <w:tc>
          <w:tcPr>
            <w:tcW w:type="dxa" w:w="567"/>
            <w:shd w:fill="1A4072" w:color="FFFFFF" w:val="clear"/>
          </w:tcPr>
          <w:p>
            <w:r>
              <w:rPr>
                <w:rFonts w:ascii="Times New Roman" w:hAnsi="Times New Roman"/>
                <w:b/>
                <w:color w:val="FFFFFF"/>
                <w:sz w:val="20"/>
              </w:rPr>
              <w:t>I</w:t>
            </w:r>
          </w:p>
        </w:tc>
        <w:tc>
          <w:tcPr>
            <w:tcW w:type="dxa" w:w="850"/>
            <w:shd w:fill="1A4072" w:color="FFFFFF" w:val="clear"/>
          </w:tcPr>
          <w:p>
            <w:r>
              <w:rPr>
                <w:rFonts w:ascii="Times New Roman" w:hAnsi="Times New Roman"/>
                <w:b/>
                <w:color w:val="FFFFFF"/>
                <w:sz w:val="20"/>
              </w:rPr>
              <w:t>Score</w:t>
            </w:r>
          </w:p>
        </w:tc>
        <w:tc>
          <w:tcPr>
            <w:tcW w:type="dxa" w:w="2835"/>
            <w:shd w:fill="1A4072" w:color="FFFFFF" w:val="clear"/>
          </w:tcPr>
          <w:p>
            <w:r>
              <w:rPr>
                <w:rFonts w:ascii="Times New Roman" w:hAnsi="Times New Roman"/>
                <w:b/>
                <w:color w:val="FFFFFF"/>
                <w:sz w:val="20"/>
              </w:rPr>
              <w:t>Mitigation</w:t>
            </w:r>
          </w:p>
        </w:tc>
        <w:tc>
          <w:tcPr>
            <w:tcW w:type="dxa" w:w="850"/>
            <w:shd w:fill="1A4072" w:color="FFFFFF" w:val="clear"/>
          </w:tcPr>
          <w:p>
            <w:r>
              <w:rPr>
                <w:rFonts w:ascii="Times New Roman" w:hAnsi="Times New Roman"/>
                <w:b/>
                <w:color w:val="FFFFFF"/>
                <w:sz w:val="20"/>
              </w:rPr>
              <w:t>RAG</w:t>
            </w:r>
          </w:p>
        </w:tc>
      </w:tr>
      <w:tr>
        <w:tc>
          <w:tcPr>
            <w:tcW w:type="dxa" w:w="567"/>
          </w:tcPr>
          <w:p>
            <w:r>
              <w:rPr>
                <w:rFonts w:ascii="Times New Roman" w:hAnsi="Times New Roman"/>
                <w:sz w:val="20"/>
              </w:rPr>
              <w:t>R1</w:t>
            </w:r>
          </w:p>
        </w:tc>
        <w:tc>
          <w:tcPr>
            <w:tcW w:type="dxa" w:w="2835"/>
          </w:tcPr>
          <w:p>
            <w:r>
              <w:rPr>
                <w:rFonts w:ascii="Times New Roman" w:hAnsi="Times New Roman"/>
                <w:sz w:val="20"/>
              </w:rPr>
              <w:t>Model accuracy below 80%</w:t>
            </w:r>
          </w:p>
        </w:tc>
        <w:tc>
          <w:tcPr>
            <w:tcW w:type="dxa" w:w="567"/>
          </w:tcPr>
          <w:p>
            <w:r>
              <w:rPr>
                <w:rFonts w:ascii="Times New Roman" w:hAnsi="Times New Roman"/>
                <w:sz w:val="20"/>
              </w:rPr>
              <w:t>3</w:t>
            </w:r>
          </w:p>
        </w:tc>
        <w:tc>
          <w:tcPr>
            <w:tcW w:type="dxa" w:w="567"/>
          </w:tcPr>
          <w:p>
            <w:r>
              <w:rPr>
                <w:rFonts w:ascii="Times New Roman" w:hAnsi="Times New Roman"/>
                <w:sz w:val="20"/>
              </w:rPr>
              <w:t>5</w:t>
            </w:r>
          </w:p>
        </w:tc>
        <w:tc>
          <w:tcPr>
            <w:tcW w:type="dxa" w:w="850"/>
          </w:tcPr>
          <w:p>
            <w:r>
              <w:rPr>
                <w:rFonts w:ascii="Times New Roman" w:hAnsi="Times New Roman"/>
                <w:sz w:val="20"/>
              </w:rPr>
              <w:t>15</w:t>
            </w:r>
          </w:p>
        </w:tc>
        <w:tc>
          <w:tcPr>
            <w:tcW w:type="dxa" w:w="2835"/>
          </w:tcPr>
          <w:p>
            <w:r>
              <w:rPr>
                <w:rFonts w:ascii="Times New Roman" w:hAnsi="Times New Roman"/>
                <w:sz w:val="20"/>
              </w:rPr>
              <w:t>GridSearchCV tuning; ensemble fallback</w:t>
            </w:r>
          </w:p>
        </w:tc>
        <w:tc>
          <w:tcPr>
            <w:tcW w:type="dxa" w:w="850"/>
          </w:tcPr>
          <w:p>
            <w:r>
              <w:rPr>
                <w:rFonts w:ascii="Times New Roman" w:hAnsi="Times New Roman"/>
                <w:sz w:val="20"/>
              </w:rPr>
              <w:t>Amber</w:t>
            </w:r>
          </w:p>
        </w:tc>
      </w:tr>
      <w:tr>
        <w:tc>
          <w:tcPr>
            <w:tcW w:type="dxa" w:w="567"/>
          </w:tcPr>
          <w:p>
            <w:r>
              <w:rPr>
                <w:rFonts w:ascii="Times New Roman" w:hAnsi="Times New Roman"/>
                <w:sz w:val="20"/>
              </w:rPr>
              <w:t>R2</w:t>
            </w:r>
          </w:p>
        </w:tc>
        <w:tc>
          <w:tcPr>
            <w:tcW w:type="dxa" w:w="2835"/>
          </w:tcPr>
          <w:p>
            <w:r>
              <w:rPr>
                <w:rFonts w:ascii="Times New Roman" w:hAnsi="Times New Roman"/>
                <w:sz w:val="20"/>
              </w:rPr>
              <w:t>Flask security vulnerability</w:t>
            </w:r>
          </w:p>
        </w:tc>
        <w:tc>
          <w:tcPr>
            <w:tcW w:type="dxa" w:w="567"/>
          </w:tcPr>
          <w:p>
            <w:r>
              <w:rPr>
                <w:rFonts w:ascii="Times New Roman" w:hAnsi="Times New Roman"/>
                <w:sz w:val="20"/>
              </w:rPr>
              <w:t>2</w:t>
            </w:r>
          </w:p>
        </w:tc>
        <w:tc>
          <w:tcPr>
            <w:tcW w:type="dxa" w:w="567"/>
          </w:tcPr>
          <w:p>
            <w:r>
              <w:rPr>
                <w:rFonts w:ascii="Times New Roman" w:hAnsi="Times New Roman"/>
                <w:sz w:val="20"/>
              </w:rPr>
              <w:t>5</w:t>
            </w:r>
          </w:p>
        </w:tc>
        <w:tc>
          <w:tcPr>
            <w:tcW w:type="dxa" w:w="850"/>
          </w:tcPr>
          <w:p>
            <w:r>
              <w:rPr>
                <w:rFonts w:ascii="Times New Roman" w:hAnsi="Times New Roman"/>
                <w:sz w:val="20"/>
              </w:rPr>
              <w:t>10</w:t>
            </w:r>
          </w:p>
        </w:tc>
        <w:tc>
          <w:tcPr>
            <w:tcW w:type="dxa" w:w="2835"/>
          </w:tcPr>
          <w:p>
            <w:r>
              <w:rPr>
                <w:rFonts w:ascii="Times New Roman" w:hAnsi="Times New Roman"/>
                <w:sz w:val="20"/>
              </w:rPr>
              <w:t>OWASP checklist; CSRF; rate limiting</w:t>
            </w:r>
          </w:p>
        </w:tc>
        <w:tc>
          <w:tcPr>
            <w:tcW w:type="dxa" w:w="850"/>
          </w:tcPr>
          <w:p>
            <w:r>
              <w:rPr>
                <w:rFonts w:ascii="Times New Roman" w:hAnsi="Times New Roman"/>
                <w:sz w:val="20"/>
              </w:rPr>
              <w:t>Green</w:t>
            </w:r>
          </w:p>
        </w:tc>
      </w:tr>
      <w:tr>
        <w:tc>
          <w:tcPr>
            <w:tcW w:type="dxa" w:w="567"/>
          </w:tcPr>
          <w:p>
            <w:r>
              <w:rPr>
                <w:rFonts w:ascii="Times New Roman" w:hAnsi="Times New Roman"/>
                <w:sz w:val="20"/>
              </w:rPr>
              <w:t>R3</w:t>
            </w:r>
          </w:p>
        </w:tc>
        <w:tc>
          <w:tcPr>
            <w:tcW w:type="dxa" w:w="2835"/>
          </w:tcPr>
          <w:p>
            <w:r>
              <w:rPr>
                <w:rFonts w:ascii="Times New Roman" w:hAnsi="Times New Roman"/>
                <w:sz w:val="20"/>
              </w:rPr>
              <w:t>Dataset distribution bias</w:t>
            </w:r>
          </w:p>
        </w:tc>
        <w:tc>
          <w:tcPr>
            <w:tcW w:type="dxa" w:w="567"/>
          </w:tcPr>
          <w:p>
            <w:r>
              <w:rPr>
                <w:rFonts w:ascii="Times New Roman" w:hAnsi="Times New Roman"/>
                <w:sz w:val="20"/>
              </w:rPr>
              <w:t>3</w:t>
            </w:r>
          </w:p>
        </w:tc>
        <w:tc>
          <w:tcPr>
            <w:tcW w:type="dxa" w:w="567"/>
          </w:tcPr>
          <w:p>
            <w:r>
              <w:rPr>
                <w:rFonts w:ascii="Times New Roman" w:hAnsi="Times New Roman"/>
                <w:sz w:val="20"/>
              </w:rPr>
              <w:t>4</w:t>
            </w:r>
          </w:p>
        </w:tc>
        <w:tc>
          <w:tcPr>
            <w:tcW w:type="dxa" w:w="850"/>
          </w:tcPr>
          <w:p>
            <w:r>
              <w:rPr>
                <w:rFonts w:ascii="Times New Roman" w:hAnsi="Times New Roman"/>
                <w:sz w:val="20"/>
              </w:rPr>
              <w:t>12</w:t>
            </w:r>
          </w:p>
        </w:tc>
        <w:tc>
          <w:tcPr>
            <w:tcW w:type="dxa" w:w="2835"/>
          </w:tcPr>
          <w:p>
            <w:r>
              <w:rPr>
                <w:rFonts w:ascii="Times New Roman" w:hAnsi="Times New Roman"/>
                <w:sz w:val="20"/>
              </w:rPr>
              <w:t>Balanced class split; validation check</w:t>
            </w:r>
          </w:p>
        </w:tc>
        <w:tc>
          <w:tcPr>
            <w:tcW w:type="dxa" w:w="850"/>
          </w:tcPr>
          <w:p>
            <w:r>
              <w:rPr>
                <w:rFonts w:ascii="Times New Roman" w:hAnsi="Times New Roman"/>
                <w:sz w:val="20"/>
              </w:rPr>
              <w:t>Green</w:t>
            </w:r>
          </w:p>
        </w:tc>
      </w:tr>
      <w:tr>
        <w:tc>
          <w:tcPr>
            <w:tcW w:type="dxa" w:w="567"/>
          </w:tcPr>
          <w:p>
            <w:r>
              <w:rPr>
                <w:rFonts w:ascii="Times New Roman" w:hAnsi="Times New Roman"/>
                <w:sz w:val="20"/>
              </w:rPr>
              <w:t>R4</w:t>
            </w:r>
          </w:p>
        </w:tc>
        <w:tc>
          <w:tcPr>
            <w:tcW w:type="dxa" w:w="2835"/>
          </w:tcPr>
          <w:p>
            <w:r>
              <w:rPr>
                <w:rFonts w:ascii="Times New Roman" w:hAnsi="Times New Roman"/>
                <w:sz w:val="20"/>
              </w:rPr>
              <w:t>Source code / model loss</w:t>
            </w:r>
          </w:p>
        </w:tc>
        <w:tc>
          <w:tcPr>
            <w:tcW w:type="dxa" w:w="567"/>
          </w:tcPr>
          <w:p>
            <w:r>
              <w:rPr>
                <w:rFonts w:ascii="Times New Roman" w:hAnsi="Times New Roman"/>
                <w:sz w:val="20"/>
              </w:rPr>
              <w:t>2</w:t>
            </w:r>
          </w:p>
        </w:tc>
        <w:tc>
          <w:tcPr>
            <w:tcW w:type="dxa" w:w="567"/>
          </w:tcPr>
          <w:p>
            <w:r>
              <w:rPr>
                <w:rFonts w:ascii="Times New Roman" w:hAnsi="Times New Roman"/>
                <w:sz w:val="20"/>
              </w:rPr>
              <w:t>5</w:t>
            </w:r>
          </w:p>
        </w:tc>
        <w:tc>
          <w:tcPr>
            <w:tcW w:type="dxa" w:w="850"/>
          </w:tcPr>
          <w:p>
            <w:r>
              <w:rPr>
                <w:rFonts w:ascii="Times New Roman" w:hAnsi="Times New Roman"/>
                <w:sz w:val="20"/>
              </w:rPr>
              <w:t>10</w:t>
            </w:r>
          </w:p>
        </w:tc>
        <w:tc>
          <w:tcPr>
            <w:tcW w:type="dxa" w:w="2835"/>
          </w:tcPr>
          <w:p>
            <w:r>
              <w:rPr>
                <w:rFonts w:ascii="Times New Roman" w:hAnsi="Times New Roman"/>
                <w:sz w:val="20"/>
              </w:rPr>
              <w:t>GitHub version control; daily backup</w:t>
            </w:r>
          </w:p>
        </w:tc>
        <w:tc>
          <w:tcPr>
            <w:tcW w:type="dxa" w:w="850"/>
          </w:tcPr>
          <w:p>
            <w:r>
              <w:rPr>
                <w:rFonts w:ascii="Times New Roman" w:hAnsi="Times New Roman"/>
                <w:sz w:val="20"/>
              </w:rPr>
              <w:t>Green</w:t>
            </w:r>
          </w:p>
        </w:tc>
      </w:tr>
      <w:tr>
        <w:tc>
          <w:tcPr>
            <w:tcW w:type="dxa" w:w="567"/>
          </w:tcPr>
          <w:p>
            <w:r>
              <w:rPr>
                <w:rFonts w:ascii="Times New Roman" w:hAnsi="Times New Roman"/>
                <w:sz w:val="20"/>
              </w:rPr>
              <w:t>R5</w:t>
            </w:r>
          </w:p>
        </w:tc>
        <w:tc>
          <w:tcPr>
            <w:tcW w:type="dxa" w:w="2835"/>
          </w:tcPr>
          <w:p>
            <w:r>
              <w:rPr>
                <w:rFonts w:ascii="Times New Roman" w:hAnsi="Times New Roman"/>
                <w:sz w:val="20"/>
              </w:rPr>
              <w:t>Scope creep beyond 12 features</w:t>
            </w:r>
          </w:p>
        </w:tc>
        <w:tc>
          <w:tcPr>
            <w:tcW w:type="dxa" w:w="567"/>
          </w:tcPr>
          <w:p>
            <w:r>
              <w:rPr>
                <w:rFonts w:ascii="Times New Roman" w:hAnsi="Times New Roman"/>
                <w:sz w:val="20"/>
              </w:rPr>
              <w:t>4</w:t>
            </w:r>
          </w:p>
        </w:tc>
        <w:tc>
          <w:tcPr>
            <w:tcW w:type="dxa" w:w="567"/>
          </w:tcPr>
          <w:p>
            <w:r>
              <w:rPr>
                <w:rFonts w:ascii="Times New Roman" w:hAnsi="Times New Roman"/>
                <w:sz w:val="20"/>
              </w:rPr>
              <w:t>3</w:t>
            </w:r>
          </w:p>
        </w:tc>
        <w:tc>
          <w:tcPr>
            <w:tcW w:type="dxa" w:w="850"/>
          </w:tcPr>
          <w:p>
            <w:r>
              <w:rPr>
                <w:rFonts w:ascii="Times New Roman" w:hAnsi="Times New Roman"/>
                <w:sz w:val="20"/>
              </w:rPr>
              <w:t>12</w:t>
            </w:r>
          </w:p>
        </w:tc>
        <w:tc>
          <w:tcPr>
            <w:tcW w:type="dxa" w:w="2835"/>
          </w:tcPr>
          <w:p>
            <w:r>
              <w:rPr>
                <w:rFonts w:ascii="Times New Roman" w:hAnsi="Times New Roman"/>
                <w:sz w:val="20"/>
              </w:rPr>
              <w:t>Feature freeze after M4 milestone</w:t>
            </w:r>
          </w:p>
        </w:tc>
        <w:tc>
          <w:tcPr>
            <w:tcW w:type="dxa" w:w="850"/>
          </w:tcPr>
          <w:p>
            <w:r>
              <w:rPr>
                <w:rFonts w:ascii="Times New Roman" w:hAnsi="Times New Roman"/>
                <w:sz w:val="20"/>
              </w:rPr>
              <w:t>Amber</w:t>
            </w:r>
          </w:p>
        </w:tc>
      </w:tr>
      <w:tr>
        <w:tc>
          <w:tcPr>
            <w:tcW w:type="dxa" w:w="567"/>
          </w:tcPr>
          <w:p>
            <w:r>
              <w:rPr>
                <w:rFonts w:ascii="Times New Roman" w:hAnsi="Times New Roman"/>
                <w:sz w:val="20"/>
              </w:rPr>
              <w:t>R6</w:t>
            </w:r>
          </w:p>
        </w:tc>
        <w:tc>
          <w:tcPr>
            <w:tcW w:type="dxa" w:w="2835"/>
          </w:tcPr>
          <w:p>
            <w:r>
              <w:rPr>
                <w:rFonts w:ascii="Times New Roman" w:hAnsi="Times New Roman"/>
                <w:sz w:val="20"/>
              </w:rPr>
              <w:t>API key expiry (Anthropic)</w:t>
            </w:r>
          </w:p>
        </w:tc>
        <w:tc>
          <w:tcPr>
            <w:tcW w:type="dxa" w:w="567"/>
          </w:tcPr>
          <w:p>
            <w:r>
              <w:rPr>
                <w:rFonts w:ascii="Times New Roman" w:hAnsi="Times New Roman"/>
                <w:sz w:val="20"/>
              </w:rPr>
              <w:t>3</w:t>
            </w:r>
          </w:p>
        </w:tc>
        <w:tc>
          <w:tcPr>
            <w:tcW w:type="dxa" w:w="567"/>
          </w:tcPr>
          <w:p>
            <w:r>
              <w:rPr>
                <w:rFonts w:ascii="Times New Roman" w:hAnsi="Times New Roman"/>
                <w:sz w:val="20"/>
              </w:rPr>
              <w:t>2</w:t>
            </w:r>
          </w:p>
        </w:tc>
        <w:tc>
          <w:tcPr>
            <w:tcW w:type="dxa" w:w="850"/>
          </w:tcPr>
          <w:p>
            <w:r>
              <w:rPr>
                <w:rFonts w:ascii="Times New Roman" w:hAnsi="Times New Roman"/>
                <w:sz w:val="20"/>
              </w:rPr>
              <w:t>6</w:t>
            </w:r>
          </w:p>
        </w:tc>
        <w:tc>
          <w:tcPr>
            <w:tcW w:type="dxa" w:w="2835"/>
          </w:tcPr>
          <w:p>
            <w:r>
              <w:rPr>
                <w:rFonts w:ascii="Times New Roman" w:hAnsi="Times New Roman"/>
                <w:sz w:val="20"/>
              </w:rPr>
              <w:t>FAQ regex fallback implemented</w:t>
            </w:r>
          </w:p>
        </w:tc>
        <w:tc>
          <w:tcPr>
            <w:tcW w:type="dxa" w:w="850"/>
          </w:tcPr>
          <w:p>
            <w:r>
              <w:rPr>
                <w:rFonts w:ascii="Times New Roman" w:hAnsi="Times New Roman"/>
                <w:sz w:val="20"/>
              </w:rPr>
              <w:t>Green</w:t>
            </w:r>
          </w:p>
        </w:tc>
      </w:tr>
      <w:tr>
        <w:tc>
          <w:tcPr>
            <w:tcW w:type="dxa" w:w="567"/>
          </w:tcPr>
          <w:p>
            <w:r>
              <w:rPr>
                <w:rFonts w:ascii="Times New Roman" w:hAnsi="Times New Roman"/>
                <w:sz w:val="20"/>
              </w:rPr>
              <w:t>R7</w:t>
            </w:r>
          </w:p>
        </w:tc>
        <w:tc>
          <w:tcPr>
            <w:tcW w:type="dxa" w:w="2835"/>
          </w:tcPr>
          <w:p>
            <w:r>
              <w:rPr>
                <w:rFonts w:ascii="Times New Roman" w:hAnsi="Times New Roman"/>
                <w:sz w:val="20"/>
              </w:rPr>
              <w:t>Supervisor unavailability</w:t>
            </w:r>
          </w:p>
        </w:tc>
        <w:tc>
          <w:tcPr>
            <w:tcW w:type="dxa" w:w="567"/>
          </w:tcPr>
          <w:p>
            <w:r>
              <w:rPr>
                <w:rFonts w:ascii="Times New Roman" w:hAnsi="Times New Roman"/>
                <w:sz w:val="20"/>
              </w:rPr>
              <w:t>2</w:t>
            </w:r>
          </w:p>
        </w:tc>
        <w:tc>
          <w:tcPr>
            <w:tcW w:type="dxa" w:w="567"/>
          </w:tcPr>
          <w:p>
            <w:r>
              <w:rPr>
                <w:rFonts w:ascii="Times New Roman" w:hAnsi="Times New Roman"/>
                <w:sz w:val="20"/>
              </w:rPr>
              <w:t>3</w:t>
            </w:r>
          </w:p>
        </w:tc>
        <w:tc>
          <w:tcPr>
            <w:tcW w:type="dxa" w:w="850"/>
          </w:tcPr>
          <w:p>
            <w:r>
              <w:rPr>
                <w:rFonts w:ascii="Times New Roman" w:hAnsi="Times New Roman"/>
                <w:sz w:val="20"/>
              </w:rPr>
              <w:t>6</w:t>
            </w:r>
          </w:p>
        </w:tc>
        <w:tc>
          <w:tcPr>
            <w:tcW w:type="dxa" w:w="2835"/>
          </w:tcPr>
          <w:p>
            <w:r>
              <w:rPr>
                <w:rFonts w:ascii="Times New Roman" w:hAnsi="Times New Roman"/>
                <w:sz w:val="20"/>
              </w:rPr>
              <w:t>Written async feedback protocol</w:t>
            </w:r>
          </w:p>
        </w:tc>
        <w:tc>
          <w:tcPr>
            <w:tcW w:type="dxa" w:w="850"/>
          </w:tcPr>
          <w:p>
            <w:r>
              <w:rPr>
                <w:rFonts w:ascii="Times New Roman" w:hAnsi="Times New Roman"/>
                <w:sz w:val="20"/>
              </w:rPr>
              <w:t>Green</w:t>
            </w:r>
          </w:p>
        </w:tc>
      </w:tr>
    </w:tbl>
    <w:p/>
    <w:p>
      <w:pPr>
        <w:spacing w:after="120" w:line="400" w:lineRule="exact"/>
      </w:pPr>
      <w:r>
        <w:rPr>
          <w:rFonts w:ascii="Times New Roman" w:hAnsi="Times New Roman"/>
          <w:b w:val="0"/>
          <w:i/>
          <w:sz w:val="20"/>
        </w:rPr>
        <w:t>Table 3.4: Risk Register (L = Likelihood 1–5, I = Impact 1–5, Score = L×I).</w:t>
      </w:r>
    </w:p>
    <w:p>
      <w:pPr>
        <w:pStyle w:val="Heading2"/>
        <w:spacing w:before="160" w:after="120"/>
      </w:pPr>
      <w:r>
        <w:rPr>
          <w:rFonts w:ascii="Times New Roman" w:hAnsi="Times New Roman"/>
          <w:color w:val="1A4072"/>
        </w:rPr>
        <w:t>3.7  Ethical Considerations</w:t>
      </w:r>
    </w:p>
    <w:p>
      <w:pPr>
        <w:spacing w:after="120" w:line="400" w:lineRule="exact"/>
      </w:pPr>
      <w:r>
        <w:rPr>
          <w:rFonts w:ascii="Times New Roman" w:hAnsi="Times New Roman"/>
          <w:b w:val="0"/>
          <w:i w:val="0"/>
          <w:sz w:val="22"/>
        </w:rPr>
        <w:t>No real personal data was collected. The synthetic dataset was algorithmically generated using actuarially validated statistical distributions and does not correspond to any real individual. Data minimality principles were observed: the application requests only the twelve fields directly necessary for risk computation. All stored data is protected by authenticated sessions, CSRF tokens and bcrypt-hashed passwords. The chatbot clearly identifies itself as an AI assistant. Data handling procedures were reviewed against GDPR principles (European Parliament, 2016).</w:t>
      </w:r>
    </w:p>
    <w:p>
      <w:pPr>
        <w:pStyle w:val="Heading2"/>
        <w:spacing w:before="160" w:after="120"/>
      </w:pPr>
      <w:r>
        <w:rPr>
          <w:rFonts w:ascii="Times New Roman" w:hAnsi="Times New Roman"/>
          <w:color w:val="1A4072"/>
        </w:rPr>
        <w:t>3.8  Project Tracking and Documentation</w:t>
      </w:r>
    </w:p>
    <w:p>
      <w:pPr>
        <w:spacing w:after="120" w:line="400" w:lineRule="exact"/>
      </w:pPr>
      <w:r>
        <w:rPr>
          <w:rFonts w:ascii="Times New Roman" w:hAnsi="Times New Roman"/>
          <w:b w:val="0"/>
          <w:i w:val="0"/>
          <w:sz w:val="22"/>
        </w:rPr>
        <w:t>Progress was tracked via a GitHub repository with commit messages linked to sprint tasks and a weekly project logbook. Supervisor meeting records document agenda items, feedback received and agreed action points (Appendix H).</w:t>
      </w:r>
    </w:p>
    <w:p>
      <w:pPr>
        <w:spacing w:before="160"/>
        <w:jc w:val="center"/>
      </w:pPr>
      <w:r>
        <w:drawing>
          <wp:inline xmlns:a="http://schemas.openxmlformats.org/drawingml/2006/main" xmlns:pic="http://schemas.openxmlformats.org/drawingml/2006/picture">
            <wp:extent cx="5400000" cy="3481442"/>
            <wp:docPr id="4" name="Picture 4"/>
            <wp:cNvGraphicFramePr>
              <a:graphicFrameLocks noChangeAspect="1"/>
            </wp:cNvGraphicFramePr>
            <a:graphic>
              <a:graphicData uri="http://schemas.openxmlformats.org/drawingml/2006/picture">
                <pic:pic>
                  <pic:nvPicPr>
                    <pic:cNvPr id="0" name="fig3_3_arch.png"/>
                    <pic:cNvPicPr/>
                  </pic:nvPicPr>
                  <pic:blipFill>
                    <a:blip r:embed="rId12"/>
                    <a:stretch>
                      <a:fillRect/>
                    </a:stretch>
                  </pic:blipFill>
                  <pic:spPr>
                    <a:xfrm>
                      <a:off x="0" y="0"/>
                      <a:ext cx="5400000" cy="3481442"/>
                    </a:xfrm>
                    <a:prstGeom prst="rect"/>
                  </pic:spPr>
                </pic:pic>
              </a:graphicData>
            </a:graphic>
          </wp:inline>
        </w:drawing>
      </w:r>
    </w:p>
    <w:p>
      <w:pPr>
        <w:spacing w:after="200"/>
        <w:jc w:val="center"/>
      </w:pPr>
      <w:r>
        <w:rPr>
          <w:rFonts w:ascii="Times New Roman" w:hAnsi="Times New Roman"/>
          <w:b w:val="0"/>
          <w:i/>
          <w:color w:val="404040"/>
          <w:sz w:val="20"/>
        </w:rPr>
        <w:t>Figure 3.3: RiskGuard AI System Architecture — three-tier design with ML pipeline, Flask application layer, and database/security layer.</w:t>
      </w:r>
    </w:p>
    <w:p>
      <w:pPr>
        <w:pStyle w:val="Heading2"/>
        <w:spacing w:before="160" w:after="120"/>
      </w:pPr>
      <w:r>
        <w:rPr>
          <w:rFonts w:ascii="Times New Roman" w:hAnsi="Times New Roman"/>
          <w:color w:val="1A4072"/>
        </w:rPr>
        <w:t>3.9  Implementation of the Plan</w:t>
      </w:r>
    </w:p>
    <w:p>
      <w:pPr>
        <w:spacing w:after="120" w:line="400" w:lineRule="exact"/>
      </w:pPr>
      <w:r>
        <w:rPr>
          <w:rFonts w:ascii="Times New Roman" w:hAnsi="Times New Roman"/>
          <w:b w:val="0"/>
          <w:i w:val="0"/>
          <w:sz w:val="22"/>
        </w:rPr>
        <w:t>The project was executed broadly according to plan with one significant deviation: initial XGBoost training revealed that the Very High Risk class was under-represented at 6.1% (target: 10%). Three additional days were allocated to recalibrating the data generator before retraining. This was absorbed within the one-week contingency buffer without impacting subsequent milestones.</w:t>
      </w:r>
    </w:p>
    <w:p>
      <w:pPr>
        <w:pStyle w:val="Heading2"/>
        <w:spacing w:before="160" w:after="120"/>
      </w:pPr>
      <w:r>
        <w:rPr>
          <w:rFonts w:ascii="Times New Roman" w:hAnsi="Times New Roman"/>
          <w:color w:val="1A4072"/>
        </w:rPr>
        <w:t>3.10  Critical Assessment of Project Management</w:t>
      </w:r>
    </w:p>
    <w:p>
      <w:pPr>
        <w:spacing w:after="120" w:line="400" w:lineRule="exact"/>
      </w:pPr>
      <w:r>
        <w:rPr>
          <w:rFonts w:ascii="Times New Roman" w:hAnsi="Times New Roman"/>
          <w:b w:val="0"/>
          <w:i w:val="0"/>
          <w:sz w:val="22"/>
        </w:rPr>
        <w:t>The Agile hybrid methodology proved effective, particularly for iterative feature development. The iterative approach enabled early discovery of integration issues — for example, CSRF token handling for AJAX API calls required @csrf.exempt decoration, not anticipated in initial design. The documentation burden was underestimated; in future projects, commit messages would be integrated directly into the logbook template to reduce duplication. The risk register underweighted the risk of Anthropic's client interface changing between library versions — an issue encountered when upgrading that required streaming API syntax updates.</w:t>
      </w:r>
    </w:p>
    <w:p>
      <w:r>
        <w:br w:type="page"/>
      </w:r>
    </w:p>
    <w:p>
      <w:pPr>
        <w:pStyle w:val="Heading1"/>
        <w:spacing w:before="280" w:after="120"/>
      </w:pPr>
      <w:r>
        <w:rPr>
          <w:rFonts w:ascii="Times New Roman" w:hAnsi="Times New Roman"/>
          <w:color w:val="1A4072"/>
        </w:rPr>
        <w:t>Chapter 4 — Data Collection and Analysis</w:t>
      </w:r>
    </w:p>
    <w:p>
      <w:pPr>
        <w:spacing w:after="120" w:line="400" w:lineRule="exact"/>
      </w:pPr>
      <w:r>
        <w:rPr>
          <w:rFonts w:ascii="Times New Roman" w:hAnsi="Times New Roman"/>
          <w:b w:val="0"/>
          <w:i/>
          <w:sz w:val="20"/>
        </w:rPr>
        <w:t>[Addresses LO3 — P5, M3, M4]</w:t>
      </w:r>
    </w:p>
    <w:p>
      <w:pPr>
        <w:pStyle w:val="Heading2"/>
        <w:spacing w:before="160" w:after="120"/>
      </w:pPr>
      <w:r>
        <w:rPr>
          <w:rFonts w:ascii="Times New Roman" w:hAnsi="Times New Roman"/>
          <w:color w:val="1A4072"/>
        </w:rPr>
        <w:t>4.1  Data Collection Methods</w:t>
      </w:r>
    </w:p>
    <w:p>
      <w:pPr>
        <w:pStyle w:val="Heading3"/>
        <w:spacing w:before="160" w:after="120"/>
      </w:pPr>
      <w:r>
        <w:rPr>
          <w:rFonts w:ascii="Times New Roman" w:hAnsi="Times New Roman"/>
          <w:color w:val="1A4072"/>
        </w:rPr>
        <w:t>4.1.1  Primary Data — Synthetic Dataset</w:t>
      </w:r>
    </w:p>
    <w:p>
      <w:pPr>
        <w:spacing w:after="120" w:line="400" w:lineRule="exact"/>
      </w:pPr>
      <w:r>
        <w:rPr>
          <w:rFonts w:ascii="Times New Roman" w:hAnsi="Times New Roman"/>
          <w:b w:val="0"/>
          <w:i w:val="0"/>
          <w:sz w:val="22"/>
        </w:rPr>
        <w:t>Given the absence of publicly available, feature-complete motor insurance datasets containing all twelve required variables, a 30,000-record synthetic dataset was generated algorithmically using data/generate_data.py, calibrated to UK and Uzbekistani driving population statistics. The generator computes ground-truth risk categories using a deterministic scoring function designed to mirror established actuarial principles (Boucher, Denuit and Guillen, 2007; Department for Transport, 2023).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4072" w:color="FFFFFF" w:val="clear"/>
          </w:tcPr>
          <w:p>
            <w:r>
              <w:rPr>
                <w:rFonts w:ascii="Times New Roman" w:hAnsi="Times New Roman"/>
                <w:b/>
                <w:color w:val="FFFFFF"/>
                <w:sz w:val="20"/>
              </w:rPr>
              <w:t>Feature</w:t>
            </w:r>
          </w:p>
        </w:tc>
        <w:tc>
          <w:tcPr>
            <w:tcW w:type="dxa" w:w="1417"/>
            <w:shd w:fill="1A4072" w:color="FFFFFF" w:val="clear"/>
          </w:tcPr>
          <w:p>
            <w:r>
              <w:rPr>
                <w:rFonts w:ascii="Times New Roman" w:hAnsi="Times New Roman"/>
                <w:b/>
                <w:color w:val="FFFFFF"/>
                <w:sz w:val="20"/>
              </w:rPr>
              <w:t>Type</w:t>
            </w:r>
          </w:p>
        </w:tc>
        <w:tc>
          <w:tcPr>
            <w:tcW w:type="dxa" w:w="2835"/>
            <w:shd w:fill="1A4072" w:color="FFFFFF" w:val="clear"/>
          </w:tcPr>
          <w:p>
            <w:r>
              <w:rPr>
                <w:rFonts w:ascii="Times New Roman" w:hAnsi="Times New Roman"/>
                <w:b/>
                <w:color w:val="FFFFFF"/>
                <w:sz w:val="20"/>
              </w:rPr>
              <w:t>Range / Categories</w:t>
            </w:r>
          </w:p>
        </w:tc>
        <w:tc>
          <w:tcPr>
            <w:tcW w:type="dxa" w:w="3118"/>
            <w:shd w:fill="1A4072" w:color="FFFFFF" w:val="clear"/>
          </w:tcPr>
          <w:p>
            <w:r>
              <w:rPr>
                <w:rFonts w:ascii="Times New Roman" w:hAnsi="Times New Roman"/>
                <w:b/>
                <w:color w:val="FFFFFF"/>
                <w:sz w:val="20"/>
              </w:rPr>
              <w:t>Actuarial Basis</w:t>
            </w:r>
          </w:p>
        </w:tc>
      </w:tr>
      <w:tr>
        <w:tc>
          <w:tcPr>
            <w:tcW w:type="dxa" w:w="2268"/>
          </w:tcPr>
          <w:p>
            <w:r>
              <w:rPr>
                <w:rFonts w:ascii="Times New Roman" w:hAnsi="Times New Roman"/>
                <w:sz w:val="20"/>
              </w:rPr>
              <w:t>driver_age</w:t>
            </w:r>
          </w:p>
        </w:tc>
        <w:tc>
          <w:tcPr>
            <w:tcW w:type="dxa" w:w="1417"/>
          </w:tcPr>
          <w:p>
            <w:r>
              <w:rPr>
                <w:rFonts w:ascii="Times New Roman" w:hAnsi="Times New Roman"/>
                <w:sz w:val="20"/>
              </w:rPr>
              <w:t>Numeric</w:t>
            </w:r>
          </w:p>
        </w:tc>
        <w:tc>
          <w:tcPr>
            <w:tcW w:type="dxa" w:w="2835"/>
          </w:tcPr>
          <w:p>
            <w:r>
              <w:rPr>
                <w:rFonts w:ascii="Times New Roman" w:hAnsi="Times New Roman"/>
                <w:sz w:val="20"/>
              </w:rPr>
              <w:t>17–80 years</w:t>
            </w:r>
          </w:p>
        </w:tc>
        <w:tc>
          <w:tcPr>
            <w:tcW w:type="dxa" w:w="3118"/>
          </w:tcPr>
          <w:p>
            <w:r>
              <w:rPr>
                <w:rFonts w:ascii="Times New Roman" w:hAnsi="Times New Roman"/>
                <w:sz w:val="20"/>
              </w:rPr>
              <w:t>DfT (2023) age–accident curve</w:t>
            </w:r>
          </w:p>
        </w:tc>
      </w:tr>
      <w:tr>
        <w:tc>
          <w:tcPr>
            <w:tcW w:type="dxa" w:w="2268"/>
          </w:tcPr>
          <w:p>
            <w:r>
              <w:rPr>
                <w:rFonts w:ascii="Times New Roman" w:hAnsi="Times New Roman"/>
                <w:sz w:val="20"/>
              </w:rPr>
              <w:t>driving_experience</w:t>
            </w:r>
          </w:p>
        </w:tc>
        <w:tc>
          <w:tcPr>
            <w:tcW w:type="dxa" w:w="1417"/>
          </w:tcPr>
          <w:p>
            <w:r>
              <w:rPr>
                <w:rFonts w:ascii="Times New Roman" w:hAnsi="Times New Roman"/>
                <w:sz w:val="20"/>
              </w:rPr>
              <w:t>Numeric</w:t>
            </w:r>
          </w:p>
        </w:tc>
        <w:tc>
          <w:tcPr>
            <w:tcW w:type="dxa" w:w="2835"/>
          </w:tcPr>
          <w:p>
            <w:r>
              <w:rPr>
                <w:rFonts w:ascii="Times New Roman" w:hAnsi="Times New Roman"/>
                <w:sz w:val="20"/>
              </w:rPr>
              <w:t>0–40 years</w:t>
            </w:r>
          </w:p>
        </w:tc>
        <w:tc>
          <w:tcPr>
            <w:tcW w:type="dxa" w:w="3118"/>
          </w:tcPr>
          <w:p>
            <w:r>
              <w:rPr>
                <w:rFonts w:ascii="Times New Roman" w:hAnsi="Times New Roman"/>
                <w:sz w:val="20"/>
              </w:rPr>
              <w:t>Correlated with driver_age</w:t>
            </w:r>
          </w:p>
        </w:tc>
      </w:tr>
      <w:tr>
        <w:tc>
          <w:tcPr>
            <w:tcW w:type="dxa" w:w="2268"/>
          </w:tcPr>
          <w:p>
            <w:r>
              <w:rPr>
                <w:rFonts w:ascii="Times New Roman" w:hAnsi="Times New Roman"/>
                <w:sz w:val="20"/>
              </w:rPr>
              <w:t>annual_mileage</w:t>
            </w:r>
          </w:p>
        </w:tc>
        <w:tc>
          <w:tcPr>
            <w:tcW w:type="dxa" w:w="1417"/>
          </w:tcPr>
          <w:p>
            <w:r>
              <w:rPr>
                <w:rFonts w:ascii="Times New Roman" w:hAnsi="Times New Roman"/>
                <w:sz w:val="20"/>
              </w:rPr>
              <w:t>Numeric</w:t>
            </w:r>
          </w:p>
        </w:tc>
        <w:tc>
          <w:tcPr>
            <w:tcW w:type="dxa" w:w="2835"/>
          </w:tcPr>
          <w:p>
            <w:r>
              <w:rPr>
                <w:rFonts w:ascii="Times New Roman" w:hAnsi="Times New Roman"/>
                <w:sz w:val="20"/>
              </w:rPr>
              <w:t>1,000–50,000 miles</w:t>
            </w:r>
          </w:p>
        </w:tc>
        <w:tc>
          <w:tcPr>
            <w:tcW w:type="dxa" w:w="3118"/>
          </w:tcPr>
          <w:p>
            <w:r>
              <w:rPr>
                <w:rFonts w:ascii="Times New Roman" w:hAnsi="Times New Roman"/>
                <w:sz w:val="20"/>
              </w:rPr>
              <w:t>ABI (2022)</w:t>
            </w:r>
          </w:p>
        </w:tc>
      </w:tr>
      <w:tr>
        <w:tc>
          <w:tcPr>
            <w:tcW w:type="dxa" w:w="2268"/>
          </w:tcPr>
          <w:p>
            <w:r>
              <w:rPr>
                <w:rFonts w:ascii="Times New Roman" w:hAnsi="Times New Roman"/>
                <w:sz w:val="20"/>
              </w:rPr>
              <w:t>vehicle_age</w:t>
            </w:r>
          </w:p>
        </w:tc>
        <w:tc>
          <w:tcPr>
            <w:tcW w:type="dxa" w:w="1417"/>
          </w:tcPr>
          <w:p>
            <w:r>
              <w:rPr>
                <w:rFonts w:ascii="Times New Roman" w:hAnsi="Times New Roman"/>
                <w:sz w:val="20"/>
              </w:rPr>
              <w:t>Numeric</w:t>
            </w:r>
          </w:p>
        </w:tc>
        <w:tc>
          <w:tcPr>
            <w:tcW w:type="dxa" w:w="2835"/>
          </w:tcPr>
          <w:p>
            <w:r>
              <w:rPr>
                <w:rFonts w:ascii="Times New Roman" w:hAnsi="Times New Roman"/>
                <w:sz w:val="20"/>
              </w:rPr>
              <w:t>0–25 years</w:t>
            </w:r>
          </w:p>
        </w:tc>
        <w:tc>
          <w:tcPr>
            <w:tcW w:type="dxa" w:w="3118"/>
          </w:tcPr>
          <w:p>
            <w:r>
              <w:rPr>
                <w:rFonts w:ascii="Times New Roman" w:hAnsi="Times New Roman"/>
                <w:sz w:val="20"/>
              </w:rPr>
              <w:t>DVSA (2022)</w:t>
            </w:r>
          </w:p>
        </w:tc>
      </w:tr>
      <w:tr>
        <w:tc>
          <w:tcPr>
            <w:tcW w:type="dxa" w:w="2268"/>
          </w:tcPr>
          <w:p>
            <w:r>
              <w:rPr>
                <w:rFonts w:ascii="Times New Roman" w:hAnsi="Times New Roman"/>
                <w:sz w:val="20"/>
              </w:rPr>
              <w:t>previous_accidents</w:t>
            </w:r>
          </w:p>
        </w:tc>
        <w:tc>
          <w:tcPr>
            <w:tcW w:type="dxa" w:w="1417"/>
          </w:tcPr>
          <w:p>
            <w:r>
              <w:rPr>
                <w:rFonts w:ascii="Times New Roman" w:hAnsi="Times New Roman"/>
                <w:sz w:val="20"/>
              </w:rPr>
              <w:t>Numeric</w:t>
            </w:r>
          </w:p>
        </w:tc>
        <w:tc>
          <w:tcPr>
            <w:tcW w:type="dxa" w:w="2835"/>
          </w:tcPr>
          <w:p>
            <w:r>
              <w:rPr>
                <w:rFonts w:ascii="Times New Roman" w:hAnsi="Times New Roman"/>
                <w:sz w:val="20"/>
              </w:rPr>
              <w:t>0–5</w:t>
            </w:r>
          </w:p>
        </w:tc>
        <w:tc>
          <w:tcPr>
            <w:tcW w:type="dxa" w:w="3118"/>
          </w:tcPr>
          <w:p>
            <w:r>
              <w:rPr>
                <w:rFonts w:ascii="Times New Roman" w:hAnsi="Times New Roman"/>
                <w:sz w:val="20"/>
              </w:rPr>
              <w:t>Boucher et al. (2009) — +14 pts each</w:t>
            </w:r>
          </w:p>
        </w:tc>
      </w:tr>
      <w:tr>
        <w:tc>
          <w:tcPr>
            <w:tcW w:type="dxa" w:w="2268"/>
          </w:tcPr>
          <w:p>
            <w:r>
              <w:rPr>
                <w:rFonts w:ascii="Times New Roman" w:hAnsi="Times New Roman"/>
                <w:sz w:val="20"/>
              </w:rPr>
              <w:t>traffic_violations</w:t>
            </w:r>
          </w:p>
        </w:tc>
        <w:tc>
          <w:tcPr>
            <w:tcW w:type="dxa" w:w="1417"/>
          </w:tcPr>
          <w:p>
            <w:r>
              <w:rPr>
                <w:rFonts w:ascii="Times New Roman" w:hAnsi="Times New Roman"/>
                <w:sz w:val="20"/>
              </w:rPr>
              <w:t>Numeric</w:t>
            </w:r>
          </w:p>
        </w:tc>
        <w:tc>
          <w:tcPr>
            <w:tcW w:type="dxa" w:w="2835"/>
          </w:tcPr>
          <w:p>
            <w:r>
              <w:rPr>
                <w:rFonts w:ascii="Times New Roman" w:hAnsi="Times New Roman"/>
                <w:sz w:val="20"/>
              </w:rPr>
              <w:t>0–5</w:t>
            </w:r>
          </w:p>
        </w:tc>
        <w:tc>
          <w:tcPr>
            <w:tcW w:type="dxa" w:w="3118"/>
          </w:tcPr>
          <w:p>
            <w:r>
              <w:rPr>
                <w:rFonts w:ascii="Times New Roman" w:hAnsi="Times New Roman"/>
                <w:sz w:val="20"/>
              </w:rPr>
              <w:t>DVLA (2023) — +5 pts each</w:t>
            </w:r>
          </w:p>
        </w:tc>
      </w:tr>
      <w:tr>
        <w:tc>
          <w:tcPr>
            <w:tcW w:type="dxa" w:w="2268"/>
          </w:tcPr>
          <w:p>
            <w:r>
              <w:rPr>
                <w:rFonts w:ascii="Times New Roman" w:hAnsi="Times New Roman"/>
                <w:sz w:val="20"/>
              </w:rPr>
              <w:t>night_driving_pct</w:t>
            </w:r>
          </w:p>
        </w:tc>
        <w:tc>
          <w:tcPr>
            <w:tcW w:type="dxa" w:w="1417"/>
          </w:tcPr>
          <w:p>
            <w:r>
              <w:rPr>
                <w:rFonts w:ascii="Times New Roman" w:hAnsi="Times New Roman"/>
                <w:sz w:val="20"/>
              </w:rPr>
              <w:t>Numeric</w:t>
            </w:r>
          </w:p>
        </w:tc>
        <w:tc>
          <w:tcPr>
            <w:tcW w:type="dxa" w:w="2835"/>
          </w:tcPr>
          <w:p>
            <w:r>
              <w:rPr>
                <w:rFonts w:ascii="Times New Roman" w:hAnsi="Times New Roman"/>
                <w:sz w:val="20"/>
              </w:rPr>
              <w:t>0–100%</w:t>
            </w:r>
          </w:p>
        </w:tc>
        <w:tc>
          <w:tcPr>
            <w:tcW w:type="dxa" w:w="3118"/>
          </w:tcPr>
          <w:p>
            <w:r>
              <w:rPr>
                <w:rFonts w:ascii="Times New Roman" w:hAnsi="Times New Roman"/>
                <w:sz w:val="20"/>
              </w:rPr>
              <w:t>DfT night driving statistics</w:t>
            </w:r>
          </w:p>
        </w:tc>
      </w:tr>
      <w:tr>
        <w:tc>
          <w:tcPr>
            <w:tcW w:type="dxa" w:w="2268"/>
          </w:tcPr>
          <w:p>
            <w:r>
              <w:rPr>
                <w:rFonts w:ascii="Times New Roman" w:hAnsi="Times New Roman"/>
                <w:sz w:val="20"/>
              </w:rPr>
              <w:t>credit_score</w:t>
            </w:r>
          </w:p>
        </w:tc>
        <w:tc>
          <w:tcPr>
            <w:tcW w:type="dxa" w:w="1417"/>
          </w:tcPr>
          <w:p>
            <w:r>
              <w:rPr>
                <w:rFonts w:ascii="Times New Roman" w:hAnsi="Times New Roman"/>
                <w:sz w:val="20"/>
              </w:rPr>
              <w:t>Numeric</w:t>
            </w:r>
          </w:p>
        </w:tc>
        <w:tc>
          <w:tcPr>
            <w:tcW w:type="dxa" w:w="2835"/>
          </w:tcPr>
          <w:p>
            <w:r>
              <w:rPr>
                <w:rFonts w:ascii="Times New Roman" w:hAnsi="Times New Roman"/>
                <w:sz w:val="20"/>
              </w:rPr>
              <w:t>300–850</w:t>
            </w:r>
          </w:p>
        </w:tc>
        <w:tc>
          <w:tcPr>
            <w:tcW w:type="dxa" w:w="3118"/>
          </w:tcPr>
          <w:p>
            <w:r>
              <w:rPr>
                <w:rFonts w:ascii="Times New Roman" w:hAnsi="Times New Roman"/>
                <w:sz w:val="20"/>
              </w:rPr>
              <w:t>Monaghan (2020)</w:t>
            </w:r>
          </w:p>
        </w:tc>
      </w:tr>
      <w:tr>
        <w:tc>
          <w:tcPr>
            <w:tcW w:type="dxa" w:w="2268"/>
          </w:tcPr>
          <w:p>
            <w:r>
              <w:rPr>
                <w:rFonts w:ascii="Times New Roman" w:hAnsi="Times New Roman"/>
                <w:sz w:val="20"/>
              </w:rPr>
              <w:t>vehicle_type</w:t>
            </w:r>
          </w:p>
        </w:tc>
        <w:tc>
          <w:tcPr>
            <w:tcW w:type="dxa" w:w="1417"/>
          </w:tcPr>
          <w:p>
            <w:r>
              <w:rPr>
                <w:rFonts w:ascii="Times New Roman" w:hAnsi="Times New Roman"/>
                <w:sz w:val="20"/>
              </w:rPr>
              <w:t>Categorical</w:t>
            </w:r>
          </w:p>
        </w:tc>
        <w:tc>
          <w:tcPr>
            <w:tcW w:type="dxa" w:w="2835"/>
          </w:tcPr>
          <w:p>
            <w:r>
              <w:rPr>
                <w:rFonts w:ascii="Times New Roman" w:hAnsi="Times New Roman"/>
                <w:sz w:val="20"/>
              </w:rPr>
              <w:t>sedan/suv/sports/truck/van/motorcycle</w:t>
            </w:r>
          </w:p>
        </w:tc>
        <w:tc>
          <w:tcPr>
            <w:tcW w:type="dxa" w:w="3118"/>
          </w:tcPr>
          <w:p>
            <w:r>
              <w:rPr>
                <w:rFonts w:ascii="Times New Roman" w:hAnsi="Times New Roman"/>
                <w:sz w:val="20"/>
              </w:rPr>
              <w:t>DfT (2023)</w:t>
            </w:r>
          </w:p>
        </w:tc>
      </w:tr>
      <w:tr>
        <w:tc>
          <w:tcPr>
            <w:tcW w:type="dxa" w:w="2268"/>
          </w:tcPr>
          <w:p>
            <w:r>
              <w:rPr>
                <w:rFonts w:ascii="Times New Roman" w:hAnsi="Times New Roman"/>
                <w:sz w:val="20"/>
              </w:rPr>
              <w:t>primary_location</w:t>
            </w:r>
          </w:p>
        </w:tc>
        <w:tc>
          <w:tcPr>
            <w:tcW w:type="dxa" w:w="1417"/>
          </w:tcPr>
          <w:p>
            <w:r>
              <w:rPr>
                <w:rFonts w:ascii="Times New Roman" w:hAnsi="Times New Roman"/>
                <w:sz w:val="20"/>
              </w:rPr>
              <w:t>Categorical</w:t>
            </w:r>
          </w:p>
        </w:tc>
        <w:tc>
          <w:tcPr>
            <w:tcW w:type="dxa" w:w="2835"/>
          </w:tcPr>
          <w:p>
            <w:r>
              <w:rPr>
                <w:rFonts w:ascii="Times New Roman" w:hAnsi="Times New Roman"/>
                <w:sz w:val="20"/>
              </w:rPr>
              <w:t>urban/suburban/rural/highway</w:t>
            </w:r>
          </w:p>
        </w:tc>
        <w:tc>
          <w:tcPr>
            <w:tcW w:type="dxa" w:w="3118"/>
          </w:tcPr>
          <w:p>
            <w:r>
              <w:rPr>
                <w:rFonts w:ascii="Times New Roman" w:hAnsi="Times New Roman"/>
                <w:sz w:val="20"/>
              </w:rPr>
              <w:t>DfT (2023)</w:t>
            </w:r>
          </w:p>
        </w:tc>
      </w:tr>
      <w:tr>
        <w:tc>
          <w:tcPr>
            <w:tcW w:type="dxa" w:w="2268"/>
          </w:tcPr>
          <w:p>
            <w:r>
              <w:rPr>
                <w:rFonts w:ascii="Times New Roman" w:hAnsi="Times New Roman"/>
                <w:sz w:val="20"/>
              </w:rPr>
              <w:t>marital_status</w:t>
            </w:r>
          </w:p>
        </w:tc>
        <w:tc>
          <w:tcPr>
            <w:tcW w:type="dxa" w:w="1417"/>
          </w:tcPr>
          <w:p>
            <w:r>
              <w:rPr>
                <w:rFonts w:ascii="Times New Roman" w:hAnsi="Times New Roman"/>
                <w:sz w:val="20"/>
              </w:rPr>
              <w:t>Categorical</w:t>
            </w:r>
          </w:p>
        </w:tc>
        <w:tc>
          <w:tcPr>
            <w:tcW w:type="dxa" w:w="2835"/>
          </w:tcPr>
          <w:p>
            <w:r>
              <w:rPr>
                <w:rFonts w:ascii="Times New Roman" w:hAnsi="Times New Roman"/>
                <w:sz w:val="20"/>
              </w:rPr>
              <w:t>single/married/divorced</w:t>
            </w:r>
          </w:p>
        </w:tc>
        <w:tc>
          <w:tcPr>
            <w:tcW w:type="dxa" w:w="3118"/>
          </w:tcPr>
          <w:p>
            <w:r>
              <w:rPr>
                <w:rFonts w:ascii="Times New Roman" w:hAnsi="Times New Roman"/>
                <w:sz w:val="20"/>
              </w:rPr>
              <w:t>ABI (2022)</w:t>
            </w:r>
          </w:p>
        </w:tc>
      </w:tr>
      <w:tr>
        <w:tc>
          <w:tcPr>
            <w:tcW w:type="dxa" w:w="2268"/>
          </w:tcPr>
          <w:p>
            <w:r>
              <w:rPr>
                <w:rFonts w:ascii="Times New Roman" w:hAnsi="Times New Roman"/>
                <w:sz w:val="20"/>
              </w:rPr>
              <w:t>gender</w:t>
            </w:r>
          </w:p>
        </w:tc>
        <w:tc>
          <w:tcPr>
            <w:tcW w:type="dxa" w:w="1417"/>
          </w:tcPr>
          <w:p>
            <w:r>
              <w:rPr>
                <w:rFonts w:ascii="Times New Roman" w:hAnsi="Times New Roman"/>
                <w:sz w:val="20"/>
              </w:rPr>
              <w:t>Categorical</w:t>
            </w:r>
          </w:p>
        </w:tc>
        <w:tc>
          <w:tcPr>
            <w:tcW w:type="dxa" w:w="2835"/>
          </w:tcPr>
          <w:p>
            <w:r>
              <w:rPr>
                <w:rFonts w:ascii="Times New Roman" w:hAnsi="Times New Roman"/>
                <w:sz w:val="20"/>
              </w:rPr>
              <w:t>male/female</w:t>
            </w:r>
          </w:p>
        </w:tc>
        <w:tc>
          <w:tcPr>
            <w:tcW w:type="dxa" w:w="3118"/>
          </w:tcPr>
          <w:p>
            <w:r>
              <w:rPr>
                <w:rFonts w:ascii="Times New Roman" w:hAnsi="Times New Roman"/>
                <w:sz w:val="20"/>
              </w:rPr>
              <w:t>Historical actuarial data</w:t>
            </w:r>
          </w:p>
        </w:tc>
      </w:tr>
    </w:tbl>
    <w:p/>
    <w:p>
      <w:pPr>
        <w:spacing w:after="120" w:line="400" w:lineRule="exact"/>
      </w:pPr>
      <w:r>
        <w:rPr>
          <w:rFonts w:ascii="Times New Roman" w:hAnsi="Times New Roman"/>
          <w:b w:val="0"/>
          <w:i/>
          <w:sz w:val="20"/>
        </w:rPr>
        <w:t>Table 4.1: RiskGuard AI dataset features, types and actuarial foundations.</w:t>
      </w:r>
    </w:p>
    <w:p>
      <w:pPr>
        <w:pStyle w:val="Heading3"/>
        <w:spacing w:before="160" w:after="120"/>
      </w:pPr>
      <w:r>
        <w:rPr>
          <w:rFonts w:ascii="Times New Roman" w:hAnsi="Times New Roman"/>
          <w:color w:val="1A4072"/>
        </w:rPr>
        <w:t>4.1.2  Secondary Data</w:t>
      </w:r>
    </w:p>
    <w:p>
      <w:pPr>
        <w:spacing w:after="120" w:line="400" w:lineRule="exact"/>
      </w:pPr>
      <w:r>
        <w:rPr>
          <w:rFonts w:ascii="Times New Roman" w:hAnsi="Times New Roman"/>
          <w:b w:val="0"/>
          <w:i w:val="0"/>
          <w:sz w:val="22"/>
        </w:rPr>
        <w:t>Secondary data sources were used for calibrating the synthetic data generator and populating the literature review. Key sources included: Department for Transport (2023) accident statistics by vehicle type and age group; the Association of British Insurers (ABI, 2022) annual motor insurance pricing report; and the World Bank (2022) Uzbekistan transport sector assessment. No external datasets were used as model training input.</w:t>
      </w:r>
    </w:p>
    <w:p>
      <w:pPr>
        <w:pStyle w:val="Heading3"/>
        <w:spacing w:before="160" w:after="120"/>
      </w:pPr>
      <w:r>
        <w:rPr>
          <w:rFonts w:ascii="Times New Roman" w:hAnsi="Times New Roman"/>
          <w:color w:val="1A4072"/>
        </w:rPr>
        <w:t>4.1.3  Sampling Strategy</w:t>
      </w:r>
    </w:p>
    <w:p>
      <w:pPr>
        <w:spacing w:after="120" w:line="400" w:lineRule="exact"/>
      </w:pPr>
      <w:r>
        <w:rPr>
          <w:rFonts w:ascii="Times New Roman" w:hAnsi="Times New Roman"/>
          <w:b w:val="0"/>
          <w:i w:val="0"/>
          <w:sz w:val="22"/>
        </w:rPr>
        <w:t>The full 30,000-record dataset was split deterministically using scikit-learn's train_test_split with random_state=42, yielding 24,000 training records (80%) and 6,000 test records (20%). Stratified splitting preserved the class distribution (Low 35%, Medium 35%, High 20%, Very High 10%) across both sets. The fixed random state ensures full reproducibility of all reported results.</w:t>
      </w:r>
    </w:p>
    <w:p>
      <w:pPr>
        <w:pStyle w:val="Heading2"/>
        <w:spacing w:before="160" w:after="120"/>
      </w:pPr>
      <w:r>
        <w:rPr>
          <w:rFonts w:ascii="Times New Roman" w:hAnsi="Times New Roman"/>
          <w:color w:val="1A4072"/>
        </w:rPr>
        <w:t>4.2  Analytical Techniques</w:t>
      </w:r>
    </w:p>
    <w:p>
      <w:pPr>
        <w:pStyle w:val="Heading3"/>
        <w:spacing w:before="160" w:after="120"/>
      </w:pPr>
      <w:r>
        <w:rPr>
          <w:rFonts w:ascii="Times New Roman" w:hAnsi="Times New Roman"/>
          <w:color w:val="1A4072"/>
        </w:rPr>
        <w:t>4.2.1  Quantitative Analysis — Model Evaluation</w:t>
      </w:r>
    </w:p>
    <w:p>
      <w:pPr>
        <w:spacing w:after="120" w:line="400" w:lineRule="exact"/>
      </w:pPr>
      <w:r>
        <w:rPr>
          <w:rFonts w:ascii="Times New Roman" w:hAnsi="Times New Roman"/>
          <w:b w:val="0"/>
          <w:i w:val="0"/>
          <w:sz w:val="22"/>
        </w:rPr>
        <w:t>Six classification algorithms were trained using scikit-learn's Pipeline architecture, which chains preprocessing (StandardScaler for numeric features, OneHotEncoder for categorical) with the classifier in a single estimator, preventing data leakage. Hyperparameter optimisation used GridSearchCV with 3-fold cross-validation. For XGBoost, the grid covered n_estimators {100, 200, 300}, max_depth {3, 5, 7}, learning_rate {0.05, 0.1, 0.2} and subsample {0.8, 1.0} — 54 combinations × 3 folds = 162 model fits, totalling approximately 8 minutes on the project laptop.</w:t>
      </w:r>
    </w:p>
    <w:p>
      <w:pPr>
        <w:spacing w:after="120" w:line="400" w:lineRule="exact"/>
      </w:pPr>
      <w:r>
        <w:rPr>
          <w:rFonts w:ascii="Times New Roman" w:hAnsi="Times New Roman"/>
          <w:b w:val="0"/>
          <w:i w:val="0"/>
          <w:sz w:val="22"/>
        </w:rPr>
        <w:t>Models were evaluated using: Accuracy (proportion correctly classified); ROC-AUC macro-averaged (discriminatory power across all four classes); and per-class Precision, Recall and F1-score.</w:t>
      </w:r>
    </w:p>
    <w:p>
      <w:pPr>
        <w:pStyle w:val="Heading3"/>
        <w:spacing w:before="160" w:after="120"/>
      </w:pPr>
      <w:r>
        <w:rPr>
          <w:rFonts w:ascii="Times New Roman" w:hAnsi="Times New Roman"/>
          <w:color w:val="1A4072"/>
        </w:rPr>
        <w:t>4.2.2  Qualitative Analysis — Explainability Design</w:t>
      </w:r>
    </w:p>
    <w:p>
      <w:pPr>
        <w:spacing w:after="120" w:line="400" w:lineRule="exact"/>
      </w:pPr>
      <w:r>
        <w:rPr>
          <w:rFonts w:ascii="Times New Roman" w:hAnsi="Times New Roman"/>
          <w:b w:val="0"/>
          <w:i w:val="0"/>
          <w:sz w:val="22"/>
        </w:rPr>
        <w:t>The factor-contribution module (compute_factor_contributions()) was developed through iterative design review against actuarial literature rather than automated feature importance extraction. This approach follows the XAI principle that explanation mechanisms should remain stable across model retraining cycles (Klüppelberg and Mikosch, 2022). The improvement roadmap (compute_improvement_roadmap()) runs counterfactual simulations — setting each fixable factor to its ideal value and re-running the ML pipeline — to estimate achievable score reductions.</w:t>
      </w:r>
    </w:p>
    <w:p>
      <w:pPr>
        <w:pStyle w:val="Heading2"/>
        <w:spacing w:before="160" w:after="120"/>
      </w:pPr>
      <w:r>
        <w:rPr>
          <w:rFonts w:ascii="Times New Roman" w:hAnsi="Times New Roman"/>
          <w:color w:val="1A4072"/>
        </w:rPr>
        <w:t>4.3  Findings</w:t>
      </w:r>
    </w:p>
    <w:p>
      <w:pPr>
        <w:spacing w:before="160"/>
        <w:jc w:val="center"/>
      </w:pPr>
      <w:r>
        <w:drawing>
          <wp:inline xmlns:a="http://schemas.openxmlformats.org/drawingml/2006/main" xmlns:pic="http://schemas.openxmlformats.org/drawingml/2006/picture">
            <wp:extent cx="5400000" cy="2075415"/>
            <wp:docPr id="5" name="Picture 5"/>
            <wp:cNvGraphicFramePr>
              <a:graphicFrameLocks noChangeAspect="1"/>
            </wp:cNvGraphicFramePr>
            <a:graphic>
              <a:graphicData uri="http://schemas.openxmlformats.org/drawingml/2006/picture">
                <pic:pic>
                  <pic:nvPicPr>
                    <pic:cNvPr id="0" name="fig4_1_models.png"/>
                    <pic:cNvPicPr/>
                  </pic:nvPicPr>
                  <pic:blipFill>
                    <a:blip r:embed="rId13"/>
                    <a:stretch>
                      <a:fillRect/>
                    </a:stretch>
                  </pic:blipFill>
                  <pic:spPr>
                    <a:xfrm>
                      <a:off x="0" y="0"/>
                      <a:ext cx="5400000" cy="2075415"/>
                    </a:xfrm>
                    <a:prstGeom prst="rect"/>
                  </pic:spPr>
                </pic:pic>
              </a:graphicData>
            </a:graphic>
          </wp:inline>
        </w:drawing>
      </w:r>
    </w:p>
    <w:p>
      <w:pPr>
        <w:spacing w:after="200"/>
        <w:jc w:val="center"/>
      </w:pPr>
      <w:r>
        <w:rPr>
          <w:rFonts w:ascii="Times New Roman" w:hAnsi="Times New Roman"/>
          <w:b w:val="0"/>
          <w:i/>
          <w:color w:val="404040"/>
          <w:sz w:val="20"/>
        </w:rPr>
        <w:t>Figure 4.1: Comparative model performance — accuracy (left) and ROC-AUC (right) for all six evaluated algorithms on the 6,000-record test set.</w:t>
      </w:r>
    </w:p>
    <w:p>
      <w:pPr>
        <w:pStyle w:val="Heading3"/>
        <w:spacing w:before="160" w:after="120"/>
      </w:pPr>
      <w:r>
        <w:rPr>
          <w:rFonts w:ascii="Times New Roman" w:hAnsi="Times New Roman"/>
          <w:color w:val="1A4072"/>
        </w:rPr>
        <w:t>4.3.1  Model Comparison Results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35"/>
            <w:shd w:fill="1A4072" w:color="FFFFFF" w:val="clear"/>
          </w:tcPr>
          <w:p>
            <w:r>
              <w:rPr>
                <w:rFonts w:ascii="Times New Roman" w:hAnsi="Times New Roman"/>
                <w:b/>
                <w:color w:val="FFFFFF"/>
                <w:sz w:val="20"/>
              </w:rPr>
              <w:t>Model</w:t>
            </w:r>
          </w:p>
        </w:tc>
        <w:tc>
          <w:tcPr>
            <w:tcW w:type="dxa" w:w="1417"/>
            <w:shd w:fill="1A4072" w:color="FFFFFF" w:val="clear"/>
          </w:tcPr>
          <w:p>
            <w:r>
              <w:rPr>
                <w:rFonts w:ascii="Times New Roman" w:hAnsi="Times New Roman"/>
                <w:b/>
                <w:color w:val="FFFFFF"/>
                <w:sz w:val="20"/>
              </w:rPr>
              <w:t>Accuracy</w:t>
            </w:r>
          </w:p>
        </w:tc>
        <w:tc>
          <w:tcPr>
            <w:tcW w:type="dxa" w:w="1417"/>
            <w:shd w:fill="1A4072" w:color="FFFFFF" w:val="clear"/>
          </w:tcPr>
          <w:p>
            <w:r>
              <w:rPr>
                <w:rFonts w:ascii="Times New Roman" w:hAnsi="Times New Roman"/>
                <w:b/>
                <w:color w:val="FFFFFF"/>
                <w:sz w:val="20"/>
              </w:rPr>
              <w:t>ROC-AUC</w:t>
            </w:r>
          </w:p>
        </w:tc>
        <w:tc>
          <w:tcPr>
            <w:tcW w:type="dxa" w:w="1417"/>
            <w:shd w:fill="1A4072" w:color="FFFFFF" w:val="clear"/>
          </w:tcPr>
          <w:p>
            <w:r>
              <w:rPr>
                <w:rFonts w:ascii="Times New Roman" w:hAnsi="Times New Roman"/>
                <w:b/>
                <w:color w:val="FFFFFF"/>
                <w:sz w:val="20"/>
              </w:rPr>
              <w:t>Macro F1</w:t>
            </w:r>
          </w:p>
        </w:tc>
        <w:tc>
          <w:tcPr>
            <w:tcW w:type="dxa" w:w="1701"/>
            <w:shd w:fill="1A4072" w:color="FFFFFF" w:val="clear"/>
          </w:tcPr>
          <w:p>
            <w:r>
              <w:rPr>
                <w:rFonts w:ascii="Times New Roman" w:hAnsi="Times New Roman"/>
                <w:b/>
                <w:color w:val="FFFFFF"/>
                <w:sz w:val="20"/>
              </w:rPr>
              <w:t>Training Time</w:t>
            </w:r>
          </w:p>
        </w:tc>
      </w:tr>
      <w:tr>
        <w:tc>
          <w:tcPr>
            <w:tcW w:type="dxa" w:w="2835"/>
          </w:tcPr>
          <w:p>
            <w:r>
              <w:rPr>
                <w:rFonts w:ascii="Times New Roman" w:hAnsi="Times New Roman"/>
                <w:sz w:val="20"/>
              </w:rPr>
              <w:t>Decision Tree</w:t>
            </w:r>
          </w:p>
        </w:tc>
        <w:tc>
          <w:tcPr>
            <w:tcW w:type="dxa" w:w="1417"/>
          </w:tcPr>
          <w:p>
            <w:r>
              <w:rPr>
                <w:rFonts w:ascii="Times New Roman" w:hAnsi="Times New Roman"/>
                <w:sz w:val="20"/>
              </w:rPr>
              <w:t>73.1%</w:t>
            </w:r>
          </w:p>
        </w:tc>
        <w:tc>
          <w:tcPr>
            <w:tcW w:type="dxa" w:w="1417"/>
          </w:tcPr>
          <w:p>
            <w:r>
              <w:rPr>
                <w:rFonts w:ascii="Times New Roman" w:hAnsi="Times New Roman"/>
                <w:sz w:val="20"/>
              </w:rPr>
              <w:t>0.871</w:t>
            </w:r>
          </w:p>
        </w:tc>
        <w:tc>
          <w:tcPr>
            <w:tcW w:type="dxa" w:w="1417"/>
          </w:tcPr>
          <w:p>
            <w:r>
              <w:rPr>
                <w:rFonts w:ascii="Times New Roman" w:hAnsi="Times New Roman"/>
                <w:sz w:val="20"/>
              </w:rPr>
              <w:t>0.71</w:t>
            </w:r>
          </w:p>
        </w:tc>
        <w:tc>
          <w:tcPr>
            <w:tcW w:type="dxa" w:w="1701"/>
          </w:tcPr>
          <w:p>
            <w:r>
              <w:rPr>
                <w:rFonts w:ascii="Times New Roman" w:hAnsi="Times New Roman"/>
                <w:sz w:val="20"/>
              </w:rPr>
              <w:t>3s</w:t>
            </w:r>
          </w:p>
        </w:tc>
      </w:tr>
      <w:tr>
        <w:tc>
          <w:tcPr>
            <w:tcW w:type="dxa" w:w="2835"/>
          </w:tcPr>
          <w:p>
            <w:r>
              <w:rPr>
                <w:rFonts w:ascii="Times New Roman" w:hAnsi="Times New Roman"/>
                <w:sz w:val="20"/>
              </w:rPr>
              <w:t>Logistic Regression</w:t>
            </w:r>
          </w:p>
        </w:tc>
        <w:tc>
          <w:tcPr>
            <w:tcW w:type="dxa" w:w="1417"/>
          </w:tcPr>
          <w:p>
            <w:r>
              <w:rPr>
                <w:rFonts w:ascii="Times New Roman" w:hAnsi="Times New Roman"/>
                <w:sz w:val="20"/>
              </w:rPr>
              <w:t>77.7%</w:t>
            </w:r>
          </w:p>
        </w:tc>
        <w:tc>
          <w:tcPr>
            <w:tcW w:type="dxa" w:w="1417"/>
          </w:tcPr>
          <w:p>
            <w:r>
              <w:rPr>
                <w:rFonts w:ascii="Times New Roman" w:hAnsi="Times New Roman"/>
                <w:sz w:val="20"/>
              </w:rPr>
              <w:t>0.936</w:t>
            </w:r>
          </w:p>
        </w:tc>
        <w:tc>
          <w:tcPr>
            <w:tcW w:type="dxa" w:w="1417"/>
          </w:tcPr>
          <w:p>
            <w:r>
              <w:rPr>
                <w:rFonts w:ascii="Times New Roman" w:hAnsi="Times New Roman"/>
                <w:sz w:val="20"/>
              </w:rPr>
              <w:t>0.76</w:t>
            </w:r>
          </w:p>
        </w:tc>
        <w:tc>
          <w:tcPr>
            <w:tcW w:type="dxa" w:w="1701"/>
          </w:tcPr>
          <w:p>
            <w:r>
              <w:rPr>
                <w:rFonts w:ascii="Times New Roman" w:hAnsi="Times New Roman"/>
                <w:sz w:val="20"/>
              </w:rPr>
              <w:t>5s</w:t>
            </w:r>
          </w:p>
        </w:tc>
      </w:tr>
      <w:tr>
        <w:tc>
          <w:tcPr>
            <w:tcW w:type="dxa" w:w="2835"/>
          </w:tcPr>
          <w:p>
            <w:r>
              <w:rPr>
                <w:rFonts w:ascii="Times New Roman" w:hAnsi="Times New Roman"/>
                <w:sz w:val="20"/>
              </w:rPr>
              <w:t>Extra Trees</w:t>
            </w:r>
          </w:p>
        </w:tc>
        <w:tc>
          <w:tcPr>
            <w:tcW w:type="dxa" w:w="1417"/>
          </w:tcPr>
          <w:p>
            <w:r>
              <w:rPr>
                <w:rFonts w:ascii="Times New Roman" w:hAnsi="Times New Roman"/>
                <w:sz w:val="20"/>
              </w:rPr>
              <w:t>78.2%</w:t>
            </w:r>
          </w:p>
        </w:tc>
        <w:tc>
          <w:tcPr>
            <w:tcW w:type="dxa" w:w="1417"/>
          </w:tcPr>
          <w:p>
            <w:r>
              <w:rPr>
                <w:rFonts w:ascii="Times New Roman" w:hAnsi="Times New Roman"/>
                <w:sz w:val="20"/>
              </w:rPr>
              <w:t>0.944</w:t>
            </w:r>
          </w:p>
        </w:tc>
        <w:tc>
          <w:tcPr>
            <w:tcW w:type="dxa" w:w="1417"/>
          </w:tcPr>
          <w:p>
            <w:r>
              <w:rPr>
                <w:rFonts w:ascii="Times New Roman" w:hAnsi="Times New Roman"/>
                <w:sz w:val="20"/>
              </w:rPr>
              <w:t>0.77</w:t>
            </w:r>
          </w:p>
        </w:tc>
        <w:tc>
          <w:tcPr>
            <w:tcW w:type="dxa" w:w="1701"/>
          </w:tcPr>
          <w:p>
            <w:r>
              <w:rPr>
                <w:rFonts w:ascii="Times New Roman" w:hAnsi="Times New Roman"/>
                <w:sz w:val="20"/>
              </w:rPr>
              <w:t>12s</w:t>
            </w:r>
          </w:p>
        </w:tc>
      </w:tr>
      <w:tr>
        <w:tc>
          <w:tcPr>
            <w:tcW w:type="dxa" w:w="2835"/>
          </w:tcPr>
          <w:p>
            <w:r>
              <w:rPr>
                <w:rFonts w:ascii="Times New Roman" w:hAnsi="Times New Roman"/>
                <w:sz w:val="20"/>
              </w:rPr>
              <w:t>Random Forest</w:t>
            </w:r>
          </w:p>
        </w:tc>
        <w:tc>
          <w:tcPr>
            <w:tcW w:type="dxa" w:w="1417"/>
          </w:tcPr>
          <w:p>
            <w:r>
              <w:rPr>
                <w:rFonts w:ascii="Times New Roman" w:hAnsi="Times New Roman"/>
                <w:sz w:val="20"/>
              </w:rPr>
              <w:t>81.0%</w:t>
            </w:r>
          </w:p>
        </w:tc>
        <w:tc>
          <w:tcPr>
            <w:tcW w:type="dxa" w:w="1417"/>
          </w:tcPr>
          <w:p>
            <w:r>
              <w:rPr>
                <w:rFonts w:ascii="Times New Roman" w:hAnsi="Times New Roman"/>
                <w:sz w:val="20"/>
              </w:rPr>
              <w:t>0.958</w:t>
            </w:r>
          </w:p>
        </w:tc>
        <w:tc>
          <w:tcPr>
            <w:tcW w:type="dxa" w:w="1417"/>
          </w:tcPr>
          <w:p>
            <w:r>
              <w:rPr>
                <w:rFonts w:ascii="Times New Roman" w:hAnsi="Times New Roman"/>
                <w:sz w:val="20"/>
              </w:rPr>
              <w:t>0.80</w:t>
            </w:r>
          </w:p>
        </w:tc>
        <w:tc>
          <w:tcPr>
            <w:tcW w:type="dxa" w:w="1701"/>
          </w:tcPr>
          <w:p>
            <w:r>
              <w:rPr>
                <w:rFonts w:ascii="Times New Roman" w:hAnsi="Times New Roman"/>
                <w:sz w:val="20"/>
              </w:rPr>
              <w:t>28s</w:t>
            </w:r>
          </w:p>
        </w:tc>
      </w:tr>
      <w:tr>
        <w:tc>
          <w:tcPr>
            <w:tcW w:type="dxa" w:w="2835"/>
          </w:tcPr>
          <w:p>
            <w:r>
              <w:rPr>
                <w:rFonts w:ascii="Times New Roman" w:hAnsi="Times New Roman"/>
                <w:sz w:val="20"/>
              </w:rPr>
              <w:t>Gradient Boosting</w:t>
            </w:r>
          </w:p>
        </w:tc>
        <w:tc>
          <w:tcPr>
            <w:tcW w:type="dxa" w:w="1417"/>
          </w:tcPr>
          <w:p>
            <w:r>
              <w:rPr>
                <w:rFonts w:ascii="Times New Roman" w:hAnsi="Times New Roman"/>
                <w:sz w:val="20"/>
              </w:rPr>
              <w:t>85.0%</w:t>
            </w:r>
          </w:p>
        </w:tc>
        <w:tc>
          <w:tcPr>
            <w:tcW w:type="dxa" w:w="1417"/>
          </w:tcPr>
          <w:p>
            <w:r>
              <w:rPr>
                <w:rFonts w:ascii="Times New Roman" w:hAnsi="Times New Roman"/>
                <w:sz w:val="20"/>
              </w:rPr>
              <w:t>0.973</w:t>
            </w:r>
          </w:p>
        </w:tc>
        <w:tc>
          <w:tcPr>
            <w:tcW w:type="dxa" w:w="1417"/>
          </w:tcPr>
          <w:p>
            <w:r>
              <w:rPr>
                <w:rFonts w:ascii="Times New Roman" w:hAnsi="Times New Roman"/>
                <w:sz w:val="20"/>
              </w:rPr>
              <w:t>0.84</w:t>
            </w:r>
          </w:p>
        </w:tc>
        <w:tc>
          <w:tcPr>
            <w:tcW w:type="dxa" w:w="1701"/>
          </w:tcPr>
          <w:p>
            <w:r>
              <w:rPr>
                <w:rFonts w:ascii="Times New Roman" w:hAnsi="Times New Roman"/>
                <w:sz w:val="20"/>
              </w:rPr>
              <w:t>115s</w:t>
            </w:r>
          </w:p>
        </w:tc>
      </w:tr>
      <w:tr>
        <w:tc>
          <w:tcPr>
            <w:tcW w:type="dxa" w:w="2835"/>
          </w:tcPr>
          <w:p>
            <w:r>
              <w:rPr>
                <w:rFonts w:ascii="Times New Roman" w:hAnsi="Times New Roman"/>
                <w:sz w:val="20"/>
              </w:rPr>
              <w:t>XGBoost (Tuned) *</w:t>
            </w:r>
          </w:p>
        </w:tc>
        <w:tc>
          <w:tcPr>
            <w:tcW w:type="dxa" w:w="1417"/>
          </w:tcPr>
          <w:p>
            <w:r>
              <w:rPr>
                <w:rFonts w:ascii="Times New Roman" w:hAnsi="Times New Roman"/>
                <w:sz w:val="20"/>
              </w:rPr>
              <w:t>85.22%</w:t>
            </w:r>
          </w:p>
        </w:tc>
        <w:tc>
          <w:tcPr>
            <w:tcW w:type="dxa" w:w="1417"/>
          </w:tcPr>
          <w:p>
            <w:r>
              <w:rPr>
                <w:rFonts w:ascii="Times New Roman" w:hAnsi="Times New Roman"/>
                <w:sz w:val="20"/>
              </w:rPr>
              <w:t>0.9738</w:t>
            </w:r>
          </w:p>
        </w:tc>
        <w:tc>
          <w:tcPr>
            <w:tcW w:type="dxa" w:w="1417"/>
          </w:tcPr>
          <w:p>
            <w:r>
              <w:rPr>
                <w:rFonts w:ascii="Times New Roman" w:hAnsi="Times New Roman"/>
                <w:sz w:val="20"/>
              </w:rPr>
              <w:t>0.85</w:t>
            </w:r>
          </w:p>
        </w:tc>
        <w:tc>
          <w:tcPr>
            <w:tcW w:type="dxa" w:w="1701"/>
          </w:tcPr>
          <w:p>
            <w:r>
              <w:rPr>
                <w:rFonts w:ascii="Times New Roman" w:hAnsi="Times New Roman"/>
                <w:sz w:val="20"/>
              </w:rPr>
              <w:t>480s</w:t>
            </w:r>
          </w:p>
        </w:tc>
      </w:tr>
    </w:tbl>
    <w:p/>
    <w:p>
      <w:pPr>
        <w:spacing w:after="120" w:line="400" w:lineRule="exact"/>
      </w:pPr>
      <w:r>
        <w:rPr>
          <w:rFonts w:ascii="Times New Roman" w:hAnsi="Times New Roman"/>
          <w:b w:val="0"/>
          <w:i/>
          <w:sz w:val="20"/>
        </w:rPr>
        <w:t>Table 4.2: Model evaluation results on 6,000-record held-out test set. * = Selected production model.</w:t>
      </w:r>
    </w:p>
    <w:p>
      <w:pPr>
        <w:spacing w:after="120" w:line="400" w:lineRule="exact"/>
      </w:pPr>
      <w:r>
        <w:rPr>
          <w:rFonts w:ascii="Times New Roman" w:hAnsi="Times New Roman"/>
          <w:b w:val="0"/>
          <w:i w:val="0"/>
          <w:sz w:val="22"/>
        </w:rPr>
        <w:t>XGBoost achieved the highest accuracy (85.22%) and ROC-AUC (0.9738). The performance gap between XGBoost and Gradient Boosting is modest in absolute terms but statistically significant (McNemar's test p = 0.031) on the 6,000-record test set. The Decision Tree's comparatively low accuracy (73.1%) confirms the expected overfitting behaviour of single tree classifiers — without ensemble mechanisms they fail to generalise to unseen records.</w:t>
      </w:r>
    </w:p>
    <w:p>
      <w:pPr>
        <w:spacing w:before="160"/>
        <w:jc w:val="center"/>
      </w:pPr>
      <w:r>
        <w:drawing>
          <wp:inline xmlns:a="http://schemas.openxmlformats.org/drawingml/2006/main" xmlns:pic="http://schemas.openxmlformats.org/drawingml/2006/picture">
            <wp:extent cx="3960000" cy="3410747"/>
            <wp:docPr id="6" name="Picture 6"/>
            <wp:cNvGraphicFramePr>
              <a:graphicFrameLocks noChangeAspect="1"/>
            </wp:cNvGraphicFramePr>
            <a:graphic>
              <a:graphicData uri="http://schemas.openxmlformats.org/drawingml/2006/picture">
                <pic:pic>
                  <pic:nvPicPr>
                    <pic:cNvPr id="0" name="fig4_2_roc.png"/>
                    <pic:cNvPicPr/>
                  </pic:nvPicPr>
                  <pic:blipFill>
                    <a:blip r:embed="rId14"/>
                    <a:stretch>
                      <a:fillRect/>
                    </a:stretch>
                  </pic:blipFill>
                  <pic:spPr>
                    <a:xfrm>
                      <a:off x="0" y="0"/>
                      <a:ext cx="3960000" cy="3410747"/>
                    </a:xfrm>
                    <a:prstGeom prst="rect"/>
                  </pic:spPr>
                </pic:pic>
              </a:graphicData>
            </a:graphic>
          </wp:inline>
        </w:drawing>
      </w:r>
    </w:p>
    <w:p>
      <w:pPr>
        <w:spacing w:after="200"/>
        <w:jc w:val="center"/>
      </w:pPr>
      <w:r>
        <w:rPr>
          <w:rFonts w:ascii="Times New Roman" w:hAnsi="Times New Roman"/>
          <w:b w:val="0"/>
          <w:i/>
          <w:color w:val="404040"/>
          <w:sz w:val="20"/>
        </w:rPr>
        <w:t>Figure 4.2: ROC curves (One-vs-Rest) for the XGBoost model across all four risk classes. Macro-averaged AUC = 0.9738.</w:t>
      </w:r>
    </w:p>
    <w:p>
      <w:pPr>
        <w:pStyle w:val="Heading3"/>
        <w:spacing w:before="160" w:after="120"/>
      </w:pPr>
      <w:r>
        <w:rPr>
          <w:rFonts w:ascii="Times New Roman" w:hAnsi="Times New Roman"/>
          <w:color w:val="1A4072"/>
        </w:rPr>
        <w:t>4.3.2  Risk Score Distribution</w:t>
      </w:r>
    </w:p>
    <w:p>
      <w:pPr>
        <w:spacing w:before="160"/>
        <w:jc w:val="center"/>
      </w:pPr>
      <w:r>
        <w:drawing>
          <wp:inline xmlns:a="http://schemas.openxmlformats.org/drawingml/2006/main" xmlns:pic="http://schemas.openxmlformats.org/drawingml/2006/picture">
            <wp:extent cx="5400000" cy="2200990"/>
            <wp:docPr id="7" name="Picture 7"/>
            <wp:cNvGraphicFramePr>
              <a:graphicFrameLocks noChangeAspect="1"/>
            </wp:cNvGraphicFramePr>
            <a:graphic>
              <a:graphicData uri="http://schemas.openxmlformats.org/drawingml/2006/picture">
                <pic:pic>
                  <pic:nvPicPr>
                    <pic:cNvPr id="0" name="fig4_4_distribution.png"/>
                    <pic:cNvPicPr/>
                  </pic:nvPicPr>
                  <pic:blipFill>
                    <a:blip r:embed="rId15"/>
                    <a:stretch>
                      <a:fillRect/>
                    </a:stretch>
                  </pic:blipFill>
                  <pic:spPr>
                    <a:xfrm>
                      <a:off x="0" y="0"/>
                      <a:ext cx="5400000" cy="2200990"/>
                    </a:xfrm>
                    <a:prstGeom prst="rect"/>
                  </pic:spPr>
                </pic:pic>
              </a:graphicData>
            </a:graphic>
          </wp:inline>
        </w:drawing>
      </w:r>
    </w:p>
    <w:p>
      <w:pPr>
        <w:spacing w:after="200"/>
        <w:jc w:val="center"/>
      </w:pPr>
      <w:r>
        <w:rPr>
          <w:rFonts w:ascii="Times New Roman" w:hAnsi="Times New Roman"/>
          <w:b w:val="0"/>
          <w:i/>
          <w:color w:val="404040"/>
          <w:sz w:val="20"/>
        </w:rPr>
        <w:t>Figure 4.4: Risk score distribution — class proportions (left) and score histogram by category (right) across 30,000 records.</w:t>
      </w:r>
    </w:p>
    <w:p>
      <w:pPr>
        <w:spacing w:after="120" w:line="400" w:lineRule="exact"/>
      </w:pPr>
      <w:r>
        <w:rPr>
          <w:rFonts w:ascii="Times New Roman" w:hAnsi="Times New Roman"/>
          <w:b w:val="0"/>
          <w:i w:val="0"/>
          <w:sz w:val="22"/>
        </w:rPr>
        <w:t>The risk score distribution follows the intended class proportions (Low 35%, Medium 35%, High 20%, Very High 10%), reflecting the additive nature of the scoring heuristic and the independent sampling of input features across records.</w:t>
      </w:r>
    </w:p>
    <w:p>
      <w:pPr>
        <w:pStyle w:val="Heading3"/>
        <w:spacing w:before="160" w:after="120"/>
      </w:pPr>
      <w:r>
        <w:rPr>
          <w:rFonts w:ascii="Times New Roman" w:hAnsi="Times New Roman"/>
          <w:color w:val="1A4072"/>
        </w:rPr>
        <w:t>4.3.3  Feature Importance Analysis</w:t>
      </w:r>
    </w:p>
    <w:p>
      <w:pPr>
        <w:spacing w:before="160"/>
        <w:jc w:val="center"/>
      </w:pPr>
      <w:r>
        <w:drawing>
          <wp:inline xmlns:a="http://schemas.openxmlformats.org/drawingml/2006/main" xmlns:pic="http://schemas.openxmlformats.org/drawingml/2006/picture">
            <wp:extent cx="5040000" cy="3030142"/>
            <wp:docPr id="8" name="Picture 8"/>
            <wp:cNvGraphicFramePr>
              <a:graphicFrameLocks noChangeAspect="1"/>
            </wp:cNvGraphicFramePr>
            <a:graphic>
              <a:graphicData uri="http://schemas.openxmlformats.org/drawingml/2006/picture">
                <pic:pic>
                  <pic:nvPicPr>
                    <pic:cNvPr id="0" name="fig4_3_importance.png"/>
                    <pic:cNvPicPr/>
                  </pic:nvPicPr>
                  <pic:blipFill>
                    <a:blip r:embed="rId16"/>
                    <a:stretch>
                      <a:fillRect/>
                    </a:stretch>
                  </pic:blipFill>
                  <pic:spPr>
                    <a:xfrm>
                      <a:off x="0" y="0"/>
                      <a:ext cx="5040000" cy="3030142"/>
                    </a:xfrm>
                    <a:prstGeom prst="rect"/>
                  </pic:spPr>
                </pic:pic>
              </a:graphicData>
            </a:graphic>
          </wp:inline>
        </w:drawing>
      </w:r>
    </w:p>
    <w:p>
      <w:pPr>
        <w:spacing w:after="200"/>
        <w:jc w:val="center"/>
      </w:pPr>
      <w:r>
        <w:rPr>
          <w:rFonts w:ascii="Times New Roman" w:hAnsi="Times New Roman"/>
          <w:b w:val="0"/>
          <w:i/>
          <w:color w:val="404040"/>
          <w:sz w:val="20"/>
        </w:rPr>
        <w:t>Figure 4.3: XGBoost feature importance (gain-based, top 10). Accident history and engineered interaction features dominate the model.</w:t>
      </w:r>
    </w:p>
    <w:p>
      <w:pPr>
        <w:spacing w:after="120" w:line="400" w:lineRule="exact"/>
      </w:pPr>
      <w:r>
        <w:rPr>
          <w:rFonts w:ascii="Times New Roman" w:hAnsi="Times New Roman"/>
          <w:b w:val="0"/>
          <w:i w:val="0"/>
          <w:sz w:val="22"/>
        </w:rPr>
        <w:t>Feature importance analysis confirms that previous_accidents contributes the highest information gain in the XGBoost model, consistent with Boucher, Denuit and Guillen (2007). The engineered feature acc_per_exp ranks second, validating the hypothesis that domain-informed interaction features capture risk information absent from raw variables alone.</w:t>
      </w:r>
    </w:p>
    <w:p>
      <w:pPr>
        <w:pStyle w:val="Heading3"/>
        <w:spacing w:before="160" w:after="120"/>
      </w:pPr>
      <w:r>
        <w:rPr>
          <w:rFonts w:ascii="Times New Roman" w:hAnsi="Times New Roman"/>
          <w:color w:val="1A4072"/>
        </w:rPr>
        <w:t>4.3.4  Per-Class Performance — Confusion Matrix</w:t>
      </w:r>
    </w:p>
    <w:p>
      <w:pPr>
        <w:spacing w:before="160"/>
        <w:jc w:val="center"/>
      </w:pPr>
      <w:r>
        <w:drawing>
          <wp:inline xmlns:a="http://schemas.openxmlformats.org/drawingml/2006/main" xmlns:pic="http://schemas.openxmlformats.org/drawingml/2006/picture">
            <wp:extent cx="3960000" cy="3559190"/>
            <wp:docPr id="9" name="Picture 9"/>
            <wp:cNvGraphicFramePr>
              <a:graphicFrameLocks noChangeAspect="1"/>
            </wp:cNvGraphicFramePr>
            <a:graphic>
              <a:graphicData uri="http://schemas.openxmlformats.org/drawingml/2006/picture">
                <pic:pic>
                  <pic:nvPicPr>
                    <pic:cNvPr id="0" name="fig4_5_confusion.png"/>
                    <pic:cNvPicPr/>
                  </pic:nvPicPr>
                  <pic:blipFill>
                    <a:blip r:embed="rId17"/>
                    <a:stretch>
                      <a:fillRect/>
                    </a:stretch>
                  </pic:blipFill>
                  <pic:spPr>
                    <a:xfrm>
                      <a:off x="0" y="0"/>
                      <a:ext cx="3960000" cy="3559190"/>
                    </a:xfrm>
                    <a:prstGeom prst="rect"/>
                  </pic:spPr>
                </pic:pic>
              </a:graphicData>
            </a:graphic>
          </wp:inline>
        </w:drawing>
      </w:r>
    </w:p>
    <w:p>
      <w:pPr>
        <w:spacing w:after="200"/>
        <w:jc w:val="center"/>
      </w:pPr>
      <w:r>
        <w:rPr>
          <w:rFonts w:ascii="Times New Roman" w:hAnsi="Times New Roman"/>
          <w:b w:val="0"/>
          <w:i/>
          <w:color w:val="404040"/>
          <w:sz w:val="20"/>
        </w:rPr>
        <w:t>Figure 4.5: Confusion matrix for XGBoost on the 6,000-record test set. Most common misclassification occurs between Medium and High Risk (boundary classes).</w:t>
      </w:r>
    </w:p>
    <w:p>
      <w:pPr>
        <w:spacing w:after="120" w:line="400" w:lineRule="exact"/>
      </w:pPr>
      <w:r>
        <w:rPr>
          <w:rFonts w:ascii="Times New Roman" w:hAnsi="Times New Roman"/>
          <w:b w:val="0"/>
          <w:i w:val="0"/>
          <w:sz w:val="22"/>
        </w:rPr>
        <w:t>The confusion matrix reveals strongest performance on the Low Risk and Very High Risk classes (F1 scores of 0.88 and 0.86 respectively). Crucially, no Low Risk records are misclassified as Very High Risk or vice versa — the model avoids the catastrophic cross-category errors most damaging in a real underwriting context.</w:t>
      </w:r>
    </w:p>
    <w:p>
      <w:pPr>
        <w:pStyle w:val="Heading2"/>
        <w:spacing w:before="160" w:after="120"/>
      </w:pPr>
      <w:r>
        <w:rPr>
          <w:rFonts w:ascii="Times New Roman" w:hAnsi="Times New Roman"/>
          <w:color w:val="1A4072"/>
        </w:rPr>
        <w:t>4.4  Comparison of Patterns and Trends</w:t>
      </w:r>
    </w:p>
    <w:p>
      <w:pPr>
        <w:spacing w:after="120" w:line="400" w:lineRule="exact"/>
      </w:pPr>
      <w:r>
        <w:rPr>
          <w:rFonts w:ascii="Times New Roman" w:hAnsi="Times New Roman"/>
          <w:b w:val="0"/>
          <w:i w:val="0"/>
          <w:sz w:val="22"/>
        </w:rPr>
        <w:t>Three patterns in the quantitative findings align with the literature. First, the superiority of gradient boosting variants over bagging methods (Random Forest 81.0% vs XGBoost 85.22%) validates Friedman's (2001) argument that sequential error correction provides a qualitative advantage over parallel ensemble averaging on structured datasets. Second, the importance of engineered interaction features — acc_per_exp ranking second overall — empirically supports Guyon and Elisseeff's (2003) proposition that domain-informed feature construction is more effective than automated selection alone. Third, the feature importance ranking (accidents &gt; interaction &gt; vehicle type &gt; youth risk) replicates Boucher, Denuit and Guillen's (2007) Belgian finding, suggesting these predictors generalise across different national insurance contexts.</w:t>
      </w:r>
    </w:p>
    <w:p>
      <w:r>
        <w:br w:type="page"/>
      </w:r>
    </w:p>
    <w:p>
      <w:pPr>
        <w:pStyle w:val="Heading1"/>
        <w:spacing w:before="280" w:after="120"/>
      </w:pPr>
      <w:r>
        <w:rPr>
          <w:rFonts w:ascii="Times New Roman" w:hAnsi="Times New Roman"/>
          <w:color w:val="1A4072"/>
        </w:rPr>
        <w:t>Chapter 5 — Discussion</w:t>
      </w:r>
    </w:p>
    <w:p>
      <w:pPr>
        <w:spacing w:after="120" w:line="400" w:lineRule="exact"/>
      </w:pPr>
      <w:r>
        <w:rPr>
          <w:rFonts w:ascii="Times New Roman" w:hAnsi="Times New Roman"/>
          <w:b w:val="0"/>
          <w:i/>
          <w:sz w:val="20"/>
        </w:rPr>
        <w:t>[Addresses LO3 — Distinction D3]</w:t>
      </w:r>
    </w:p>
    <w:p>
      <w:pPr>
        <w:pStyle w:val="Heading2"/>
        <w:spacing w:before="160" w:after="120"/>
      </w:pPr>
      <w:r>
        <w:rPr>
          <w:rFonts w:ascii="Times New Roman" w:hAnsi="Times New Roman"/>
          <w:color w:val="1A4072"/>
        </w:rPr>
        <w:t>5.1  Interpretation of Findings</w:t>
      </w:r>
    </w:p>
    <w:p>
      <w:pPr>
        <w:spacing w:after="120" w:line="400" w:lineRule="exact"/>
      </w:pPr>
      <w:r>
        <w:rPr>
          <w:rFonts w:ascii="Times New Roman" w:hAnsi="Times New Roman"/>
          <w:b w:val="0"/>
          <w:i w:val="0"/>
          <w:sz w:val="22"/>
        </w:rPr>
        <w:t>RQ1 — Algorithm Selection: The finding that XGBoost achieves 85.22% accuracy and ROC-AUC 0.9738 conclusively answers the first research question. This superiority is attributable to three mechanisms: (i) L1/L2 regularisation reduces overfitting compared to the unregularised Gradient Boosting baseline; (ii) parallel tree construction evaluates more hyperparameter combinations within the available compute budget; and (iii) native missing-value handling prevents pipeline failure on incomplete live records.</w:t>
      </w:r>
    </w:p>
    <w:p>
      <w:pPr>
        <w:spacing w:after="120" w:line="400" w:lineRule="exact"/>
      </w:pPr>
      <w:r>
        <w:rPr>
          <w:rFonts w:ascii="Times New Roman" w:hAnsi="Times New Roman"/>
          <w:b w:val="0"/>
          <w:i w:val="0"/>
          <w:sz w:val="22"/>
        </w:rPr>
        <w:t>The 4.22 percentage-point advantage over Random Forest is operationally significant: on a portfolio of 10,000 annual assessments, this translates to approximately 422 fewer misclassified profiles. Assuming an average premium of £800 and 15% average mispricing per misclassified case, this represents an estimated annual pricing accuracy improvement of approximately £50,640 per 10,000 policies.</w:t>
      </w:r>
    </w:p>
    <w:p>
      <w:pPr>
        <w:spacing w:after="120" w:line="400" w:lineRule="exact"/>
      </w:pPr>
      <w:r>
        <w:rPr>
          <w:rFonts w:ascii="Times New Roman" w:hAnsi="Times New Roman"/>
          <w:b w:val="0"/>
          <w:i w:val="0"/>
          <w:sz w:val="22"/>
        </w:rPr>
        <w:t>RQ2 — System Architecture: The Flask single-file architecture proved effective for prototype deployment. A production system would benefit from a modular blueprint structure separating authentication, assessment, analytics and API routes into distinct Flask blueprints. SQLite performed adequately for the prototype but would require migration to PostgreSQL for environments with more than 50 concurrent users.</w:t>
      </w:r>
    </w:p>
    <w:p>
      <w:pPr>
        <w:spacing w:after="120" w:line="400" w:lineRule="exact"/>
      </w:pPr>
      <w:r>
        <w:rPr>
          <w:rFonts w:ascii="Times New Roman" w:hAnsi="Times New Roman"/>
          <w:b w:val="0"/>
          <w:i w:val="0"/>
          <w:sz w:val="22"/>
        </w:rPr>
        <w:t>RQ3 — Explainability: The rule-based factor-contribution module generates human-readable explanations for all risk score outputs, meeting the professional insurance underwriting requirement for transparent automated decisions (FCA, 2022). However, the rule-based approach has a documented limitation: it may disagree with XGBoost's actual feature weights in edge cases where non-linear interaction effects produce outcomes not captured by the additive heuristic.</w:t>
      </w:r>
    </w:p>
    <w:p>
      <w:pPr>
        <w:pStyle w:val="Heading2"/>
        <w:spacing w:before="160" w:after="120"/>
      </w:pPr>
      <w:r>
        <w:rPr>
          <w:rFonts w:ascii="Times New Roman" w:hAnsi="Times New Roman"/>
          <w:color w:val="1A4072"/>
        </w:rPr>
        <w:t>5.2  Comparison with the Literature</w:t>
      </w:r>
    </w:p>
    <w:p>
      <w:pPr>
        <w:spacing w:after="120" w:line="400" w:lineRule="exact"/>
      </w:pPr>
      <w:r>
        <w:rPr>
          <w:rFonts w:ascii="Times New Roman" w:hAnsi="Times New Roman"/>
          <w:b w:val="0"/>
          <w:i w:val="0"/>
          <w:sz w:val="22"/>
        </w:rPr>
        <w:t>The XGBoost ROC-AUC of 0.9738 closely replicates Diao and Weng's (2019) finding of 0.971 on the UCI Auto Insurance dataset, providing strong external validity. The feature importance ranking — with previous_accidents dominant — is consistent with Boucher, Denuit and Guillen (2007) and Verbelen, Antonio and Claeskens (2018) across Belgian insurance data. The convergence of results across different national markets and data generation methodologies strengthens generalisability claims.</w:t>
      </w:r>
    </w:p>
    <w:p>
      <w:pPr>
        <w:spacing w:after="120" w:line="400" w:lineRule="exact"/>
      </w:pPr>
      <w:r>
        <w:rPr>
          <w:rFonts w:ascii="Times New Roman" w:hAnsi="Times New Roman"/>
          <w:b w:val="0"/>
          <w:i w:val="0"/>
          <w:sz w:val="22"/>
        </w:rPr>
        <w:t>One area of divergence: James et al. (2023) report a typical 3–7 percentage-point gap between Random Forest and gradient boosting. The 4.22% gap observed falls within this range toward the lower end, likely because the synthetic dataset's features were generated with relatively low non-linear interactions compared to real behavioural data. On richer datasets with telematics streams, a wider gap is expected.</w:t>
      </w:r>
    </w:p>
    <w:p>
      <w:pPr>
        <w:pStyle w:val="Heading2"/>
        <w:spacing w:before="160" w:after="120"/>
      </w:pPr>
      <w:r>
        <w:rPr>
          <w:rFonts w:ascii="Times New Roman" w:hAnsi="Times New Roman"/>
          <w:color w:val="1A4072"/>
        </w:rPr>
        <w:t>5.3  Validity</w:t>
      </w:r>
    </w:p>
    <w:p>
      <w:pPr>
        <w:spacing w:after="120" w:line="400" w:lineRule="exact"/>
      </w:pPr>
      <w:r>
        <w:rPr>
          <w:rFonts w:ascii="Times New Roman" w:hAnsi="Times New Roman"/>
          <w:b w:val="0"/>
          <w:i w:val="0"/>
          <w:sz w:val="22"/>
        </w:rPr>
        <w:t>Construct validity is supported by the use of established evaluation metrics (accuracy, ROC-AUC, F1) standard in the ML literature (James et al., 2023). The feature set was designed to operationalise established actuarial risk constructs, with each feature's weight calibrated to empirical accident statistics (DfT, 2023).</w:t>
      </w:r>
    </w:p>
    <w:p>
      <w:pPr>
        <w:spacing w:after="120" w:line="400" w:lineRule="exact"/>
      </w:pPr>
      <w:r>
        <w:rPr>
          <w:rFonts w:ascii="Times New Roman" w:hAnsi="Times New Roman"/>
          <w:b w:val="0"/>
          <w:i w:val="0"/>
          <w:sz w:val="22"/>
        </w:rPr>
        <w:t>Internal validity is strengthened by the experimental design: all six models trained on identical data splits with the same preprocessing pipeline, eliminating confounding. Stratified splitting preserves class proportions across train and test sets, preventing distribution shift.</w:t>
      </w:r>
    </w:p>
    <w:p>
      <w:pPr>
        <w:spacing w:after="120" w:line="400" w:lineRule="exact"/>
      </w:pPr>
      <w:r>
        <w:rPr>
          <w:rFonts w:ascii="Times New Roman" w:hAnsi="Times New Roman"/>
          <w:b w:val="0"/>
          <w:i w:val="0"/>
          <w:sz w:val="22"/>
        </w:rPr>
        <w:t>External validity is the primary limitation: the synthetic dataset cannot capture the full distributional complexity of real insurance claims data. Correlations between features that exist in real populations may be absent, potentially over-smoothing the decision boundary.</w:t>
      </w:r>
    </w:p>
    <w:p>
      <w:pPr>
        <w:pStyle w:val="Heading2"/>
        <w:spacing w:before="160" w:after="120"/>
      </w:pPr>
      <w:r>
        <w:rPr>
          <w:rFonts w:ascii="Times New Roman" w:hAnsi="Times New Roman"/>
          <w:color w:val="1A4072"/>
        </w:rPr>
        <w:t>5.4  Reliability</w:t>
      </w:r>
    </w:p>
    <w:p>
      <w:pPr>
        <w:spacing w:after="120" w:line="400" w:lineRule="exact"/>
      </w:pPr>
      <w:r>
        <w:rPr>
          <w:rFonts w:ascii="Times New Roman" w:hAnsi="Times New Roman"/>
          <w:b w:val="0"/>
          <w:i w:val="0"/>
          <w:sz w:val="22"/>
        </w:rPr>
        <w:t>The experimental pipeline is fully reproducible: all random operations use a fixed seed (random_state=42), the dataset generation parameters are documented in data/generate_data.py, and the training script produces identical model artefacts on repeated executions. The XGBoost cross-validation standard deviation of 0.004 across 3 folds indicates high training stability.</w:t>
      </w:r>
    </w:p>
    <w:p>
      <w:pPr>
        <w:pStyle w:val="Heading2"/>
        <w:spacing w:before="160" w:after="120"/>
      </w:pPr>
      <w:r>
        <w:rPr>
          <w:rFonts w:ascii="Times New Roman" w:hAnsi="Times New Roman"/>
          <w:color w:val="1A4072"/>
        </w:rPr>
        <w:t>5.5  Project Effectiveness Evaluation</w:t>
      </w:r>
    </w:p>
    <w:tbl>
      <w:tblPr>
        <w:tblStyle w:val="TableGrid"/>
        <w:tblW w:type="auto" w:w="0"/>
        <w:jc w:val="center"/>
        <w:tblLook w:firstColumn="1" w:firstRow="1" w:lastColumn="0" w:lastRow="0" w:noHBand="0" w:noVBand="1" w:val="04A0"/>
      </w:tblPr>
      <w:tblGrid>
        <w:gridCol w:w="3024"/>
        <w:gridCol w:w="3024"/>
        <w:gridCol w:w="3024"/>
      </w:tblGrid>
      <w:tr>
        <w:tc>
          <w:tcPr>
            <w:tcW w:type="dxa" w:w="3969"/>
            <w:shd w:fill="1A4072" w:color="FFFFFF" w:val="clear"/>
          </w:tcPr>
          <w:p>
            <w:r>
              <w:rPr>
                <w:rFonts w:ascii="Times New Roman" w:hAnsi="Times New Roman"/>
                <w:b/>
                <w:color w:val="FFFFFF"/>
                <w:sz w:val="20"/>
              </w:rPr>
              <w:t>Objective</w:t>
            </w:r>
          </w:p>
        </w:tc>
        <w:tc>
          <w:tcPr>
            <w:tcW w:type="dxa" w:w="1134"/>
            <w:shd w:fill="1A4072" w:color="FFFFFF" w:val="clear"/>
          </w:tcPr>
          <w:p>
            <w:r>
              <w:rPr>
                <w:rFonts w:ascii="Times New Roman" w:hAnsi="Times New Roman"/>
                <w:b/>
                <w:color w:val="FFFFFF"/>
                <w:sz w:val="20"/>
              </w:rPr>
              <w:t>RAG</w:t>
            </w:r>
          </w:p>
        </w:tc>
        <w:tc>
          <w:tcPr>
            <w:tcW w:type="dxa" w:w="4535"/>
            <w:shd w:fill="1A4072" w:color="FFFFFF" w:val="clear"/>
          </w:tcPr>
          <w:p>
            <w:r>
              <w:rPr>
                <w:rFonts w:ascii="Times New Roman" w:hAnsi="Times New Roman"/>
                <w:b/>
                <w:color w:val="FFFFFF"/>
                <w:sz w:val="20"/>
              </w:rPr>
              <w:t>Evidence / Comment</w:t>
            </w:r>
          </w:p>
        </w:tc>
      </w:tr>
      <w:tr>
        <w:tc>
          <w:tcPr>
            <w:tcW w:type="dxa" w:w="3969"/>
          </w:tcPr>
          <w:p>
            <w:r>
              <w:rPr>
                <w:rFonts w:ascii="Times New Roman" w:hAnsi="Times New Roman"/>
                <w:sz w:val="20"/>
              </w:rPr>
              <w:t>Critical literature review</w:t>
            </w:r>
          </w:p>
        </w:tc>
        <w:tc>
          <w:tcPr>
            <w:tcW w:type="dxa" w:w="1134"/>
          </w:tcPr>
          <w:p>
            <w:r>
              <w:rPr>
                <w:rFonts w:ascii="Times New Roman" w:hAnsi="Times New Roman"/>
                <w:sz w:val="20"/>
              </w:rPr>
              <w:t>Green</w:t>
            </w:r>
          </w:p>
        </w:tc>
        <w:tc>
          <w:tcPr>
            <w:tcW w:type="dxa" w:w="4535"/>
          </w:tcPr>
          <w:p>
            <w:r>
              <w:rPr>
                <w:rFonts w:ascii="Times New Roman" w:hAnsi="Times New Roman"/>
                <w:sz w:val="20"/>
              </w:rPr>
              <w:t>Ch.2: 27 sources; gap identified and justified</w:t>
            </w:r>
          </w:p>
        </w:tc>
      </w:tr>
      <w:tr>
        <w:tc>
          <w:tcPr>
            <w:tcW w:type="dxa" w:w="3969"/>
          </w:tcPr>
          <w:p>
            <w:r>
              <w:rPr>
                <w:rFonts w:ascii="Times New Roman" w:hAnsi="Times New Roman"/>
                <w:sz w:val="20"/>
              </w:rPr>
              <w:t>30,000-record synthetic dataset</w:t>
            </w:r>
          </w:p>
        </w:tc>
        <w:tc>
          <w:tcPr>
            <w:tcW w:type="dxa" w:w="1134"/>
          </w:tcPr>
          <w:p>
            <w:r>
              <w:rPr>
                <w:rFonts w:ascii="Times New Roman" w:hAnsi="Times New Roman"/>
                <w:sz w:val="20"/>
              </w:rPr>
              <w:t>Green</w:t>
            </w:r>
          </w:p>
        </w:tc>
        <w:tc>
          <w:tcPr>
            <w:tcW w:type="dxa" w:w="4535"/>
          </w:tcPr>
          <w:p>
            <w:r>
              <w:rPr>
                <w:rFonts w:ascii="Times New Roman" w:hAnsi="Times New Roman"/>
                <w:sz w:val="20"/>
              </w:rPr>
              <w:t>generate_data.py; distribution confirmed</w:t>
            </w:r>
          </w:p>
        </w:tc>
      </w:tr>
      <w:tr>
        <w:tc>
          <w:tcPr>
            <w:tcW w:type="dxa" w:w="3969"/>
          </w:tcPr>
          <w:p>
            <w:r>
              <w:rPr>
                <w:rFonts w:ascii="Times New Roman" w:hAnsi="Times New Roman"/>
                <w:sz w:val="20"/>
              </w:rPr>
              <w:t>Six-algorithm comparative evaluation</w:t>
            </w:r>
          </w:p>
        </w:tc>
        <w:tc>
          <w:tcPr>
            <w:tcW w:type="dxa" w:w="1134"/>
          </w:tcPr>
          <w:p>
            <w:r>
              <w:rPr>
                <w:rFonts w:ascii="Times New Roman" w:hAnsi="Times New Roman"/>
                <w:sz w:val="20"/>
              </w:rPr>
              <w:t>Green</w:t>
            </w:r>
          </w:p>
        </w:tc>
        <w:tc>
          <w:tcPr>
            <w:tcW w:type="dxa" w:w="4535"/>
          </w:tcPr>
          <w:p>
            <w:r>
              <w:rPr>
                <w:rFonts w:ascii="Times New Roman" w:hAnsi="Times New Roman"/>
                <w:sz w:val="20"/>
              </w:rPr>
              <w:t>Table 4.2: all models evaluated</w:t>
            </w:r>
          </w:p>
        </w:tc>
      </w:tr>
      <w:tr>
        <w:tc>
          <w:tcPr>
            <w:tcW w:type="dxa" w:w="3969"/>
          </w:tcPr>
          <w:p>
            <w:r>
              <w:rPr>
                <w:rFonts w:ascii="Times New Roman" w:hAnsi="Times New Roman"/>
                <w:sz w:val="20"/>
              </w:rPr>
              <w:t>Full-stack Flask application (14 modules)</w:t>
            </w:r>
          </w:p>
        </w:tc>
        <w:tc>
          <w:tcPr>
            <w:tcW w:type="dxa" w:w="1134"/>
          </w:tcPr>
          <w:p>
            <w:r>
              <w:rPr>
                <w:rFonts w:ascii="Times New Roman" w:hAnsi="Times New Roman"/>
                <w:sz w:val="20"/>
              </w:rPr>
              <w:t>Green</w:t>
            </w:r>
          </w:p>
        </w:tc>
        <w:tc>
          <w:tcPr>
            <w:tcW w:type="dxa" w:w="4535"/>
          </w:tcPr>
          <w:p>
            <w:r>
              <w:rPr>
                <w:rFonts w:ascii="Times New Roman" w:hAnsi="Times New Roman"/>
                <w:sz w:val="20"/>
              </w:rPr>
              <w:t>All routes functional; app running locally</w:t>
            </w:r>
          </w:p>
        </w:tc>
      </w:tr>
      <w:tr>
        <w:tc>
          <w:tcPr>
            <w:tcW w:type="dxa" w:w="3969"/>
          </w:tcPr>
          <w:p>
            <w:r>
              <w:rPr>
                <w:rFonts w:ascii="Times New Roman" w:hAnsi="Times New Roman"/>
                <w:sz w:val="20"/>
              </w:rPr>
              <w:t>Evidence-based recommendations</w:t>
            </w:r>
          </w:p>
        </w:tc>
        <w:tc>
          <w:tcPr>
            <w:tcW w:type="dxa" w:w="1134"/>
          </w:tcPr>
          <w:p>
            <w:r>
              <w:rPr>
                <w:rFonts w:ascii="Times New Roman" w:hAnsi="Times New Roman"/>
                <w:sz w:val="20"/>
              </w:rPr>
              <w:t>Green</w:t>
            </w:r>
          </w:p>
        </w:tc>
        <w:tc>
          <w:tcPr>
            <w:tcW w:type="dxa" w:w="4535"/>
          </w:tcPr>
          <w:p>
            <w:r>
              <w:rPr>
                <w:rFonts w:ascii="Times New Roman" w:hAnsi="Times New Roman"/>
                <w:sz w:val="20"/>
              </w:rPr>
              <w:t>Section 6.4: 8 specific recommendations</w:t>
            </w:r>
          </w:p>
        </w:tc>
      </w:tr>
    </w:tbl>
    <w:p/>
    <w:p>
      <w:pPr>
        <w:spacing w:after="120" w:line="400" w:lineRule="exact"/>
      </w:pPr>
      <w:r>
        <w:rPr>
          <w:rFonts w:ascii="Times New Roman" w:hAnsi="Times New Roman"/>
          <w:b w:val="0"/>
          <w:i/>
          <w:sz w:val="20"/>
        </w:rPr>
        <w:t>Table 5.1: Project effectiveness evaluation (RAG rating against objectives).</w:t>
      </w:r>
    </w:p>
    <w:p>
      <w:pPr>
        <w:pStyle w:val="Heading2"/>
        <w:spacing w:before="160" w:after="120"/>
      </w:pPr>
      <w:r>
        <w:rPr>
          <w:rFonts w:ascii="Times New Roman" w:hAnsi="Times New Roman"/>
          <w:color w:val="1A4072"/>
        </w:rPr>
        <w:t>5.6  Limitations</w:t>
      </w:r>
    </w:p>
    <w:p>
      <w:pPr>
        <w:pStyle w:val="ListBullet"/>
      </w:pPr>
      <w:r>
        <w:rPr>
          <w:rFonts w:ascii="Times New Roman" w:hAnsi="Times New Roman"/>
          <w:b w:val="0"/>
          <w:i w:val="0"/>
          <w:sz w:val="22"/>
        </w:rPr>
        <w:t>Synthetic data: model performance on real insurer data may differ from the 85.22% benchmark; external validation is required before deployment.</w:t>
      </w:r>
    </w:p>
    <w:p>
      <w:pPr>
        <w:pStyle w:val="ListBullet"/>
      </w:pPr>
      <w:r>
        <w:rPr>
          <w:rFonts w:ascii="Times New Roman" w:hAnsi="Times New Roman"/>
          <w:b w:val="0"/>
          <w:i w:val="0"/>
          <w:sz w:val="22"/>
        </w:rPr>
        <w:t>Single-node deployment: SQLite and single-process Flask are unsuitable for production loads exceeding 50 concurrent users.</w:t>
      </w:r>
    </w:p>
    <w:p>
      <w:pPr>
        <w:pStyle w:val="ListBullet"/>
      </w:pPr>
      <w:r>
        <w:rPr>
          <w:rFonts w:ascii="Times New Roman" w:hAnsi="Times New Roman"/>
          <w:b w:val="0"/>
          <w:i w:val="0"/>
          <w:sz w:val="22"/>
        </w:rPr>
        <w:t>No formal usability testing: the interface was not evaluated with professional underwriters; task completion rates and satisfaction scores are unknown.</w:t>
      </w:r>
    </w:p>
    <w:p>
      <w:pPr>
        <w:pStyle w:val="ListBullet"/>
      </w:pPr>
      <w:r>
        <w:rPr>
          <w:rFonts w:ascii="Times New Roman" w:hAnsi="Times New Roman"/>
          <w:b w:val="0"/>
          <w:i w:val="0"/>
          <w:sz w:val="22"/>
        </w:rPr>
        <w:t>UK-centric actuarial calibration: scoring heuristics are calibrated to UK DfT statistics; recalibration to Uzbekistani data is required for domestic deployment.</w:t>
      </w:r>
    </w:p>
    <w:p>
      <w:pPr>
        <w:pStyle w:val="ListBullet"/>
      </w:pPr>
      <w:r>
        <w:rPr>
          <w:rFonts w:ascii="Times New Roman" w:hAnsi="Times New Roman"/>
          <w:b w:val="0"/>
          <w:i w:val="0"/>
          <w:sz w:val="22"/>
        </w:rPr>
        <w:t>Chatbot limitation: without an active API key, the chatbot uses FAQ matching which may not answer novel queries.</w:t>
      </w:r>
    </w:p>
    <w:p>
      <w:pPr>
        <w:pStyle w:val="Heading2"/>
        <w:spacing w:before="160" w:after="120"/>
      </w:pPr>
      <w:r>
        <w:rPr>
          <w:rFonts w:ascii="Times New Roman" w:hAnsi="Times New Roman"/>
          <w:color w:val="1A4072"/>
        </w:rPr>
        <w:t>5.7  Implications for Practice and Future Research</w:t>
      </w:r>
    </w:p>
    <w:p>
      <w:pPr>
        <w:spacing w:after="120" w:line="400" w:lineRule="exact"/>
      </w:pPr>
      <w:r>
        <w:rPr>
          <w:rFonts w:ascii="Times New Roman" w:hAnsi="Times New Roman"/>
          <w:b w:val="0"/>
          <w:i w:val="0"/>
          <w:sz w:val="22"/>
        </w:rPr>
        <w:t>For practitioners, this project demonstrates that an effective risk assessment tool can be built using entirely open-source components at near-zero infrastructure cost. The REST API architecture enables phased integration: an insurer can begin by calling /api/assess from their existing policy management system before committing to the full platform.</w:t>
      </w:r>
    </w:p>
    <w:p>
      <w:pPr>
        <w:spacing w:after="120" w:line="400" w:lineRule="exact"/>
      </w:pPr>
      <w:r>
        <w:rPr>
          <w:rFonts w:ascii="Times New Roman" w:hAnsi="Times New Roman"/>
          <w:b w:val="0"/>
          <w:i w:val="0"/>
          <w:sz w:val="22"/>
        </w:rPr>
        <w:t>For future researchers, the most valuable next step is validation against real insurance claims data through an anonymised industry partnership. A second priority is integrating telematics data (hard-braking frequency, speed distribution, cornering g-forces) as additional features — Henckaerts et al. (2021) estimate an 8–15% accuracy improvement. A third direction is implementing SHAP (Lundberg and Lee, 2017) as the explainability layer, replacing the current rule-based heuristic with model-consistent attribution scores that update automatically upon retraining.</w:t>
      </w:r>
    </w:p>
    <w:p>
      <w:r>
        <w:br w:type="page"/>
      </w:r>
    </w:p>
    <w:p>
      <w:pPr>
        <w:pStyle w:val="Heading1"/>
        <w:spacing w:before="280" w:after="120"/>
      </w:pPr>
      <w:r>
        <w:rPr>
          <w:rFonts w:ascii="Times New Roman" w:hAnsi="Times New Roman"/>
          <w:color w:val="1A4072"/>
        </w:rPr>
        <w:t>Chapter 6 — Conclusion and Recommendations</w:t>
      </w:r>
    </w:p>
    <w:p>
      <w:pPr>
        <w:pStyle w:val="Heading2"/>
        <w:spacing w:before="160" w:after="120"/>
      </w:pPr>
      <w:r>
        <w:rPr>
          <w:rFonts w:ascii="Times New Roman" w:hAnsi="Times New Roman"/>
          <w:color w:val="1A4072"/>
        </w:rPr>
        <w:t>6.1  Summary of the Project</w:t>
      </w:r>
    </w:p>
    <w:p>
      <w:pPr>
        <w:spacing w:after="120" w:line="400" w:lineRule="exact"/>
      </w:pPr>
      <w:r>
        <w:rPr>
          <w:rFonts w:ascii="Times New Roman" w:hAnsi="Times New Roman"/>
          <w:b w:val="0"/>
          <w:i w:val="0"/>
          <w:sz w:val="22"/>
        </w:rPr>
        <w:t>This project investigated whether machine learning could deliver more accurate, transparent and efficient road accident risk assessments than traditional actuarial methods, and implemented that vision in a fully functional web application. The investigation confirmed that a tuned XGBoost classifier — trained on a 30,000-record actuarially grounded synthetic dataset with eighteen features — achieves 85.22% classification accuracy and ROC-AUC of 0.9738, outperforming five alternative algorithms.</w:t>
      </w:r>
    </w:p>
    <w:p>
      <w:pPr>
        <w:spacing w:after="120" w:line="400" w:lineRule="exact"/>
      </w:pPr>
      <w:r>
        <w:rPr>
          <w:rFonts w:ascii="Times New Roman" w:hAnsi="Times New Roman"/>
          <w:b w:val="0"/>
          <w:i w:val="0"/>
          <w:sz w:val="22"/>
        </w:rPr>
        <w:t>The technical implementation produced RiskGuard AI: a full-stack Flask application comprising fourteen functional modules including risk assessment, analytics dashboard, PDF reports, AI chatbot (bilingual English/Uzbek), risk profile comparison, insurance quote calculator, batch CSV processing, driver certificate generation, REST API, i18n, and PWA support.</w:t>
      </w:r>
    </w:p>
    <w:p>
      <w:pPr>
        <w:pStyle w:val="Heading2"/>
        <w:spacing w:before="160" w:after="120"/>
      </w:pPr>
      <w:r>
        <w:rPr>
          <w:rFonts w:ascii="Times New Roman" w:hAnsi="Times New Roman"/>
          <w:color w:val="1A4072"/>
        </w:rPr>
        <w:t>6.2  Achievement of Objectives</w:t>
      </w:r>
    </w:p>
    <w:p>
      <w:pPr>
        <w:pStyle w:val="ListBullet"/>
      </w:pPr>
      <w:r>
        <w:rPr>
          <w:rFonts w:ascii="Times New Roman" w:hAnsi="Times New Roman"/>
          <w:b w:val="0"/>
          <w:i w:val="0"/>
          <w:sz w:val="22"/>
        </w:rPr>
        <w:t>Objective 1 — Critical literature review: Fully achieved. Twenty-seven sources reviewed; gap in integrated deployable platforms clearly identified.</w:t>
      </w:r>
    </w:p>
    <w:p>
      <w:pPr>
        <w:pStyle w:val="ListBullet"/>
      </w:pPr>
      <w:r>
        <w:rPr>
          <w:rFonts w:ascii="Times New Roman" w:hAnsi="Times New Roman"/>
          <w:b w:val="0"/>
          <w:i w:val="0"/>
          <w:sz w:val="22"/>
        </w:rPr>
        <w:t>Objective 2 — Synthetic dataset generation: Fully achieved. 30,000-record, 18-feature dataset validated against actuarial benchmarks.</w:t>
      </w:r>
    </w:p>
    <w:p>
      <w:pPr>
        <w:pStyle w:val="ListBullet"/>
      </w:pPr>
      <w:r>
        <w:rPr>
          <w:rFonts w:ascii="Times New Roman" w:hAnsi="Times New Roman"/>
          <w:b w:val="0"/>
          <w:i w:val="0"/>
          <w:sz w:val="22"/>
        </w:rPr>
        <w:t>Objective 3 — Six-algorithm evaluation: Fully achieved. All models trained, tuned and benchmarked; XGBoost selected with full justification.</w:t>
      </w:r>
    </w:p>
    <w:p>
      <w:pPr>
        <w:pStyle w:val="ListBullet"/>
      </w:pPr>
      <w:r>
        <w:rPr>
          <w:rFonts w:ascii="Times New Roman" w:hAnsi="Times New Roman"/>
          <w:b w:val="0"/>
          <w:i w:val="0"/>
          <w:sz w:val="22"/>
        </w:rPr>
        <w:t>Objective 4 — Full-stack application (14 modules): Fully achieved. All routes functional; application running locally with all security controls active.</w:t>
      </w:r>
    </w:p>
    <w:p>
      <w:pPr>
        <w:pStyle w:val="ListBullet"/>
      </w:pPr>
      <w:r>
        <w:rPr>
          <w:rFonts w:ascii="Times New Roman" w:hAnsi="Times New Roman"/>
          <w:b w:val="0"/>
          <w:i w:val="0"/>
          <w:sz w:val="22"/>
        </w:rPr>
        <w:t>Objective 5 — Evidence-based recommendations: Fully achieved. Eight specific recommendations for practitioners and researchers provided.</w:t>
      </w:r>
    </w:p>
    <w:p>
      <w:pPr>
        <w:pStyle w:val="Heading2"/>
        <w:spacing w:before="160" w:after="120"/>
      </w:pPr>
      <w:r>
        <w:rPr>
          <w:rFonts w:ascii="Times New Roman" w:hAnsi="Times New Roman"/>
          <w:color w:val="1A4072"/>
        </w:rPr>
        <w:t>6.3  Contribution to Knowledge and Practice</w:t>
      </w:r>
    </w:p>
    <w:p>
      <w:pPr>
        <w:spacing w:after="120" w:line="400" w:lineRule="exact"/>
      </w:pPr>
      <w:r>
        <w:rPr>
          <w:rFonts w:ascii="Times New Roman" w:hAnsi="Times New Roman"/>
          <w:b w:val="0"/>
          <w:i w:val="0"/>
          <w:sz w:val="22"/>
        </w:rPr>
        <w:t>Academic contribution: the first documented benchmark comparison of six ML classifiers on an actuarially grounded synthetic motor insurance dataset designed to reflect Uzbekistani and UK market characteristics, with replicable feature engineering methodology.</w:t>
      </w:r>
    </w:p>
    <w:p>
      <w:pPr>
        <w:spacing w:after="120" w:line="400" w:lineRule="exact"/>
      </w:pPr>
      <w:r>
        <w:rPr>
          <w:rFonts w:ascii="Times New Roman" w:hAnsi="Times New Roman"/>
          <w:b w:val="0"/>
          <w:i w:val="0"/>
          <w:sz w:val="22"/>
        </w:rPr>
        <w:t>Practical contribution: RiskGuard AI demonstrates a complete, deployable insurtech architecture eliminating the three principal weaknesses of manual underwriting — inconsistency, opacity and latency — using entirely open-source technology. The bilingual interface and REST API make the platform directly applicable to domestic Uzbekistani insurers.</w:t>
      </w:r>
    </w:p>
    <w:p>
      <w:pPr>
        <w:pStyle w:val="Heading2"/>
        <w:spacing w:before="160" w:after="120"/>
      </w:pPr>
      <w:r>
        <w:rPr>
          <w:rFonts w:ascii="Times New Roman" w:hAnsi="Times New Roman"/>
          <w:color w:val="1A4072"/>
        </w:rPr>
        <w:t>6.4  Recommendations</w:t>
      </w:r>
    </w:p>
    <w:p>
      <w:pPr>
        <w:pStyle w:val="Heading3"/>
        <w:spacing w:before="160" w:after="120"/>
      </w:pPr>
      <w:r>
        <w:rPr>
          <w:rFonts w:ascii="Times New Roman" w:hAnsi="Times New Roman"/>
          <w:color w:val="1A4072"/>
        </w:rPr>
        <w:t>6.4.1  For Practitioners and Industry</w:t>
      </w:r>
    </w:p>
    <w:p>
      <w:pPr>
        <w:pStyle w:val="ListNumber"/>
      </w:pPr>
      <w:r>
        <w:rPr>
          <w:rFonts w:ascii="Times New Roman" w:hAnsi="Times New Roman"/>
          <w:b w:val="0"/>
          <w:i w:val="0"/>
          <w:sz w:val="22"/>
        </w:rPr>
        <w:t>Adopt XGBoost as the baseline algorithm for motor insurance risk classification on tabular data; the 4.22% accuracy advantage over Random Forest is operationally significant at any portfolio scale above 1,000 policies.</w:t>
      </w:r>
    </w:p>
    <w:p>
      <w:pPr>
        <w:pStyle w:val="ListNumber"/>
      </w:pPr>
      <w:r>
        <w:rPr>
          <w:rFonts w:ascii="Times New Roman" w:hAnsi="Times New Roman"/>
          <w:b w:val="0"/>
          <w:i w:val="0"/>
          <w:sz w:val="22"/>
        </w:rPr>
        <w:t>Implement the six interaction features (acc_per_exp, viol_per_exp, youth_risk, senior_risk, risk_combo, high_risk_vehicle) as minimum feature engineering requirements.</w:t>
      </w:r>
    </w:p>
    <w:p>
      <w:pPr>
        <w:pStyle w:val="ListNumber"/>
      </w:pPr>
      <w:r>
        <w:rPr>
          <w:rFonts w:ascii="Times New Roman" w:hAnsi="Times New Roman"/>
          <w:b w:val="0"/>
          <w:i w:val="0"/>
          <w:sz w:val="22"/>
        </w:rPr>
        <w:t>Replace SQLite with PostgreSQL before production deployment to support concurrent users and proper transaction management.</w:t>
      </w:r>
    </w:p>
    <w:p>
      <w:pPr>
        <w:pStyle w:val="ListNumber"/>
      </w:pPr>
      <w:r>
        <w:rPr>
          <w:rFonts w:ascii="Times New Roman" w:hAnsi="Times New Roman"/>
          <w:b w:val="0"/>
          <w:i w:val="0"/>
          <w:sz w:val="22"/>
        </w:rPr>
        <w:t>Conduct usability testing with a minimum of five professional insurance underwriters before go-live, focusing on the risk explanation interface.</w:t>
      </w:r>
    </w:p>
    <w:p>
      <w:pPr>
        <w:pStyle w:val="ListNumber"/>
      </w:pPr>
      <w:r>
        <w:rPr>
          <w:rFonts w:ascii="Times New Roman" w:hAnsi="Times New Roman"/>
          <w:b w:val="0"/>
          <w:i w:val="0"/>
          <w:sz w:val="22"/>
        </w:rPr>
        <w:t>Recalibrate actuarial weights using local Uzbekistani accident statistics from the Ministry of Internal Affairs.</w:t>
      </w:r>
    </w:p>
    <w:p>
      <w:pPr>
        <w:pStyle w:val="Heading3"/>
        <w:spacing w:before="160" w:after="120"/>
      </w:pPr>
      <w:r>
        <w:rPr>
          <w:rFonts w:ascii="Times New Roman" w:hAnsi="Times New Roman"/>
          <w:color w:val="1A4072"/>
        </w:rPr>
        <w:t>6.4.2  For Future Researchers</w:t>
      </w:r>
    </w:p>
    <w:p>
      <w:pPr>
        <w:pStyle w:val="ListNumber"/>
      </w:pPr>
      <w:r>
        <w:rPr>
          <w:rFonts w:ascii="Times New Roman" w:hAnsi="Times New Roman"/>
          <w:b w:val="0"/>
          <w:i w:val="0"/>
          <w:sz w:val="22"/>
        </w:rPr>
        <w:t>Validate on real claims data: partner with an insurer under a data processing agreement to evaluate pipeline performance on real policy records.</w:t>
      </w:r>
    </w:p>
    <w:p>
      <w:pPr>
        <w:pStyle w:val="ListNumber"/>
      </w:pPr>
      <w:r>
        <w:rPr>
          <w:rFonts w:ascii="Times New Roman" w:hAnsi="Times New Roman"/>
          <w:b w:val="0"/>
          <w:i w:val="0"/>
          <w:sz w:val="22"/>
        </w:rPr>
        <w:t>Integrate telematics features: hard-braking frequency, night driving hours, speed percentiles — Henckaerts et al. (2021) project 8–15% accuracy improvement.</w:t>
      </w:r>
    </w:p>
    <w:p>
      <w:pPr>
        <w:pStyle w:val="ListNumber"/>
      </w:pPr>
      <w:r>
        <w:rPr>
          <w:rFonts w:ascii="Times New Roman" w:hAnsi="Times New Roman"/>
          <w:b w:val="0"/>
          <w:i w:val="0"/>
          <w:sz w:val="22"/>
        </w:rPr>
        <w:t>Replace rule-based explainability with SHAP values for model-consistent attribution scores that update automatically on retraining.</w:t>
      </w:r>
    </w:p>
    <w:p>
      <w:pPr>
        <w:pStyle w:val="Heading2"/>
        <w:spacing w:before="160" w:after="120"/>
      </w:pPr>
      <w:r>
        <w:rPr>
          <w:rFonts w:ascii="Times New Roman" w:hAnsi="Times New Roman"/>
          <w:color w:val="1A4072"/>
        </w:rPr>
        <w:t>6.5  Closing Remarks</w:t>
      </w:r>
    </w:p>
    <w:p>
      <w:pPr>
        <w:spacing w:after="120" w:line="400" w:lineRule="exact"/>
      </w:pPr>
      <w:r>
        <w:rPr>
          <w:rFonts w:ascii="Times New Roman" w:hAnsi="Times New Roman"/>
          <w:b w:val="0"/>
          <w:i w:val="0"/>
          <w:sz w:val="22"/>
        </w:rPr>
        <w:t>RiskGuard AI began as an academic exercise in applying machine learning to insurance pricing and evolved into a functioning platform that addresses a genuine operational gap. The project demonstrates that rigorous academic research and practical software engineering are not only compatible but mutually reinforcing: the literature informed every design decision, and the implementation revealed questions the literature has not yet answered. I leave this project confident that the tools, techniques and problem-solving frameworks developed here will serve as a professional foundation for many years to come.</w:t>
      </w:r>
    </w:p>
    <w:p>
      <w:r>
        <w:br w:type="page"/>
      </w:r>
    </w:p>
    <w:p>
      <w:pPr>
        <w:pStyle w:val="Heading1"/>
        <w:spacing w:before="280" w:after="120"/>
      </w:pPr>
      <w:r>
        <w:rPr>
          <w:rFonts w:ascii="Times New Roman" w:hAnsi="Times New Roman"/>
          <w:color w:val="1A4072"/>
        </w:rPr>
        <w:t>Chapter 7 — Reflective Evaluation of Personal and Professional Development</w:t>
      </w:r>
    </w:p>
    <w:p>
      <w:pPr>
        <w:spacing w:after="120" w:line="400" w:lineRule="exact"/>
      </w:pPr>
      <w:r>
        <w:rPr>
          <w:rFonts w:ascii="Times New Roman" w:hAnsi="Times New Roman"/>
          <w:b w:val="0"/>
          <w:i/>
          <w:sz w:val="20"/>
        </w:rPr>
        <w:t>[Addresses LO4 — P7 | Distinction D4]</w:t>
      </w:r>
    </w:p>
    <w:p>
      <w:pPr>
        <w:pStyle w:val="Heading2"/>
        <w:spacing w:before="160" w:after="120"/>
      </w:pPr>
      <w:r>
        <w:rPr>
          <w:rFonts w:ascii="Times New Roman" w:hAnsi="Times New Roman"/>
          <w:color w:val="1A4072"/>
        </w:rPr>
        <w:t>7.1  Choice of Reflective Model</w:t>
      </w:r>
    </w:p>
    <w:p>
      <w:pPr>
        <w:spacing w:after="120" w:line="400" w:lineRule="exact"/>
      </w:pPr>
      <w:r>
        <w:rPr>
          <w:rFonts w:ascii="Times New Roman" w:hAnsi="Times New Roman"/>
          <w:b w:val="0"/>
          <w:i w:val="0"/>
          <w:sz w:val="22"/>
        </w:rPr>
        <w:t>This chapter employs Gibbs' Reflective Cycle (Gibbs, 1988), which structures reflection through six sequential stages: description, feelings, evaluation, analysis, conclusion and action plan. Gibbs' model was selected over Kolb's Experiential Learning Cycle because it explicitly separates the emotional dimension from cognitive analysis — a separation necessary given the mixture of satisfaction, frustration and uncertainty that characterised this project.</w:t>
      </w:r>
    </w:p>
    <w:p>
      <w:pPr>
        <w:pStyle w:val="Heading2"/>
        <w:spacing w:before="160" w:after="120"/>
      </w:pPr>
      <w:r>
        <w:rPr>
          <w:rFonts w:ascii="Times New Roman" w:hAnsi="Times New Roman"/>
          <w:color w:val="1A4072"/>
        </w:rPr>
        <w:t>7.2  Reflection Using Gibbs' Reflective Cycle</w:t>
      </w:r>
    </w:p>
    <w:p>
      <w:pPr>
        <w:pStyle w:val="Heading3"/>
        <w:spacing w:before="160" w:after="120"/>
      </w:pPr>
      <w:r>
        <w:rPr>
          <w:rFonts w:ascii="Times New Roman" w:hAnsi="Times New Roman"/>
          <w:color w:val="1A4072"/>
        </w:rPr>
        <w:t>7.2.1  Description — What Happened?</w:t>
      </w:r>
    </w:p>
    <w:p>
      <w:pPr>
        <w:spacing w:after="120" w:line="400" w:lineRule="exact"/>
      </w:pPr>
      <w:r>
        <w:rPr>
          <w:rFonts w:ascii="Times New Roman" w:hAnsi="Times New Roman"/>
          <w:b w:val="0"/>
          <w:i w:val="0"/>
          <w:sz w:val="22"/>
        </w:rPr>
        <w:t>Over six months (January–June 2026), I designed, built and evaluated RiskGuard AI: a machine learning platform for motor insurance risk assessment. The project required moving between three distinct modes: academic researcher (literature review, theoretical framing), data scientist (dataset generation, model training, evaluation) and software engineer (Flask routing, security, frontend). The final artefact — a fourteen-module web application achieving 85.22% classification accuracy — exceeded my initial expectations in both scope and technical quality.</w:t>
      </w:r>
    </w:p>
    <w:p>
      <w:pPr>
        <w:pStyle w:val="Heading3"/>
        <w:spacing w:before="160" w:after="120"/>
      </w:pPr>
      <w:r>
        <w:rPr>
          <w:rFonts w:ascii="Times New Roman" w:hAnsi="Times New Roman"/>
          <w:color w:val="1A4072"/>
        </w:rPr>
        <w:t>7.2.2  Feelings — What Was I Thinking and Feeling?</w:t>
      </w:r>
    </w:p>
    <w:p>
      <w:pPr>
        <w:spacing w:after="120" w:line="400" w:lineRule="exact"/>
      </w:pPr>
      <w:r>
        <w:rPr>
          <w:rFonts w:ascii="Times New Roman" w:hAnsi="Times New Roman"/>
          <w:b w:val="0"/>
          <w:i w:val="0"/>
          <w:sz w:val="22"/>
        </w:rPr>
        <w:t>At the outset, the project scope felt unrealistically ambitious. The first three weeks were characterised by anxiety and uncertainty about whether the ML, application and documentation components could all be completed to degree standard within the timeline.</w:t>
      </w:r>
    </w:p>
    <w:p>
      <w:pPr>
        <w:spacing w:after="120" w:line="400" w:lineRule="exact"/>
      </w:pPr>
      <w:r>
        <w:rPr>
          <w:rFonts w:ascii="Times New Roman" w:hAnsi="Times New Roman"/>
          <w:b w:val="0"/>
          <w:i w:val="0"/>
          <w:sz w:val="22"/>
        </w:rPr>
        <w:t>The turning point came when the XGBoost model first achieved above 80% accuracy in March 2026. Seeing a number computed from first principles exceed the literature benchmark was genuinely exciting and transformed my relationship with the project from obligation to creative investment. The most frustrating moment was discovering two weeks before submission that the chatbot responded in English to Uzbek greetings — a consequence of FAQ logic being bypassed when the AI provider was active. Fixing the priority logic was ultimately satisfying but stressful under time pressure.</w:t>
      </w:r>
    </w:p>
    <w:p>
      <w:pPr>
        <w:pStyle w:val="Heading3"/>
        <w:spacing w:before="160" w:after="120"/>
      </w:pPr>
      <w:r>
        <w:rPr>
          <w:rFonts w:ascii="Times New Roman" w:hAnsi="Times New Roman"/>
          <w:color w:val="1A4072"/>
        </w:rPr>
        <w:t>7.2.3  Evaluation — What Was Good and Bad?</w:t>
      </w:r>
    </w:p>
    <w:p>
      <w:pPr>
        <w:spacing w:after="120" w:line="400" w:lineRule="exact"/>
      </w:pPr>
      <w:r>
        <w:rPr>
          <w:rFonts w:ascii="Times New Roman" w:hAnsi="Times New Roman"/>
          <w:b w:val="0"/>
          <w:i w:val="0"/>
          <w:sz w:val="22"/>
        </w:rPr>
        <w:t>What went well: The model evaluation methodology was rigorous and reproducible — any assessor can verify the 85.22% accuracy claim by running python setup.py on the submitted code. The security implementation was embedded from the outset rather than retrofitted, saving significant rework. The bilingual chatbot (English/Uzbek) was technically challenging but adds genuine practical value for the target Uzbekistani market.</w:t>
      </w:r>
    </w:p>
    <w:p>
      <w:pPr>
        <w:spacing w:after="120" w:line="400" w:lineRule="exact"/>
      </w:pPr>
      <w:r>
        <w:rPr>
          <w:rFonts w:ascii="Times New Roman" w:hAnsi="Times New Roman"/>
          <w:b w:val="0"/>
          <w:i w:val="0"/>
          <w:sz w:val="22"/>
        </w:rPr>
        <w:t>What could have been better: The frontend interface was developed without formal UX research, relying on intuition rather than user testing. I also underestimated the time required for Chapter 3 (Methodology), leading to compressing the risk register and Gantt chart development into a single weekend.</w:t>
      </w:r>
    </w:p>
    <w:p>
      <w:pPr>
        <w:pStyle w:val="Heading3"/>
        <w:spacing w:before="160" w:after="120"/>
      </w:pPr>
      <w:r>
        <w:rPr>
          <w:rFonts w:ascii="Times New Roman" w:hAnsi="Times New Roman"/>
          <w:color w:val="1A4072"/>
        </w:rPr>
        <w:t>7.2.4  Analysis — Why Did It Happen This Way?</w:t>
      </w:r>
    </w:p>
    <w:p>
      <w:pPr>
        <w:spacing w:after="120" w:line="400" w:lineRule="exact"/>
      </w:pPr>
      <w:r>
        <w:rPr>
          <w:rFonts w:ascii="Times New Roman" w:hAnsi="Times New Roman"/>
          <w:b w:val="0"/>
          <w:i w:val="0"/>
          <w:sz w:val="22"/>
        </w:rPr>
        <w:t>The strong model evaluation outcome reflects the systematic literature review: having read Chen and Guestrin (2016), Diao and Weng (2019) and James et al. (2023) before designing experiments, I knew which hyperparameter ranges to prioritise and which metrics to report. Academic reading directly enabled technical quality — a connection I had understood theoretically but not previously experienced so directly.</w:t>
      </w:r>
    </w:p>
    <w:p>
      <w:pPr>
        <w:spacing w:after="120" w:line="400" w:lineRule="exact"/>
      </w:pPr>
      <w:r>
        <w:rPr>
          <w:rFonts w:ascii="Times New Roman" w:hAnsi="Times New Roman"/>
          <w:b w:val="0"/>
          <w:i w:val="0"/>
          <w:sz w:val="22"/>
        </w:rPr>
        <w:t>The chatbot language bug arose from focusing on performance (minimising response latency) at the expense of correctness (language parity) — a cognitive bias documented as "performance bias" in software engineering literature (Spolsky, 2004).</w:t>
      </w:r>
    </w:p>
    <w:p>
      <w:pPr>
        <w:pStyle w:val="Heading3"/>
        <w:spacing w:before="160" w:after="120"/>
      </w:pPr>
      <w:r>
        <w:rPr>
          <w:rFonts w:ascii="Times New Roman" w:hAnsi="Times New Roman"/>
          <w:color w:val="1A4072"/>
        </w:rPr>
        <w:t>7.2.5  Conclusion — What Did I Learn?</w:t>
      </w:r>
    </w:p>
    <w:p>
      <w:pPr>
        <w:spacing w:after="120" w:line="400" w:lineRule="exact"/>
      </w:pPr>
      <w:r>
        <w:rPr>
          <w:rFonts w:ascii="Times New Roman" w:hAnsi="Times New Roman"/>
          <w:b w:val="0"/>
          <w:i w:val="0"/>
          <w:sz w:val="22"/>
        </w:rPr>
        <w:t>I learned that research and engineering are most effective when conducted in tight feedback loops. The literature informed model design, model performance informed application architecture, and application limitations informed the discussion recommendations. I also learned that security embedded from the start costs significantly less time than retrofitting — a principle I will carry into every future web project.</w:t>
      </w:r>
    </w:p>
    <w:p>
      <w:pPr>
        <w:pStyle w:val="Heading3"/>
        <w:spacing w:before="160" w:after="120"/>
      </w:pPr>
      <w:r>
        <w:rPr>
          <w:rFonts w:ascii="Times New Roman" w:hAnsi="Times New Roman"/>
          <w:color w:val="1A4072"/>
        </w:rPr>
        <w:t>7.2.6  Action Plan — What Will I Do Differently?</w:t>
      </w:r>
    </w:p>
    <w:p>
      <w:pPr>
        <w:spacing w:after="120" w:line="400" w:lineRule="exact"/>
      </w:pPr>
      <w:r>
        <w:rPr>
          <w:rFonts w:ascii="Times New Roman" w:hAnsi="Times New Roman"/>
          <w:b w:val="0"/>
          <w:i w:val="0"/>
          <w:sz w:val="22"/>
        </w:rPr>
        <w:t>In future projects I will: (a) conduct a minimum two-session usability test with domain professionals before finalising the user interface; (b) write the methodology chapter concurrently with implementation; and (c) maintain a daily decision log capturing not just what was done but why.</w:t>
      </w:r>
    </w:p>
    <w:p>
      <w:pPr>
        <w:pStyle w:val="Heading2"/>
        <w:spacing w:before="160" w:after="120"/>
      </w:pPr>
      <w:r>
        <w:rPr>
          <w:rFonts w:ascii="Times New Roman" w:hAnsi="Times New Roman"/>
          <w:color w:val="1A4072"/>
        </w:rPr>
        <w:t>7.3  SWOT Analysis of Personal Development</w:t>
      </w:r>
    </w:p>
    <w:tbl>
      <w:tblPr>
        <w:tblStyle w:val="TableGrid"/>
        <w:tblW w:type="auto" w:w="0"/>
        <w:jc w:val="center"/>
        <w:tblLook w:firstColumn="1" w:firstRow="1" w:lastColumn="0" w:lastRow="0" w:noHBand="0" w:noVBand="1" w:val="04A0"/>
      </w:tblPr>
      <w:tblGrid>
        <w:gridCol w:w="4536"/>
        <w:gridCol w:w="4536"/>
      </w:tblGrid>
      <w:tr>
        <w:tc>
          <w:tcPr>
            <w:tcW w:type="dxa" w:w="4535"/>
            <w:shd w:fill="1A4072" w:color="FFFFFF" w:val="clear"/>
          </w:tcPr>
          <w:p>
            <w:r>
              <w:rPr>
                <w:rFonts w:ascii="Times New Roman" w:hAnsi="Times New Roman"/>
                <w:b/>
                <w:color w:val="FFFFFF"/>
                <w:sz w:val="20"/>
              </w:rPr>
              <w:t>Strengths</w:t>
            </w:r>
          </w:p>
        </w:tc>
        <w:tc>
          <w:tcPr>
            <w:tcW w:type="dxa" w:w="5102"/>
            <w:shd w:fill="1A4072" w:color="FFFFFF" w:val="clear"/>
          </w:tcPr>
          <w:p>
            <w:r>
              <w:rPr>
                <w:rFonts w:ascii="Times New Roman" w:hAnsi="Times New Roman"/>
                <w:b/>
                <w:color w:val="FFFFFF"/>
                <w:sz w:val="20"/>
              </w:rPr>
              <w:t>Weaknesses</w:t>
            </w:r>
          </w:p>
        </w:tc>
      </w:tr>
      <w:tr>
        <w:tc>
          <w:tcPr>
            <w:tcW w:type="dxa" w:w="4535"/>
          </w:tcPr>
          <w:p>
            <w:r>
              <w:rPr>
                <w:rFonts w:ascii="Times New Roman" w:hAnsi="Times New Roman"/>
                <w:sz w:val="20"/>
              </w:rPr>
              <w:t>Deep Python proficiency (Flask, scikit-learn, XGBoost)</w:t>
            </w:r>
          </w:p>
        </w:tc>
        <w:tc>
          <w:tcPr>
            <w:tcW w:type="dxa" w:w="5102"/>
          </w:tcPr>
          <w:p>
            <w:r>
              <w:rPr>
                <w:rFonts w:ascii="Times New Roman" w:hAnsi="Times New Roman"/>
                <w:sz w:val="20"/>
              </w:rPr>
              <w:t>Limited UX / user research skills</w:t>
            </w:r>
          </w:p>
        </w:tc>
      </w:tr>
      <w:tr>
        <w:tc>
          <w:tcPr>
            <w:tcW w:type="dxa" w:w="4535"/>
          </w:tcPr>
          <w:p>
            <w:r>
              <w:rPr>
                <w:rFonts w:ascii="Times New Roman" w:hAnsi="Times New Roman"/>
                <w:sz w:val="20"/>
              </w:rPr>
              <w:t>Systematic literature review methodology</w:t>
            </w:r>
          </w:p>
        </w:tc>
        <w:tc>
          <w:tcPr>
            <w:tcW w:type="dxa" w:w="5102"/>
          </w:tcPr>
          <w:p>
            <w:r>
              <w:rPr>
                <w:rFonts w:ascii="Times New Roman" w:hAnsi="Times New Roman"/>
                <w:sz w:val="20"/>
              </w:rPr>
              <w:t>Tendency to prioritise technical over documentation</w:t>
            </w:r>
          </w:p>
        </w:tc>
      </w:tr>
      <w:tr>
        <w:tc>
          <w:tcPr>
            <w:tcW w:type="dxa" w:w="4535"/>
          </w:tcPr>
          <w:p>
            <w:r>
              <w:rPr>
                <w:rFonts w:ascii="Times New Roman" w:hAnsi="Times New Roman"/>
                <w:sz w:val="20"/>
              </w:rPr>
              <w:t>Strong ML evaluation methodology</w:t>
            </w:r>
          </w:p>
        </w:tc>
        <w:tc>
          <w:tcPr>
            <w:tcW w:type="dxa" w:w="5102"/>
          </w:tcPr>
          <w:p>
            <w:r>
              <w:rPr>
                <w:rFonts w:ascii="Times New Roman" w:hAnsi="Times New Roman"/>
                <w:sz w:val="20"/>
              </w:rPr>
              <w:t>Underestimated methodology chapter time</w:t>
            </w:r>
          </w:p>
        </w:tc>
      </w:tr>
      <w:tr>
        <w:tc>
          <w:tcPr>
            <w:tcW w:type="dxa" w:w="4535"/>
          </w:tcPr>
          <w:p>
            <w:r>
              <w:rPr>
                <w:rFonts w:ascii="Times New Roman" w:hAnsi="Times New Roman"/>
                <w:sz w:val="20"/>
              </w:rPr>
              <w:t>Security-conscious development mindset</w:t>
            </w:r>
          </w:p>
        </w:tc>
        <w:tc>
          <w:tcPr>
            <w:tcW w:type="dxa" w:w="5102"/>
          </w:tcPr>
          <w:p>
            <w:r>
              <w:rPr>
                <w:rFonts w:ascii="Times New Roman" w:hAnsi="Times New Roman"/>
                <w:sz w:val="20"/>
              </w:rPr>
              <w:t>Limited cloud deployment experience (AWS/GCP)</w:t>
            </w:r>
          </w:p>
        </w:tc>
      </w:tr>
      <w:tr>
        <w:tc>
          <w:tcPr>
            <w:tcW w:type="dxa" w:w="4535"/>
          </w:tcPr>
          <w:p>
            <w:r>
              <w:rPr>
                <w:rFonts w:ascii="Times New Roman" w:hAnsi="Times New Roman"/>
                <w:sz w:val="20"/>
              </w:rPr>
              <w:t>Bilingual communication (English/Uzbek)</w:t>
            </w:r>
          </w:p>
        </w:tc>
        <w:tc>
          <w:tcPr>
            <w:tcW w:type="dxa" w:w="5102"/>
          </w:tcPr>
          <w:p>
            <w:r>
              <w:rPr>
                <w:rFonts w:ascii="Times New Roman" w:hAnsi="Times New Roman"/>
                <w:sz w:val="20"/>
              </w:rPr>
              <w:t>Limited stakeholder interview experience</w:t>
            </w:r>
          </w:p>
        </w:tc>
      </w:tr>
    </w:tbl>
    <w:p/>
    <w:p/>
    <w:tbl>
      <w:tblPr>
        <w:tblStyle w:val="TableGrid"/>
        <w:tblW w:type="auto" w:w="0"/>
        <w:jc w:val="center"/>
        <w:tblLook w:firstColumn="1" w:firstRow="1" w:lastColumn="0" w:lastRow="0" w:noHBand="0" w:noVBand="1" w:val="04A0"/>
      </w:tblPr>
      <w:tblGrid>
        <w:gridCol w:w="4536"/>
        <w:gridCol w:w="4536"/>
      </w:tblGrid>
      <w:tr>
        <w:tc>
          <w:tcPr>
            <w:tcW w:type="dxa" w:w="4535"/>
            <w:shd w:fill="1A4072" w:color="FFFFFF" w:val="clear"/>
          </w:tcPr>
          <w:p>
            <w:r>
              <w:rPr>
                <w:rFonts w:ascii="Times New Roman" w:hAnsi="Times New Roman"/>
                <w:b/>
                <w:color w:val="FFFFFF"/>
                <w:sz w:val="20"/>
              </w:rPr>
              <w:t>Opportunities</w:t>
            </w:r>
          </w:p>
        </w:tc>
        <w:tc>
          <w:tcPr>
            <w:tcW w:type="dxa" w:w="5102"/>
            <w:shd w:fill="1A4072" w:color="FFFFFF" w:val="clear"/>
          </w:tcPr>
          <w:p>
            <w:r>
              <w:rPr>
                <w:rFonts w:ascii="Times New Roman" w:hAnsi="Times New Roman"/>
                <w:b/>
                <w:color w:val="FFFFFF"/>
                <w:sz w:val="20"/>
              </w:rPr>
              <w:t>Threats</w:t>
            </w:r>
          </w:p>
        </w:tc>
      </w:tr>
      <w:tr>
        <w:tc>
          <w:tcPr>
            <w:tcW w:type="dxa" w:w="4535"/>
          </w:tcPr>
          <w:p>
            <w:r>
              <w:rPr>
                <w:rFonts w:ascii="Times New Roman" w:hAnsi="Times New Roman"/>
                <w:sz w:val="20"/>
              </w:rPr>
              <w:t>Insurtech/fintech sector growth in Uzbekistan</w:t>
            </w:r>
          </w:p>
        </w:tc>
        <w:tc>
          <w:tcPr>
            <w:tcW w:type="dxa" w:w="5102"/>
          </w:tcPr>
          <w:p>
            <w:r>
              <w:rPr>
                <w:rFonts w:ascii="Times New Roman" w:hAnsi="Times New Roman"/>
                <w:sz w:val="20"/>
              </w:rPr>
              <w:t>Rapid ML library API changes</w:t>
            </w:r>
          </w:p>
        </w:tc>
      </w:tr>
      <w:tr>
        <w:tc>
          <w:tcPr>
            <w:tcW w:type="dxa" w:w="4535"/>
          </w:tcPr>
          <w:p>
            <w:r>
              <w:rPr>
                <w:rFonts w:ascii="Times New Roman" w:hAnsi="Times New Roman"/>
                <w:sz w:val="20"/>
              </w:rPr>
              <w:t>MSc Data Science programmes (UK/EU)</w:t>
            </w:r>
          </w:p>
        </w:tc>
        <w:tc>
          <w:tcPr>
            <w:tcW w:type="dxa" w:w="5102"/>
          </w:tcPr>
          <w:p>
            <w:r>
              <w:rPr>
                <w:rFonts w:ascii="Times New Roman" w:hAnsi="Times New Roman"/>
                <w:sz w:val="20"/>
              </w:rPr>
              <w:t>Competition from funded insurtech startups</w:t>
            </w:r>
          </w:p>
        </w:tc>
      </w:tr>
      <w:tr>
        <w:tc>
          <w:tcPr>
            <w:tcW w:type="dxa" w:w="4535"/>
          </w:tcPr>
          <w:p>
            <w:r>
              <w:rPr>
                <w:rFonts w:ascii="Times New Roman" w:hAnsi="Times New Roman"/>
                <w:sz w:val="20"/>
              </w:rPr>
              <w:t>Open-source community contribution</w:t>
            </w:r>
          </w:p>
        </w:tc>
        <w:tc>
          <w:tcPr>
            <w:tcW w:type="dxa" w:w="5102"/>
          </w:tcPr>
          <w:p>
            <w:r>
              <w:rPr>
                <w:rFonts w:ascii="Times New Roman" w:hAnsi="Times New Roman"/>
                <w:sz w:val="20"/>
              </w:rPr>
              <w:t>AI regulatory uncertainty (EU AI Act)</w:t>
            </w:r>
          </w:p>
        </w:tc>
      </w:tr>
      <w:tr>
        <w:tc>
          <w:tcPr>
            <w:tcW w:type="dxa" w:w="4535"/>
          </w:tcPr>
          <w:p>
            <w:r>
              <w:rPr>
                <w:rFonts w:ascii="Times New Roman" w:hAnsi="Times New Roman"/>
                <w:sz w:val="20"/>
              </w:rPr>
              <w:t>Freelance ML consulting for domestic insurers</w:t>
            </w:r>
          </w:p>
        </w:tc>
        <w:tc>
          <w:tcPr>
            <w:tcW w:type="dxa" w:w="5102"/>
          </w:tcPr>
          <w:p>
            <w:r>
              <w:rPr>
                <w:rFonts w:ascii="Times New Roman" w:hAnsi="Times New Roman"/>
                <w:sz w:val="20"/>
              </w:rPr>
              <w:t>Skills gap: cloud infrastructure</w:t>
            </w:r>
          </w:p>
        </w:tc>
      </w:tr>
      <w:tr>
        <w:tc>
          <w:tcPr>
            <w:tcW w:type="dxa" w:w="4535"/>
          </w:tcPr>
          <w:p>
            <w:r>
              <w:rPr>
                <w:rFonts w:ascii="Times New Roman" w:hAnsi="Times New Roman"/>
                <w:sz w:val="20"/>
              </w:rPr>
              <w:t>Publication at ML conference (ICMLA / IEEE DSAA)</w:t>
            </w:r>
          </w:p>
        </w:tc>
        <w:tc>
          <w:tcPr>
            <w:tcW w:type="dxa" w:w="5102"/>
          </w:tcPr>
          <w:p>
            <w:r>
              <w:rPr>
                <w:rFonts w:ascii="Times New Roman" w:hAnsi="Times New Roman"/>
                <w:sz w:val="20"/>
              </w:rPr>
              <w:t>IELTS preparation time requirement</w:t>
            </w:r>
          </w:p>
        </w:tc>
      </w:tr>
    </w:tbl>
    <w:p/>
    <w:p>
      <w:pPr>
        <w:spacing w:after="120" w:line="400" w:lineRule="exact"/>
      </w:pPr>
      <w:r>
        <w:rPr>
          <w:rFonts w:ascii="Times New Roman" w:hAnsi="Times New Roman"/>
          <w:b w:val="0"/>
          <w:i/>
          <w:sz w:val="20"/>
        </w:rPr>
        <w:t>Table 7.1: SWOT Analysis of Personal Development.</w:t>
      </w:r>
    </w:p>
    <w:p>
      <w:pPr>
        <w:pStyle w:val="Heading2"/>
        <w:spacing w:before="160" w:after="120"/>
      </w:pPr>
      <w:r>
        <w:rPr>
          <w:rFonts w:ascii="Times New Roman" w:hAnsi="Times New Roman"/>
          <w:color w:val="1A4072"/>
        </w:rPr>
        <w:t>7.4  Transferable Skills Gained</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1A4072" w:color="FFFFFF" w:val="clear"/>
          </w:tcPr>
          <w:p>
            <w:r>
              <w:rPr>
                <w:rFonts w:ascii="Times New Roman" w:hAnsi="Times New Roman"/>
                <w:b/>
                <w:color w:val="FFFFFF"/>
                <w:sz w:val="20"/>
              </w:rPr>
              <w:t>Skill</w:t>
            </w:r>
          </w:p>
        </w:tc>
        <w:tc>
          <w:tcPr>
            <w:tcW w:type="dxa" w:w="1417"/>
            <w:shd w:fill="1A4072" w:color="FFFFFF" w:val="clear"/>
          </w:tcPr>
          <w:p>
            <w:r>
              <w:rPr>
                <w:rFonts w:ascii="Times New Roman" w:hAnsi="Times New Roman"/>
                <w:b/>
                <w:color w:val="FFFFFF"/>
                <w:sz w:val="20"/>
              </w:rPr>
              <w:t>Level (1–5)</w:t>
            </w:r>
          </w:p>
        </w:tc>
        <w:tc>
          <w:tcPr>
            <w:tcW w:type="dxa" w:w="5386"/>
            <w:shd w:fill="1A4072" w:color="FFFFFF" w:val="clear"/>
          </w:tcPr>
          <w:p>
            <w:r>
              <w:rPr>
                <w:rFonts w:ascii="Times New Roman" w:hAnsi="Times New Roman"/>
                <w:b/>
                <w:color w:val="FFFFFF"/>
                <w:sz w:val="20"/>
              </w:rPr>
              <w:t>Evidence from this Project</w:t>
            </w:r>
          </w:p>
        </w:tc>
      </w:tr>
      <w:tr>
        <w:tc>
          <w:tcPr>
            <w:tcW w:type="dxa" w:w="2835"/>
          </w:tcPr>
          <w:p>
            <w:r>
              <w:rPr>
                <w:rFonts w:ascii="Times New Roman" w:hAnsi="Times New Roman"/>
                <w:sz w:val="20"/>
              </w:rPr>
              <w:t>Machine learning evaluation</w:t>
            </w:r>
          </w:p>
        </w:tc>
        <w:tc>
          <w:tcPr>
            <w:tcW w:type="dxa" w:w="1417"/>
          </w:tcPr>
          <w:p>
            <w:r>
              <w:rPr>
                <w:rFonts w:ascii="Times New Roman" w:hAnsi="Times New Roman"/>
                <w:sz w:val="20"/>
              </w:rPr>
              <w:t>4</w:t>
            </w:r>
          </w:p>
        </w:tc>
        <w:tc>
          <w:tcPr>
            <w:tcW w:type="dxa" w:w="5386"/>
          </w:tcPr>
          <w:p>
            <w:r>
              <w:rPr>
                <w:rFonts w:ascii="Times New Roman" w:hAnsi="Times New Roman"/>
                <w:sz w:val="20"/>
              </w:rPr>
              <w:t>Benchmarked 6 algorithms; used ROC-AUC, F1, McNemar test</w:t>
            </w:r>
          </w:p>
        </w:tc>
      </w:tr>
      <w:tr>
        <w:tc>
          <w:tcPr>
            <w:tcW w:type="dxa" w:w="2835"/>
          </w:tcPr>
          <w:p>
            <w:r>
              <w:rPr>
                <w:rFonts w:ascii="Times New Roman" w:hAnsi="Times New Roman"/>
                <w:sz w:val="20"/>
              </w:rPr>
              <w:t>Full-stack web development (Flask)</w:t>
            </w:r>
          </w:p>
        </w:tc>
        <w:tc>
          <w:tcPr>
            <w:tcW w:type="dxa" w:w="1417"/>
          </w:tcPr>
          <w:p>
            <w:r>
              <w:rPr>
                <w:rFonts w:ascii="Times New Roman" w:hAnsi="Times New Roman"/>
                <w:sz w:val="20"/>
              </w:rPr>
              <w:t>4</w:t>
            </w:r>
          </w:p>
        </w:tc>
        <w:tc>
          <w:tcPr>
            <w:tcW w:type="dxa" w:w="5386"/>
          </w:tcPr>
          <w:p>
            <w:r>
              <w:rPr>
                <w:rFonts w:ascii="Times New Roman" w:hAnsi="Times New Roman"/>
                <w:sz w:val="20"/>
              </w:rPr>
              <w:t>Built 14-module app; REST API; CSRF; bcrypt auth</w:t>
            </w:r>
          </w:p>
        </w:tc>
      </w:tr>
      <w:tr>
        <w:tc>
          <w:tcPr>
            <w:tcW w:type="dxa" w:w="2835"/>
          </w:tcPr>
          <w:p>
            <w:r>
              <w:rPr>
                <w:rFonts w:ascii="Times New Roman" w:hAnsi="Times New Roman"/>
                <w:sz w:val="20"/>
              </w:rPr>
              <w:t>Academic research and writing</w:t>
            </w:r>
          </w:p>
        </w:tc>
        <w:tc>
          <w:tcPr>
            <w:tcW w:type="dxa" w:w="1417"/>
          </w:tcPr>
          <w:p>
            <w:r>
              <w:rPr>
                <w:rFonts w:ascii="Times New Roman" w:hAnsi="Times New Roman"/>
                <w:sz w:val="20"/>
              </w:rPr>
              <w:t>4</w:t>
            </w:r>
          </w:p>
        </w:tc>
        <w:tc>
          <w:tcPr>
            <w:tcW w:type="dxa" w:w="5386"/>
          </w:tcPr>
          <w:p>
            <w:r>
              <w:rPr>
                <w:rFonts w:ascii="Times New Roman" w:hAnsi="Times New Roman"/>
                <w:sz w:val="20"/>
              </w:rPr>
              <w:t>11,500-word report with 27 Harvard-cited sources</w:t>
            </w:r>
          </w:p>
        </w:tc>
      </w:tr>
      <w:tr>
        <w:tc>
          <w:tcPr>
            <w:tcW w:type="dxa" w:w="2835"/>
          </w:tcPr>
          <w:p>
            <w:r>
              <w:rPr>
                <w:rFonts w:ascii="Times New Roman" w:hAnsi="Times New Roman"/>
                <w:sz w:val="20"/>
              </w:rPr>
              <w:t>Project planning (Agile/Gantt)</w:t>
            </w:r>
          </w:p>
        </w:tc>
        <w:tc>
          <w:tcPr>
            <w:tcW w:type="dxa" w:w="1417"/>
          </w:tcPr>
          <w:p>
            <w:r>
              <w:rPr>
                <w:rFonts w:ascii="Times New Roman" w:hAnsi="Times New Roman"/>
                <w:sz w:val="20"/>
              </w:rPr>
              <w:t>3</w:t>
            </w:r>
          </w:p>
        </w:tc>
        <w:tc>
          <w:tcPr>
            <w:tcW w:type="dxa" w:w="5386"/>
          </w:tcPr>
          <w:p>
            <w:r>
              <w:rPr>
                <w:rFonts w:ascii="Times New Roman" w:hAnsi="Times New Roman"/>
                <w:sz w:val="20"/>
              </w:rPr>
              <w:t>14-week Gantt chart; milestone tracking; risk register</w:t>
            </w:r>
          </w:p>
        </w:tc>
      </w:tr>
      <w:tr>
        <w:tc>
          <w:tcPr>
            <w:tcW w:type="dxa" w:w="2835"/>
          </w:tcPr>
          <w:p>
            <w:r>
              <w:rPr>
                <w:rFonts w:ascii="Times New Roman" w:hAnsi="Times New Roman"/>
                <w:sz w:val="20"/>
              </w:rPr>
              <w:t>Data engineering (scikit-learn Pipeline)</w:t>
            </w:r>
          </w:p>
        </w:tc>
        <w:tc>
          <w:tcPr>
            <w:tcW w:type="dxa" w:w="1417"/>
          </w:tcPr>
          <w:p>
            <w:r>
              <w:rPr>
                <w:rFonts w:ascii="Times New Roman" w:hAnsi="Times New Roman"/>
                <w:sz w:val="20"/>
              </w:rPr>
              <w:t>4</w:t>
            </w:r>
          </w:p>
        </w:tc>
        <w:tc>
          <w:tcPr>
            <w:tcW w:type="dxa" w:w="5386"/>
          </w:tcPr>
          <w:p>
            <w:r>
              <w:rPr>
                <w:rFonts w:ascii="Times New Roman" w:hAnsi="Times New Roman"/>
                <w:sz w:val="20"/>
              </w:rPr>
              <w:t>Full ML pipeline; stratified splits; GridSearchCV</w:t>
            </w:r>
          </w:p>
        </w:tc>
      </w:tr>
      <w:tr>
        <w:tc>
          <w:tcPr>
            <w:tcW w:type="dxa" w:w="2835"/>
          </w:tcPr>
          <w:p>
            <w:r>
              <w:rPr>
                <w:rFonts w:ascii="Times New Roman" w:hAnsi="Times New Roman"/>
                <w:sz w:val="20"/>
              </w:rPr>
              <w:t>Security engineering</w:t>
            </w:r>
          </w:p>
        </w:tc>
        <w:tc>
          <w:tcPr>
            <w:tcW w:type="dxa" w:w="1417"/>
          </w:tcPr>
          <w:p>
            <w:r>
              <w:rPr>
                <w:rFonts w:ascii="Times New Roman" w:hAnsi="Times New Roman"/>
                <w:sz w:val="20"/>
              </w:rPr>
              <w:t>3</w:t>
            </w:r>
          </w:p>
        </w:tc>
        <w:tc>
          <w:tcPr>
            <w:tcW w:type="dxa" w:w="5386"/>
          </w:tcPr>
          <w:p>
            <w:r>
              <w:rPr>
                <w:rFonts w:ascii="Times New Roman" w:hAnsi="Times New Roman"/>
                <w:sz w:val="20"/>
              </w:rPr>
              <w:t>CSRF, bcrypt, rate limiting, HTTPOnly cookies</w:t>
            </w:r>
          </w:p>
        </w:tc>
      </w:tr>
      <w:tr>
        <w:tc>
          <w:tcPr>
            <w:tcW w:type="dxa" w:w="2835"/>
          </w:tcPr>
          <w:p>
            <w:r>
              <w:rPr>
                <w:rFonts w:ascii="Times New Roman" w:hAnsi="Times New Roman"/>
                <w:sz w:val="20"/>
              </w:rPr>
              <w:t>Technical communication</w:t>
            </w:r>
          </w:p>
        </w:tc>
        <w:tc>
          <w:tcPr>
            <w:tcW w:type="dxa" w:w="1417"/>
          </w:tcPr>
          <w:p>
            <w:r>
              <w:rPr>
                <w:rFonts w:ascii="Times New Roman" w:hAnsi="Times New Roman"/>
                <w:sz w:val="20"/>
              </w:rPr>
              <w:t>4</w:t>
            </w:r>
          </w:p>
        </w:tc>
        <w:tc>
          <w:tcPr>
            <w:tcW w:type="dxa" w:w="5386"/>
          </w:tcPr>
          <w:p>
            <w:r>
              <w:rPr>
                <w:rFonts w:ascii="Times New Roman" w:hAnsi="Times New Roman"/>
                <w:sz w:val="20"/>
              </w:rPr>
              <w:t>API documentation; bilingual chatbot; user manual</w:t>
            </w:r>
          </w:p>
        </w:tc>
      </w:tr>
      <w:tr>
        <w:tc>
          <w:tcPr>
            <w:tcW w:type="dxa" w:w="2835"/>
          </w:tcPr>
          <w:p>
            <w:r>
              <w:rPr>
                <w:rFonts w:ascii="Times New Roman" w:hAnsi="Times New Roman"/>
                <w:sz w:val="20"/>
              </w:rPr>
              <w:t>Resilience</w:t>
            </w:r>
          </w:p>
        </w:tc>
        <w:tc>
          <w:tcPr>
            <w:tcW w:type="dxa" w:w="1417"/>
          </w:tcPr>
          <w:p>
            <w:r>
              <w:rPr>
                <w:rFonts w:ascii="Times New Roman" w:hAnsi="Times New Roman"/>
                <w:sz w:val="20"/>
              </w:rPr>
              <w:t>4</w:t>
            </w:r>
          </w:p>
        </w:tc>
        <w:tc>
          <w:tcPr>
            <w:tcW w:type="dxa" w:w="5386"/>
          </w:tcPr>
          <w:p>
            <w:r>
              <w:rPr>
                <w:rFonts w:ascii="Times New Roman" w:hAnsi="Times New Roman"/>
                <w:sz w:val="20"/>
              </w:rPr>
              <w:t>Resolved 12-hour model serialisation debugging episode</w:t>
            </w:r>
          </w:p>
        </w:tc>
      </w:tr>
    </w:tbl>
    <w:p/>
    <w:p>
      <w:pPr>
        <w:spacing w:after="120" w:line="400" w:lineRule="exact"/>
      </w:pPr>
      <w:r>
        <w:rPr>
          <w:rFonts w:ascii="Times New Roman" w:hAnsi="Times New Roman"/>
          <w:b w:val="0"/>
          <w:i/>
          <w:sz w:val="20"/>
        </w:rPr>
        <w:t>Table 7.2: Transferable skills gained.</w:t>
      </w:r>
    </w:p>
    <w:p>
      <w:pPr>
        <w:pStyle w:val="Heading2"/>
        <w:spacing w:before="160" w:after="120"/>
      </w:pPr>
      <w:r>
        <w:rPr>
          <w:rFonts w:ascii="Times New Roman" w:hAnsi="Times New Roman"/>
          <w:color w:val="1A4072"/>
        </w:rPr>
        <w:t>7.5  Future Development Plan</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fill="1A4072" w:color="FFFFFF" w:val="clear"/>
          </w:tcPr>
          <w:p>
            <w:r>
              <w:rPr>
                <w:rFonts w:ascii="Times New Roman" w:hAnsi="Times New Roman"/>
                <w:b/>
                <w:color w:val="FFFFFF"/>
                <w:sz w:val="20"/>
              </w:rPr>
              <w:t>Goal</w:t>
            </w:r>
          </w:p>
        </w:tc>
        <w:tc>
          <w:tcPr>
            <w:tcW w:type="dxa" w:w="3969"/>
            <w:shd w:fill="1A4072" w:color="FFFFFF" w:val="clear"/>
          </w:tcPr>
          <w:p>
            <w:r>
              <w:rPr>
                <w:rFonts w:ascii="Times New Roman" w:hAnsi="Times New Roman"/>
                <w:b/>
                <w:color w:val="FFFFFF"/>
                <w:sz w:val="20"/>
              </w:rPr>
              <w:t>Action</w:t>
            </w:r>
          </w:p>
        </w:tc>
        <w:tc>
          <w:tcPr>
            <w:tcW w:type="dxa" w:w="2268"/>
            <w:shd w:fill="1A4072" w:color="FFFFFF" w:val="clear"/>
          </w:tcPr>
          <w:p>
            <w:r>
              <w:rPr>
                <w:rFonts w:ascii="Times New Roman" w:hAnsi="Times New Roman"/>
                <w:b/>
                <w:color w:val="FFFFFF"/>
                <w:sz w:val="20"/>
              </w:rPr>
              <w:t>Timeframe</w:t>
            </w:r>
          </w:p>
        </w:tc>
      </w:tr>
      <w:tr>
        <w:tc>
          <w:tcPr>
            <w:tcW w:type="dxa" w:w="3118"/>
          </w:tcPr>
          <w:p>
            <w:r>
              <w:rPr>
                <w:rFonts w:ascii="Times New Roman" w:hAnsi="Times New Roman"/>
                <w:sz w:val="20"/>
              </w:rPr>
              <w:t>ML engineering role in Uzbekistani fintech</w:t>
            </w:r>
          </w:p>
        </w:tc>
        <w:tc>
          <w:tcPr>
            <w:tcW w:type="dxa" w:w="3969"/>
          </w:tcPr>
          <w:p>
            <w:r>
              <w:rPr>
                <w:rFonts w:ascii="Times New Roman" w:hAnsi="Times New Roman"/>
                <w:sz w:val="20"/>
              </w:rPr>
              <w:t>GitHub portfolio; TashkentAI meetups; CV update</w:t>
            </w:r>
          </w:p>
        </w:tc>
        <w:tc>
          <w:tcPr>
            <w:tcW w:type="dxa" w:w="2268"/>
          </w:tcPr>
          <w:p>
            <w:r>
              <w:rPr>
                <w:rFonts w:ascii="Times New Roman" w:hAnsi="Times New Roman"/>
                <w:sz w:val="20"/>
              </w:rPr>
              <w:t>0–6 months</w:t>
            </w:r>
          </w:p>
        </w:tc>
      </w:tr>
      <w:tr>
        <w:tc>
          <w:tcPr>
            <w:tcW w:type="dxa" w:w="3118"/>
          </w:tcPr>
          <w:p>
            <w:r>
              <w:rPr>
                <w:rFonts w:ascii="Times New Roman" w:hAnsi="Times New Roman"/>
                <w:sz w:val="20"/>
              </w:rPr>
              <w:t>AWS Cloud Practitioner certification</w:t>
            </w:r>
          </w:p>
        </w:tc>
        <w:tc>
          <w:tcPr>
            <w:tcW w:type="dxa" w:w="3969"/>
          </w:tcPr>
          <w:p>
            <w:r>
              <w:rPr>
                <w:rFonts w:ascii="Times New Roman" w:hAnsi="Times New Roman"/>
                <w:sz w:val="20"/>
              </w:rPr>
              <w:t>AWS free training; online exam</w:t>
            </w:r>
          </w:p>
        </w:tc>
        <w:tc>
          <w:tcPr>
            <w:tcW w:type="dxa" w:w="2268"/>
          </w:tcPr>
          <w:p>
            <w:r>
              <w:rPr>
                <w:rFonts w:ascii="Times New Roman" w:hAnsi="Times New Roman"/>
                <w:sz w:val="20"/>
              </w:rPr>
              <w:t>3–6 months</w:t>
            </w:r>
          </w:p>
        </w:tc>
      </w:tr>
      <w:tr>
        <w:tc>
          <w:tcPr>
            <w:tcW w:type="dxa" w:w="3118"/>
          </w:tcPr>
          <w:p>
            <w:r>
              <w:rPr>
                <w:rFonts w:ascii="Times New Roman" w:hAnsi="Times New Roman"/>
                <w:sz w:val="20"/>
              </w:rPr>
              <w:t>Validate RiskGuard AI on real data</w:t>
            </w:r>
          </w:p>
        </w:tc>
        <w:tc>
          <w:tcPr>
            <w:tcW w:type="dxa" w:w="3969"/>
          </w:tcPr>
          <w:p>
            <w:r>
              <w:rPr>
                <w:rFonts w:ascii="Times New Roman" w:hAnsi="Times New Roman"/>
                <w:sz w:val="20"/>
              </w:rPr>
              <w:t>Approach Insurance Association of Uzbekistan</w:t>
            </w:r>
          </w:p>
        </w:tc>
        <w:tc>
          <w:tcPr>
            <w:tcW w:type="dxa" w:w="2268"/>
          </w:tcPr>
          <w:p>
            <w:r>
              <w:rPr>
                <w:rFonts w:ascii="Times New Roman" w:hAnsi="Times New Roman"/>
                <w:sz w:val="20"/>
              </w:rPr>
              <w:t>6–12 months</w:t>
            </w:r>
          </w:p>
        </w:tc>
      </w:tr>
      <w:tr>
        <w:tc>
          <w:tcPr>
            <w:tcW w:type="dxa" w:w="3118"/>
          </w:tcPr>
          <w:p>
            <w:r>
              <w:rPr>
                <w:rFonts w:ascii="Times New Roman" w:hAnsi="Times New Roman"/>
                <w:sz w:val="20"/>
              </w:rPr>
              <w:t>MSc Data Science (UK/remote)</w:t>
            </w:r>
          </w:p>
        </w:tc>
        <w:tc>
          <w:tcPr>
            <w:tcW w:type="dxa" w:w="3969"/>
          </w:tcPr>
          <w:p>
            <w:r>
              <w:rPr>
                <w:rFonts w:ascii="Times New Roman" w:hAnsi="Times New Roman"/>
                <w:sz w:val="20"/>
              </w:rPr>
              <w:t>Research programmes; IELTS 6.5 preparation</w:t>
            </w:r>
          </w:p>
        </w:tc>
        <w:tc>
          <w:tcPr>
            <w:tcW w:type="dxa" w:w="2268"/>
          </w:tcPr>
          <w:p>
            <w:r>
              <w:rPr>
                <w:rFonts w:ascii="Times New Roman" w:hAnsi="Times New Roman"/>
                <w:sz w:val="20"/>
              </w:rPr>
              <w:t>12–24 months</w:t>
            </w:r>
          </w:p>
        </w:tc>
      </w:tr>
      <w:tr>
        <w:tc>
          <w:tcPr>
            <w:tcW w:type="dxa" w:w="3118"/>
          </w:tcPr>
          <w:p>
            <w:r>
              <w:rPr>
                <w:rFonts w:ascii="Times New Roman" w:hAnsi="Times New Roman"/>
                <w:sz w:val="20"/>
              </w:rPr>
              <w:t>Publish conference paper on methodology</w:t>
            </w:r>
          </w:p>
        </w:tc>
        <w:tc>
          <w:tcPr>
            <w:tcW w:type="dxa" w:w="3969"/>
          </w:tcPr>
          <w:p>
            <w:r>
              <w:rPr>
                <w:rFonts w:ascii="Times New Roman" w:hAnsi="Times New Roman"/>
                <w:sz w:val="20"/>
              </w:rPr>
              <w:t>Co-author with supervisor; target IEEE DSAA</w:t>
            </w:r>
          </w:p>
        </w:tc>
        <w:tc>
          <w:tcPr>
            <w:tcW w:type="dxa" w:w="2268"/>
          </w:tcPr>
          <w:p>
            <w:r>
              <w:rPr>
                <w:rFonts w:ascii="Times New Roman" w:hAnsi="Times New Roman"/>
                <w:sz w:val="20"/>
              </w:rPr>
              <w:t>18–24 months</w:t>
            </w:r>
          </w:p>
        </w:tc>
      </w:tr>
    </w:tbl>
    <w:p/>
    <w:p>
      <w:pPr>
        <w:spacing w:after="120" w:line="400" w:lineRule="exact"/>
      </w:pPr>
      <w:r>
        <w:rPr>
          <w:rFonts w:ascii="Times New Roman" w:hAnsi="Times New Roman"/>
          <w:b w:val="0"/>
          <w:i/>
          <w:sz w:val="20"/>
        </w:rPr>
        <w:t>Table 7.3: Future Development Plan.</w:t>
      </w:r>
    </w:p>
    <w:p>
      <w:r>
        <w:br w:type="page"/>
      </w:r>
    </w:p>
    <w:p>
      <w:pPr>
        <w:pStyle w:val="Heading1"/>
        <w:spacing w:before="280" w:after="120"/>
      </w:pPr>
      <w:r>
        <w:rPr>
          <w:rFonts w:ascii="Times New Roman" w:hAnsi="Times New Roman"/>
          <w:color w:val="1A4072"/>
        </w:rPr>
        <w:t>References</w:t>
      </w:r>
    </w:p>
    <w:p>
      <w:pPr>
        <w:spacing w:after="80"/>
        <w:ind w:left="567" w:hanging="567"/>
      </w:pPr>
      <w:r>
        <w:rPr>
          <w:rFonts w:ascii="Times New Roman" w:hAnsi="Times New Roman"/>
          <w:b w:val="0"/>
          <w:i w:val="0"/>
          <w:sz w:val="21"/>
        </w:rPr>
        <w:t>Association of British Insurers (ABI). (2022). Motor Insurance Premium Tracker — Q4 2022. London: ABI.</w:t>
      </w:r>
    </w:p>
    <w:p>
      <w:pPr>
        <w:spacing w:after="80"/>
        <w:ind w:left="567" w:hanging="567"/>
      </w:pPr>
      <w:r>
        <w:rPr>
          <w:rFonts w:ascii="Times New Roman" w:hAnsi="Times New Roman"/>
          <w:b w:val="0"/>
          <w:i w:val="0"/>
          <w:sz w:val="21"/>
        </w:rPr>
        <w:t>Arrieta, A.B., Díaz-Rodríguez, N., Del Ser, J., Bennetot, A. et al. (2020). 'Explainable Artificial Intelligence (XAI): concepts, taxonomies, opportunities and challenges'. Information Fusion, 58, pp. 82–115.</w:t>
      </w:r>
    </w:p>
    <w:p>
      <w:pPr>
        <w:spacing w:after="80"/>
        <w:ind w:left="567" w:hanging="567"/>
      </w:pPr>
      <w:r>
        <w:rPr>
          <w:rFonts w:ascii="Times New Roman" w:hAnsi="Times New Roman"/>
          <w:b w:val="0"/>
          <w:i w:val="0"/>
          <w:sz w:val="21"/>
        </w:rPr>
        <w:t>Biau, G. and Scornet, E. (2016). 'A random forest guided tour'. TEST, 25(2), pp. 197–227.</w:t>
      </w:r>
    </w:p>
    <w:p>
      <w:pPr>
        <w:spacing w:after="80"/>
        <w:ind w:left="567" w:hanging="567"/>
      </w:pPr>
      <w:r>
        <w:rPr>
          <w:rFonts w:ascii="Times New Roman" w:hAnsi="Times New Roman"/>
          <w:b w:val="0"/>
          <w:i w:val="0"/>
          <w:sz w:val="21"/>
        </w:rPr>
        <w:t>Bischl, B., Binder, M., Lang, M. et al. (2023). 'Hyperparameter optimization: foundations, algorithms, best practices'. WIREs Data Mining and Knowledge Discovery, 13(2), e1484.</w:t>
      </w:r>
    </w:p>
    <w:p>
      <w:pPr>
        <w:spacing w:after="80"/>
        <w:ind w:left="567" w:hanging="567"/>
      </w:pPr>
      <w:r>
        <w:rPr>
          <w:rFonts w:ascii="Times New Roman" w:hAnsi="Times New Roman"/>
          <w:b w:val="0"/>
          <w:i w:val="0"/>
          <w:sz w:val="21"/>
        </w:rPr>
        <w:t>Boucher, J.P., Denuit, M. and Guillen, M. (2007). 'Risk classification for claim counts'. North American Actuarial Journal, 11(4), pp. 110–131.</w:t>
      </w:r>
    </w:p>
    <w:p>
      <w:pPr>
        <w:spacing w:after="80"/>
        <w:ind w:left="567" w:hanging="567"/>
      </w:pPr>
      <w:r>
        <w:rPr>
          <w:rFonts w:ascii="Times New Roman" w:hAnsi="Times New Roman"/>
          <w:b w:val="0"/>
          <w:i w:val="0"/>
          <w:sz w:val="21"/>
        </w:rPr>
        <w:t>Boucher, J.P., Denuit, M. and Guillen, M. (2009). 'Number of accidents or number of claims?'. Journal of Risk and Insurance, 76(4), pp. 821–846.</w:t>
      </w:r>
    </w:p>
    <w:p>
      <w:pPr>
        <w:spacing w:after="80"/>
        <w:ind w:left="567" w:hanging="567"/>
      </w:pPr>
      <w:r>
        <w:rPr>
          <w:rFonts w:ascii="Times New Roman" w:hAnsi="Times New Roman"/>
          <w:b w:val="0"/>
          <w:i w:val="0"/>
          <w:sz w:val="21"/>
        </w:rPr>
        <w:t>Breiman, L. (2001). 'Random forests'. Machine Learning, 45(1), pp. 5–32.</w:t>
      </w:r>
    </w:p>
    <w:p>
      <w:pPr>
        <w:spacing w:after="80"/>
        <w:ind w:left="567" w:hanging="567"/>
      </w:pPr>
      <w:r>
        <w:rPr>
          <w:rFonts w:ascii="Times New Roman" w:hAnsi="Times New Roman"/>
          <w:b w:val="0"/>
          <w:i w:val="0"/>
          <w:sz w:val="21"/>
        </w:rPr>
        <w:t>Chen, T. and Guestrin, C. (2016). 'XGBoost: a scalable tree boosting system'. Proceedings of KDD 2016, pp. 785–794. ACM.</w:t>
      </w:r>
    </w:p>
    <w:p>
      <w:pPr>
        <w:spacing w:after="80"/>
        <w:ind w:left="567" w:hanging="567"/>
      </w:pPr>
      <w:r>
        <w:rPr>
          <w:rFonts w:ascii="Times New Roman" w:hAnsi="Times New Roman"/>
          <w:b w:val="0"/>
          <w:i w:val="0"/>
          <w:sz w:val="21"/>
        </w:rPr>
        <w:t>Deloitte. (2023). 2023 Insurance Outlook: Navigating Uncertainty. [online] Available at: www2.deloitte.com (Accessed: 10 March 2026).</w:t>
      </w:r>
    </w:p>
    <w:p>
      <w:pPr>
        <w:spacing w:after="80"/>
        <w:ind w:left="567" w:hanging="567"/>
      </w:pPr>
      <w:r>
        <w:rPr>
          <w:rFonts w:ascii="Times New Roman" w:hAnsi="Times New Roman"/>
          <w:b w:val="0"/>
          <w:i w:val="0"/>
          <w:sz w:val="21"/>
        </w:rPr>
        <w:t>Department for Transport (DfT). (2023). Reported Road Casualties Great Britain: Annual Report 2022. London: HMSO.</w:t>
      </w:r>
    </w:p>
    <w:p>
      <w:pPr>
        <w:spacing w:after="80"/>
        <w:ind w:left="567" w:hanging="567"/>
      </w:pPr>
      <w:r>
        <w:rPr>
          <w:rFonts w:ascii="Times New Roman" w:hAnsi="Times New Roman"/>
          <w:b w:val="0"/>
          <w:i w:val="0"/>
          <w:sz w:val="21"/>
        </w:rPr>
        <w:t>Diao, X. and Weng, C. (2019). 'Efficient neural network approximation'. ASTIN Bulletin, 49(2), pp. 485–505.</w:t>
      </w:r>
    </w:p>
    <w:p>
      <w:pPr>
        <w:spacing w:after="80"/>
        <w:ind w:left="567" w:hanging="567"/>
      </w:pPr>
      <w:r>
        <w:rPr>
          <w:rFonts w:ascii="Times New Roman" w:hAnsi="Times New Roman"/>
          <w:b w:val="0"/>
          <w:i w:val="0"/>
          <w:sz w:val="21"/>
        </w:rPr>
        <w:t>Driver and Vehicle Standards Agency (DVSA). (2022). Vehicle Testing Statistics 2021–2022. London: DVSA.</w:t>
      </w:r>
    </w:p>
    <w:p>
      <w:pPr>
        <w:spacing w:after="80"/>
        <w:ind w:left="567" w:hanging="567"/>
      </w:pPr>
      <w:r>
        <w:rPr>
          <w:rFonts w:ascii="Times New Roman" w:hAnsi="Times New Roman"/>
          <w:b w:val="0"/>
          <w:i w:val="0"/>
          <w:sz w:val="21"/>
        </w:rPr>
        <w:t>Eling, M. and Lehmann, M. (2018). 'The impact of digitalization on the insurance value chain'. Geneva Papers on Risk and Insurance, 43(3), pp. 359–396.</w:t>
      </w:r>
    </w:p>
    <w:p>
      <w:pPr>
        <w:spacing w:after="80"/>
        <w:ind w:left="567" w:hanging="567"/>
      </w:pPr>
      <w:r>
        <w:rPr>
          <w:rFonts w:ascii="Times New Roman" w:hAnsi="Times New Roman"/>
          <w:b w:val="0"/>
          <w:i w:val="0"/>
          <w:sz w:val="21"/>
        </w:rPr>
        <w:t>European Parliament. (2016). General Data Protection Regulation (EU) 2016/679 (GDPR). Official Journal of the EU.</w:t>
      </w:r>
    </w:p>
    <w:p>
      <w:pPr>
        <w:spacing w:after="80"/>
        <w:ind w:left="567" w:hanging="567"/>
      </w:pPr>
      <w:r>
        <w:rPr>
          <w:rFonts w:ascii="Times New Roman" w:hAnsi="Times New Roman"/>
          <w:b w:val="0"/>
          <w:i w:val="0"/>
          <w:sz w:val="21"/>
        </w:rPr>
        <w:t>Financial Conduct Authority (FCA). (2022). Consumer Duty — Final Rules PS22/9. London: FCA.</w:t>
      </w:r>
    </w:p>
    <w:p>
      <w:pPr>
        <w:spacing w:after="80"/>
        <w:ind w:left="567" w:hanging="567"/>
      </w:pPr>
      <w:r>
        <w:rPr>
          <w:rFonts w:ascii="Times New Roman" w:hAnsi="Times New Roman"/>
          <w:b w:val="0"/>
          <w:i w:val="0"/>
          <w:sz w:val="21"/>
        </w:rPr>
        <w:t>Friedman, J.H. (2001). 'Greedy function approximation: a gradient boosting machine'. Annals of Statistics, 29(5), pp. 1189–1232.</w:t>
      </w:r>
    </w:p>
    <w:p>
      <w:pPr>
        <w:spacing w:after="80"/>
        <w:ind w:left="567" w:hanging="567"/>
      </w:pPr>
      <w:r>
        <w:rPr>
          <w:rFonts w:ascii="Times New Roman" w:hAnsi="Times New Roman"/>
          <w:b w:val="0"/>
          <w:i w:val="0"/>
          <w:sz w:val="21"/>
        </w:rPr>
        <w:t>Gibbs, G. (1988). Learning by Doing: A Guide to Teaching and Learning Methods. Oxford: FEU.</w:t>
      </w:r>
    </w:p>
    <w:p>
      <w:pPr>
        <w:spacing w:after="80"/>
        <w:ind w:left="567" w:hanging="567"/>
      </w:pPr>
      <w:r>
        <w:rPr>
          <w:rFonts w:ascii="Times New Roman" w:hAnsi="Times New Roman"/>
          <w:b w:val="0"/>
          <w:i w:val="0"/>
          <w:sz w:val="21"/>
        </w:rPr>
        <w:t>Goo, J. and Huang, C.D. (2021). 'Awareness of AI-enabled chatbots in financial services'. Information Systems Frontiers, 24(5), pp. 1607–1622.</w:t>
      </w:r>
    </w:p>
    <w:p>
      <w:pPr>
        <w:spacing w:after="80"/>
        <w:ind w:left="567" w:hanging="567"/>
      </w:pPr>
      <w:r>
        <w:rPr>
          <w:rFonts w:ascii="Times New Roman" w:hAnsi="Times New Roman"/>
          <w:b w:val="0"/>
          <w:i w:val="0"/>
          <w:sz w:val="21"/>
        </w:rPr>
        <w:t>Grinsztajn, L., Oyallon, E. and Varoquaux, G. (2022). 'Why tree-based models still outperform deep learning on tabular data'. NeurIPS 2022, 35, pp. 507–520.</w:t>
      </w:r>
    </w:p>
    <w:p>
      <w:pPr>
        <w:spacing w:after="80"/>
        <w:ind w:left="567" w:hanging="567"/>
      </w:pPr>
      <w:r>
        <w:rPr>
          <w:rFonts w:ascii="Times New Roman" w:hAnsi="Times New Roman"/>
          <w:b w:val="0"/>
          <w:i w:val="0"/>
          <w:sz w:val="21"/>
        </w:rPr>
        <w:t>Guyon, I. and Elisseeff, A. (2003). 'An introduction to variable and feature selection'. JMLR, 3, pp. 1157–1182.</w:t>
      </w:r>
    </w:p>
    <w:p>
      <w:pPr>
        <w:spacing w:after="80"/>
        <w:ind w:left="567" w:hanging="567"/>
      </w:pPr>
      <w:r>
        <w:rPr>
          <w:rFonts w:ascii="Times New Roman" w:hAnsi="Times New Roman"/>
          <w:b w:val="0"/>
          <w:i w:val="0"/>
          <w:sz w:val="21"/>
        </w:rPr>
        <w:t>Hastie, T., Tibshirani, R. and Friedman, J. (2009). The Elements of Statistical Learning. 2nd edn. New York: Springer.</w:t>
      </w:r>
    </w:p>
    <w:p>
      <w:pPr>
        <w:spacing w:after="80"/>
        <w:ind w:left="567" w:hanging="567"/>
      </w:pPr>
      <w:r>
        <w:rPr>
          <w:rFonts w:ascii="Times New Roman" w:hAnsi="Times New Roman"/>
          <w:b w:val="0"/>
          <w:i w:val="0"/>
          <w:sz w:val="21"/>
        </w:rPr>
        <w:t>Henckaerts, R., Côté, M.P., Antonio, K. and Verbelen, R. (2021). 'Boosting insights in insurance tariff plans'. North American Actuarial Journal, 25(2), pp. 255–285.</w:t>
      </w:r>
    </w:p>
    <w:p>
      <w:pPr>
        <w:spacing w:after="80"/>
        <w:ind w:left="567" w:hanging="567"/>
      </w:pPr>
      <w:r>
        <w:rPr>
          <w:rFonts w:ascii="Times New Roman" w:hAnsi="Times New Roman"/>
          <w:b w:val="0"/>
          <w:i w:val="0"/>
          <w:sz w:val="21"/>
        </w:rPr>
        <w:t>Hevner, A.R., March, S.T., Park, J. and Ram, S. (2004). 'Design science in IS research'. MIS Quarterly, 28(1), pp. 75–105.</w:t>
      </w:r>
    </w:p>
    <w:p>
      <w:pPr>
        <w:spacing w:after="80"/>
        <w:ind w:left="567" w:hanging="567"/>
      </w:pPr>
      <w:r>
        <w:rPr>
          <w:rFonts w:ascii="Times New Roman" w:hAnsi="Times New Roman"/>
          <w:b w:val="0"/>
          <w:i w:val="0"/>
          <w:sz w:val="21"/>
        </w:rPr>
        <w:t>Insurance Association of Uzbekistan. (2023). Annual Statistical Report 2022. Tashkent: IAU.</w:t>
      </w:r>
    </w:p>
    <w:p>
      <w:pPr>
        <w:spacing w:after="80"/>
        <w:ind w:left="567" w:hanging="567"/>
      </w:pPr>
      <w:r>
        <w:rPr>
          <w:rFonts w:ascii="Times New Roman" w:hAnsi="Times New Roman"/>
          <w:b w:val="0"/>
          <w:i w:val="0"/>
          <w:sz w:val="21"/>
        </w:rPr>
        <w:t>James, G., Witten, D., Hastie, T. and Tibshirani, R. (2023). An Introduction to Statistical Learning with Python. 2nd edn. New York: Springer.</w:t>
      </w:r>
    </w:p>
    <w:p>
      <w:pPr>
        <w:spacing w:after="80"/>
        <w:ind w:left="567" w:hanging="567"/>
      </w:pPr>
      <w:r>
        <w:rPr>
          <w:rFonts w:ascii="Times New Roman" w:hAnsi="Times New Roman"/>
          <w:b w:val="0"/>
          <w:i w:val="0"/>
          <w:sz w:val="21"/>
        </w:rPr>
        <w:t>Klüppelberg, C. and Mikosch, T. (2022). 'Large deviations of heavy-tailed random sums'. Journal of Applied Probability, 34(2), pp. 293–308.</w:t>
      </w:r>
    </w:p>
    <w:p>
      <w:pPr>
        <w:spacing w:after="80"/>
        <w:ind w:left="567" w:hanging="567"/>
      </w:pPr>
      <w:r>
        <w:rPr>
          <w:rFonts w:ascii="Times New Roman" w:hAnsi="Times New Roman"/>
          <w:b w:val="0"/>
          <w:i w:val="0"/>
          <w:sz w:val="21"/>
        </w:rPr>
        <w:t>Lundberg, S.M. and Lee, S.I. (2017). 'A unified approach to interpreting model predictions'. NeurIPS, 30, pp. 4765–4774.</w:t>
      </w:r>
    </w:p>
    <w:p>
      <w:pPr>
        <w:spacing w:after="80"/>
        <w:ind w:left="567" w:hanging="567"/>
      </w:pPr>
      <w:r>
        <w:rPr>
          <w:rFonts w:ascii="Times New Roman" w:hAnsi="Times New Roman"/>
          <w:b w:val="0"/>
          <w:i w:val="0"/>
          <w:sz w:val="21"/>
        </w:rPr>
        <w:t>McKinsey &amp; Company. (2022). The Future of Insurance. New York: McKinsey Global Institute.</w:t>
      </w:r>
    </w:p>
    <w:p>
      <w:pPr>
        <w:spacing w:after="80"/>
        <w:ind w:left="567" w:hanging="567"/>
      </w:pPr>
      <w:r>
        <w:rPr>
          <w:rFonts w:ascii="Times New Roman" w:hAnsi="Times New Roman"/>
          <w:b w:val="0"/>
          <w:i w:val="0"/>
          <w:sz w:val="21"/>
        </w:rPr>
        <w:t>Oates, B.J., Griffiths, M. and McLean, R. (2022). Researching Information Systems and Computing. 2nd edn. London: SAGE.</w:t>
      </w:r>
    </w:p>
    <w:p>
      <w:pPr>
        <w:spacing w:after="80"/>
        <w:ind w:left="567" w:hanging="567"/>
      </w:pPr>
      <w:r>
        <w:rPr>
          <w:rFonts w:ascii="Times New Roman" w:hAnsi="Times New Roman"/>
          <w:b w:val="0"/>
          <w:i w:val="0"/>
          <w:sz w:val="21"/>
        </w:rPr>
        <w:t>OWASP. (2021). OWASP Application Security Verification Standard 4.0.3. [online] Available at: owasp.org (Accessed: 15 April 2026).</w:t>
      </w:r>
    </w:p>
    <w:p>
      <w:pPr>
        <w:spacing w:after="80"/>
        <w:ind w:left="567" w:hanging="567"/>
      </w:pPr>
      <w:r>
        <w:rPr>
          <w:rFonts w:ascii="Times New Roman" w:hAnsi="Times New Roman"/>
          <w:b w:val="0"/>
          <w:i w:val="0"/>
          <w:sz w:val="21"/>
        </w:rPr>
        <w:t>Project Management Institute (PMI). (2021). PMBOK Guide. 7th edn. Newtown Square: PMI.</w:t>
      </w:r>
    </w:p>
    <w:p>
      <w:pPr>
        <w:spacing w:after="80"/>
        <w:ind w:left="567" w:hanging="567"/>
      </w:pPr>
      <w:r>
        <w:rPr>
          <w:rFonts w:ascii="Times New Roman" w:hAnsi="Times New Roman"/>
          <w:b w:val="0"/>
          <w:i w:val="0"/>
          <w:sz w:val="21"/>
        </w:rPr>
        <w:t>Samek, W., Wiegand, T. and Müller, K.R. (2017). 'Explainable AI: understanding deep learning'. ITU Journal, 1(1), pp. 39–48.</w:t>
      </w:r>
    </w:p>
    <w:p>
      <w:pPr>
        <w:spacing w:after="80"/>
        <w:ind w:left="567" w:hanging="567"/>
      </w:pPr>
      <w:r>
        <w:rPr>
          <w:rFonts w:ascii="Times New Roman" w:hAnsi="Times New Roman"/>
          <w:b w:val="0"/>
          <w:i w:val="0"/>
          <w:sz w:val="21"/>
        </w:rPr>
        <w:t>Saunders, M., Lewis, P. and Thornhill, A. (2023). Research Methods for Business Students. 9th edn. Harlow: Pearson.</w:t>
      </w:r>
    </w:p>
    <w:p>
      <w:pPr>
        <w:spacing w:after="80"/>
        <w:ind w:left="567" w:hanging="567"/>
      </w:pPr>
      <w:r>
        <w:rPr>
          <w:rFonts w:ascii="Times New Roman" w:hAnsi="Times New Roman"/>
          <w:b w:val="0"/>
          <w:i w:val="0"/>
          <w:sz w:val="21"/>
        </w:rPr>
        <w:t>Schwaber, K. and Sutherland, J. (2020). The Scrum Guide. [online] Available at: scrumguides.org (Accessed: 20 January 2026).</w:t>
      </w:r>
    </w:p>
    <w:p>
      <w:pPr>
        <w:spacing w:after="80"/>
        <w:ind w:left="567" w:hanging="567"/>
      </w:pPr>
      <w:r>
        <w:rPr>
          <w:rFonts w:ascii="Times New Roman" w:hAnsi="Times New Roman"/>
          <w:b w:val="0"/>
          <w:i w:val="0"/>
          <w:sz w:val="21"/>
        </w:rPr>
        <w:t>Shift Technology. (2022). The Case for AI in Insurance. Paris: Shift Technology.</w:t>
      </w:r>
    </w:p>
    <w:p>
      <w:pPr>
        <w:spacing w:after="80"/>
        <w:ind w:left="567" w:hanging="567"/>
      </w:pPr>
      <w:r>
        <w:rPr>
          <w:rFonts w:ascii="Times New Roman" w:hAnsi="Times New Roman"/>
          <w:b w:val="0"/>
          <w:i w:val="0"/>
          <w:sz w:val="21"/>
        </w:rPr>
        <w:t>State Insurance Supervision Committee (SISC). (2023). Statistical Bulletin 2023. Tashkent: SISC.</w:t>
      </w:r>
    </w:p>
    <w:p>
      <w:pPr>
        <w:spacing w:after="80"/>
        <w:ind w:left="567" w:hanging="567"/>
      </w:pPr>
      <w:r>
        <w:rPr>
          <w:rFonts w:ascii="Times New Roman" w:hAnsi="Times New Roman"/>
          <w:b w:val="0"/>
          <w:i w:val="0"/>
          <w:sz w:val="21"/>
        </w:rPr>
        <w:t>Verbelen, R., Antonio, K. and Claeskens, G. (2018). 'Unravelling the predictive power of telematics data'. Journal of the Royal Statistical Society: Series C, 67(5), pp. 1275–1304.</w:t>
      </w:r>
    </w:p>
    <w:p>
      <w:pPr>
        <w:spacing w:after="80"/>
        <w:ind w:left="567" w:hanging="567"/>
      </w:pPr>
      <w:r>
        <w:rPr>
          <w:rFonts w:ascii="Times New Roman" w:hAnsi="Times New Roman"/>
          <w:b w:val="0"/>
          <w:i w:val="0"/>
          <w:sz w:val="21"/>
        </w:rPr>
        <w:t>World Bank. (2022). Uzbekistan: Transport Sector Update. Washington DC: World Bank Group.</w:t>
      </w:r>
    </w:p>
    <w:p>
      <w:pPr>
        <w:spacing w:after="80"/>
        <w:ind w:left="567" w:hanging="567"/>
      </w:pPr>
      <w:r>
        <w:rPr>
          <w:rFonts w:ascii="Times New Roman" w:hAnsi="Times New Roman"/>
          <w:b w:val="0"/>
          <w:i w:val="0"/>
          <w:sz w:val="21"/>
        </w:rPr>
        <w:t>Wüthrich, M.V. and Merz, M. (2023). Statistical Foundations of Actuarial Learning. Cham: Springer.</w:t>
      </w:r>
    </w:p>
    <w:p>
      <w:r>
        <w:br w:type="page"/>
      </w:r>
    </w:p>
    <w:p>
      <w:pPr>
        <w:pStyle w:val="Heading1"/>
        <w:spacing w:before="280" w:after="120"/>
      </w:pPr>
      <w:r>
        <w:rPr>
          <w:rFonts w:ascii="Times New Roman" w:hAnsi="Times New Roman"/>
          <w:color w:val="1A4072"/>
        </w:rPr>
        <w:t>Appendices</w:t>
      </w:r>
    </w:p>
    <w:p>
      <w:pPr>
        <w:pStyle w:val="Heading2"/>
        <w:spacing w:before="160" w:after="120"/>
      </w:pPr>
      <w:r>
        <w:rPr>
          <w:rFonts w:ascii="Times New Roman" w:hAnsi="Times New Roman"/>
          <w:color w:val="1A4072"/>
        </w:rPr>
        <w:t>Appendix A — Ethics Statement</w:t>
      </w:r>
    </w:p>
    <w:p>
      <w:pPr>
        <w:spacing w:after="120" w:line="400" w:lineRule="exact"/>
      </w:pPr>
      <w:r>
        <w:rPr>
          <w:rFonts w:ascii="Times New Roman" w:hAnsi="Times New Roman"/>
          <w:b w:val="0"/>
          <w:i w:val="0"/>
          <w:sz w:val="22"/>
        </w:rPr>
        <w:t>No human participants were recruited for this project. The synthetic dataset was entirely algorithmically generated and contains no personal data. Signed statement: "I confirm that this project did not involve collection of personal data from human participants and was conducted in accordance with PDP University research ethics guidelines. — Mubina Rustamova, June 2026."</w:t>
      </w:r>
    </w:p>
    <w:p>
      <w:pPr>
        <w:pStyle w:val="Heading2"/>
        <w:spacing w:before="160" w:after="120"/>
      </w:pPr>
      <w:r>
        <w:rPr>
          <w:rFonts w:ascii="Times New Roman" w:hAnsi="Times New Roman"/>
          <w:color w:val="1A4072"/>
        </w:rPr>
        <w:t>Appendix B — Dataset Generator Parameters</w:t>
      </w:r>
    </w:p>
    <w:p>
      <w:r>
        <w:rPr>
          <w:rFonts w:ascii="Times New Roman" w:hAnsi="Times New Roman"/>
          <w:b w:val="0"/>
          <w:i w:val="0"/>
          <w:sz w:val="20"/>
        </w:rPr>
        <w:t>N_RECORDS = 30,000  |  CLASS_DIST = {Low:35%, Medium:35%, High:20%, VeryHigh:10%}</w:t>
        <w:br/>
        <w:t>driver_age ~ Normal(μ=38, σ=13), clipped [17,80]</w:t>
        <w:br/>
        <w:t>driving_exp ~ max(0, driver_age − 17 − Normal(0,3))</w:t>
        <w:br/>
        <w:t>annual_mileage ~ LogNormal(μ=9.2, σ=0.6), clipped [1000,50000]</w:t>
        <w:br/>
        <w:t>credit_score ~ Normal(μ=680, σ=90), clipped [300,850]</w:t>
        <w:br/>
        <w:t>previous_accidents ~ Poisson(λ=0.35 × risk_multiplier)</w:t>
        <w:br/>
        <w:t>RANDOM_STATE = 42  (all operations — fully reproducible)</w:t>
      </w:r>
    </w:p>
    <w:p>
      <w:pPr>
        <w:pStyle w:val="Heading2"/>
        <w:spacing w:before="160" w:after="120"/>
      </w:pPr>
      <w:r>
        <w:rPr>
          <w:rFonts w:ascii="Times New Roman" w:hAnsi="Times New Roman"/>
          <w:color w:val="1A4072"/>
        </w:rPr>
        <w:t>Appendix C — Model Raw Results</w:t>
      </w:r>
    </w:p>
    <w:p>
      <w:r>
        <w:rPr>
          <w:rFonts w:ascii="Times New Roman" w:hAnsi="Times New Roman"/>
          <w:b w:val="0"/>
          <w:i w:val="0"/>
          <w:sz w:val="20"/>
        </w:rPr>
        <w:t>XGBoost (Tuned) — Test Set (6,000 records)</w:t>
        <w:br/>
        <w:t>Accuracy: 85.22%  |  ROC-AUC: 0.9738  |  Macro F1: 0.85</w:t>
        <w:br/>
        <w:br/>
        <w:t xml:space="preserve">              precision  recall  f1-score  support</w:t>
        <w:br/>
        <w:t>Low              0.88    0.87      0.88     2100</w:t>
        <w:br/>
        <w:t>Medium           0.82    0.84      0.83     2100</w:t>
        <w:br/>
        <w:t>High             0.85    0.83      0.84     1200</w:t>
        <w:br/>
        <w:t>Very High        0.87    0.88      0.86      600</w:t>
        <w:br/>
        <w:br/>
        <w:t>McNemar test vs Gradient Boosting: p = 0.031 (statistically significant)</w:t>
      </w:r>
    </w:p>
    <w:p>
      <w:pPr>
        <w:pStyle w:val="Heading2"/>
        <w:spacing w:before="160" w:after="120"/>
      </w:pPr>
      <w:r>
        <w:rPr>
          <w:rFonts w:ascii="Times New Roman" w:hAnsi="Times New Roman"/>
          <w:color w:val="1A4072"/>
        </w:rPr>
        <w:t>Appendix D — Assessment Criteria Mapping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1A4072" w:color="FFFFFF" w:val="clear"/>
          </w:tcPr>
          <w:p>
            <w:r>
              <w:rPr>
                <w:rFonts w:ascii="Times New Roman" w:hAnsi="Times New Roman"/>
                <w:b/>
                <w:color w:val="FFFFFF"/>
                <w:sz w:val="20"/>
              </w:rPr>
              <w:t>Code</w:t>
            </w:r>
          </w:p>
        </w:tc>
        <w:tc>
          <w:tcPr>
            <w:tcW w:type="dxa" w:w="4252"/>
            <w:shd w:fill="1A4072" w:color="FFFFFF" w:val="clear"/>
          </w:tcPr>
          <w:p>
            <w:r>
              <w:rPr>
                <w:rFonts w:ascii="Times New Roman" w:hAnsi="Times New Roman"/>
                <w:b/>
                <w:color w:val="FFFFFF"/>
                <w:sz w:val="20"/>
              </w:rPr>
              <w:t>Criterion</w:t>
            </w:r>
          </w:p>
        </w:tc>
        <w:tc>
          <w:tcPr>
            <w:tcW w:type="dxa" w:w="1984"/>
            <w:shd w:fill="1A4072" w:color="FFFFFF" w:val="clear"/>
          </w:tcPr>
          <w:p>
            <w:r>
              <w:rPr>
                <w:rFonts w:ascii="Times New Roman" w:hAnsi="Times New Roman"/>
                <w:b/>
                <w:color w:val="FFFFFF"/>
                <w:sz w:val="20"/>
              </w:rPr>
              <w:t>Section</w:t>
            </w:r>
          </w:p>
        </w:tc>
        <w:tc>
          <w:tcPr>
            <w:tcW w:type="dxa" w:w="1134"/>
            <w:shd w:fill="1A4072" w:color="FFFFFF" w:val="clear"/>
          </w:tcPr>
          <w:p>
            <w:r>
              <w:rPr>
                <w:rFonts w:ascii="Times New Roman" w:hAnsi="Times New Roman"/>
                <w:b/>
                <w:color w:val="FFFFFF"/>
                <w:sz w:val="20"/>
              </w:rPr>
              <w:t>Met</w:t>
            </w:r>
          </w:p>
        </w:tc>
      </w:tr>
      <w:tr>
        <w:tc>
          <w:tcPr>
            <w:tcW w:type="dxa" w:w="850"/>
          </w:tcPr>
          <w:p>
            <w:r>
              <w:rPr>
                <w:rFonts w:ascii="Times New Roman" w:hAnsi="Times New Roman"/>
                <w:sz w:val="20"/>
              </w:rPr>
              <w:t>P1</w:t>
            </w:r>
          </w:p>
        </w:tc>
        <w:tc>
          <w:tcPr>
            <w:tcW w:type="dxa" w:w="4252"/>
          </w:tcPr>
          <w:p>
            <w:r>
              <w:rPr>
                <w:rFonts w:ascii="Times New Roman" w:hAnsi="Times New Roman"/>
                <w:sz w:val="20"/>
              </w:rPr>
              <w:t>Clear aim and objectives for a complex problem</w:t>
            </w:r>
          </w:p>
        </w:tc>
        <w:tc>
          <w:tcPr>
            <w:tcW w:type="dxa" w:w="1984"/>
          </w:tcPr>
          <w:p>
            <w:r>
              <w:rPr>
                <w:rFonts w:ascii="Times New Roman" w:hAnsi="Times New Roman"/>
                <w:sz w:val="20"/>
              </w:rPr>
              <w:t>1.3, 1.4</w:t>
            </w:r>
          </w:p>
        </w:tc>
        <w:tc>
          <w:tcPr>
            <w:tcW w:type="dxa" w:w="1134"/>
          </w:tcPr>
          <w:p>
            <w:r>
              <w:rPr>
                <w:rFonts w:ascii="Times New Roman" w:hAnsi="Times New Roman"/>
                <w:sz w:val="20"/>
              </w:rPr>
              <w:t>Yes</w:t>
            </w:r>
          </w:p>
        </w:tc>
      </w:tr>
      <w:tr>
        <w:tc>
          <w:tcPr>
            <w:tcW w:type="dxa" w:w="850"/>
          </w:tcPr>
          <w:p>
            <w:r>
              <w:rPr>
                <w:rFonts w:ascii="Times New Roman" w:hAnsi="Times New Roman"/>
                <w:sz w:val="20"/>
              </w:rPr>
              <w:t>P2</w:t>
            </w:r>
          </w:p>
        </w:tc>
        <w:tc>
          <w:tcPr>
            <w:tcW w:type="dxa" w:w="4252"/>
          </w:tcPr>
          <w:p>
            <w:r>
              <w:rPr>
                <w:rFonts w:ascii="Times New Roman" w:hAnsi="Times New Roman"/>
                <w:sz w:val="20"/>
              </w:rPr>
              <w:t>Significance in digital technologies context</w:t>
            </w:r>
          </w:p>
        </w:tc>
        <w:tc>
          <w:tcPr>
            <w:tcW w:type="dxa" w:w="1984"/>
          </w:tcPr>
          <w:p>
            <w:r>
              <w:rPr>
                <w:rFonts w:ascii="Times New Roman" w:hAnsi="Times New Roman"/>
                <w:sz w:val="20"/>
              </w:rPr>
              <w:t>1.6</w:t>
            </w:r>
          </w:p>
        </w:tc>
        <w:tc>
          <w:tcPr>
            <w:tcW w:type="dxa" w:w="1134"/>
          </w:tcPr>
          <w:p>
            <w:r>
              <w:rPr>
                <w:rFonts w:ascii="Times New Roman" w:hAnsi="Times New Roman"/>
                <w:sz w:val="20"/>
              </w:rPr>
              <w:t>Yes</w:t>
            </w:r>
          </w:p>
        </w:tc>
      </w:tr>
      <w:tr>
        <w:tc>
          <w:tcPr>
            <w:tcW w:type="dxa" w:w="850"/>
          </w:tcPr>
          <w:p>
            <w:r>
              <w:rPr>
                <w:rFonts w:ascii="Times New Roman" w:hAnsi="Times New Roman"/>
                <w:sz w:val="20"/>
              </w:rPr>
              <w:t>M1</w:t>
            </w:r>
          </w:p>
        </w:tc>
        <w:tc>
          <w:tcPr>
            <w:tcW w:type="dxa" w:w="4252"/>
          </w:tcPr>
          <w:p>
            <w:r>
              <w:rPr>
                <w:rFonts w:ascii="Times New Roman" w:hAnsi="Times New Roman"/>
                <w:sz w:val="20"/>
              </w:rPr>
              <w:t>Justify relevance, feasibility and significance with sources</w:t>
            </w:r>
          </w:p>
        </w:tc>
        <w:tc>
          <w:tcPr>
            <w:tcW w:type="dxa" w:w="1984"/>
          </w:tcPr>
          <w:p>
            <w:r>
              <w:rPr>
                <w:rFonts w:ascii="Times New Roman" w:hAnsi="Times New Roman"/>
                <w:sz w:val="20"/>
              </w:rPr>
              <w:t>Ch.2 + 1.6</w:t>
            </w:r>
          </w:p>
        </w:tc>
        <w:tc>
          <w:tcPr>
            <w:tcW w:type="dxa" w:w="1134"/>
          </w:tcPr>
          <w:p>
            <w:r>
              <w:rPr>
                <w:rFonts w:ascii="Times New Roman" w:hAnsi="Times New Roman"/>
                <w:sz w:val="20"/>
              </w:rPr>
              <w:t>Yes</w:t>
            </w:r>
          </w:p>
        </w:tc>
      </w:tr>
      <w:tr>
        <w:tc>
          <w:tcPr>
            <w:tcW w:type="dxa" w:w="850"/>
          </w:tcPr>
          <w:p>
            <w:r>
              <w:rPr>
                <w:rFonts w:ascii="Times New Roman" w:hAnsi="Times New Roman"/>
                <w:sz w:val="20"/>
              </w:rPr>
              <w:t>D1</w:t>
            </w:r>
          </w:p>
        </w:tc>
        <w:tc>
          <w:tcPr>
            <w:tcW w:type="dxa" w:w="4252"/>
          </w:tcPr>
          <w:p>
            <w:r>
              <w:rPr>
                <w:rFonts w:ascii="Times New Roman" w:hAnsi="Times New Roman"/>
                <w:sz w:val="20"/>
              </w:rPr>
              <w:t>Evaluate alternative research directions</w:t>
            </w:r>
          </w:p>
        </w:tc>
        <w:tc>
          <w:tcPr>
            <w:tcW w:type="dxa" w:w="1984"/>
          </w:tcPr>
          <w:p>
            <w:r>
              <w:rPr>
                <w:rFonts w:ascii="Times New Roman" w:hAnsi="Times New Roman"/>
                <w:sz w:val="20"/>
              </w:rPr>
              <w:t>2.5</w:t>
            </w:r>
          </w:p>
        </w:tc>
        <w:tc>
          <w:tcPr>
            <w:tcW w:type="dxa" w:w="1134"/>
          </w:tcPr>
          <w:p>
            <w:r>
              <w:rPr>
                <w:rFonts w:ascii="Times New Roman" w:hAnsi="Times New Roman"/>
                <w:sz w:val="20"/>
              </w:rPr>
              <w:t>Yes</w:t>
            </w:r>
          </w:p>
        </w:tc>
      </w:tr>
      <w:tr>
        <w:tc>
          <w:tcPr>
            <w:tcW w:type="dxa" w:w="850"/>
          </w:tcPr>
          <w:p>
            <w:r>
              <w:rPr>
                <w:rFonts w:ascii="Times New Roman" w:hAnsi="Times New Roman"/>
                <w:sz w:val="20"/>
              </w:rPr>
              <w:t>P3</w:t>
            </w:r>
          </w:p>
        </w:tc>
        <w:tc>
          <w:tcPr>
            <w:tcW w:type="dxa" w:w="4252"/>
          </w:tcPr>
          <w:p>
            <w:r>
              <w:rPr>
                <w:rFonts w:ascii="Times New Roman" w:hAnsi="Times New Roman"/>
                <w:sz w:val="20"/>
              </w:rPr>
              <w:t>Structured project plan with timelines, risks, ethics</w:t>
            </w:r>
          </w:p>
        </w:tc>
        <w:tc>
          <w:tcPr>
            <w:tcW w:type="dxa" w:w="1984"/>
          </w:tcPr>
          <w:p>
            <w:r>
              <w:rPr>
                <w:rFonts w:ascii="Times New Roman" w:hAnsi="Times New Roman"/>
                <w:sz w:val="20"/>
              </w:rPr>
              <w:t>3.4–3.7</w:t>
            </w:r>
          </w:p>
        </w:tc>
        <w:tc>
          <w:tcPr>
            <w:tcW w:type="dxa" w:w="1134"/>
          </w:tcPr>
          <w:p>
            <w:r>
              <w:rPr>
                <w:rFonts w:ascii="Times New Roman" w:hAnsi="Times New Roman"/>
                <w:sz w:val="20"/>
              </w:rPr>
              <w:t>Yes</w:t>
            </w:r>
          </w:p>
        </w:tc>
      </w:tr>
      <w:tr>
        <w:tc>
          <w:tcPr>
            <w:tcW w:type="dxa" w:w="850"/>
          </w:tcPr>
          <w:p>
            <w:r>
              <w:rPr>
                <w:rFonts w:ascii="Times New Roman" w:hAnsi="Times New Roman"/>
                <w:sz w:val="20"/>
              </w:rPr>
              <w:t>P4</w:t>
            </w:r>
          </w:p>
        </w:tc>
        <w:tc>
          <w:tcPr>
            <w:tcW w:type="dxa" w:w="4252"/>
          </w:tcPr>
          <w:p>
            <w:r>
              <w:rPr>
                <w:rFonts w:ascii="Times New Roman" w:hAnsi="Times New Roman"/>
                <w:sz w:val="20"/>
              </w:rPr>
              <w:t>Implement key elements of project plan</w:t>
            </w:r>
          </w:p>
        </w:tc>
        <w:tc>
          <w:tcPr>
            <w:tcW w:type="dxa" w:w="1984"/>
          </w:tcPr>
          <w:p>
            <w:r>
              <w:rPr>
                <w:rFonts w:ascii="Times New Roman" w:hAnsi="Times New Roman"/>
                <w:sz w:val="20"/>
              </w:rPr>
              <w:t>3.9, Ch.4</w:t>
            </w:r>
          </w:p>
        </w:tc>
        <w:tc>
          <w:tcPr>
            <w:tcW w:type="dxa" w:w="1134"/>
          </w:tcPr>
          <w:p>
            <w:r>
              <w:rPr>
                <w:rFonts w:ascii="Times New Roman" w:hAnsi="Times New Roman"/>
                <w:sz w:val="20"/>
              </w:rPr>
              <w:t>Yes</w:t>
            </w:r>
          </w:p>
        </w:tc>
      </w:tr>
      <w:tr>
        <w:tc>
          <w:tcPr>
            <w:tcW w:type="dxa" w:w="850"/>
          </w:tcPr>
          <w:p>
            <w:r>
              <w:rPr>
                <w:rFonts w:ascii="Times New Roman" w:hAnsi="Times New Roman"/>
                <w:sz w:val="20"/>
              </w:rPr>
              <w:t>M2</w:t>
            </w:r>
          </w:p>
        </w:tc>
        <w:tc>
          <w:tcPr>
            <w:tcW w:type="dxa" w:w="4252"/>
          </w:tcPr>
          <w:p>
            <w:r>
              <w:rPr>
                <w:rFonts w:ascii="Times New Roman" w:hAnsi="Times New Roman"/>
                <w:sz w:val="20"/>
              </w:rPr>
              <w:t>Monitor progress and respond to challenges</w:t>
            </w:r>
          </w:p>
        </w:tc>
        <w:tc>
          <w:tcPr>
            <w:tcW w:type="dxa" w:w="1984"/>
          </w:tcPr>
          <w:p>
            <w:r>
              <w:rPr>
                <w:rFonts w:ascii="Times New Roman" w:hAnsi="Times New Roman"/>
                <w:sz w:val="20"/>
              </w:rPr>
              <w:t>3.8, 3.10</w:t>
            </w:r>
          </w:p>
        </w:tc>
        <w:tc>
          <w:tcPr>
            <w:tcW w:type="dxa" w:w="1134"/>
          </w:tcPr>
          <w:p>
            <w:r>
              <w:rPr>
                <w:rFonts w:ascii="Times New Roman" w:hAnsi="Times New Roman"/>
                <w:sz w:val="20"/>
              </w:rPr>
              <w:t>Yes</w:t>
            </w:r>
          </w:p>
        </w:tc>
      </w:tr>
      <w:tr>
        <w:tc>
          <w:tcPr>
            <w:tcW w:type="dxa" w:w="850"/>
          </w:tcPr>
          <w:p>
            <w:r>
              <w:rPr>
                <w:rFonts w:ascii="Times New Roman" w:hAnsi="Times New Roman"/>
                <w:sz w:val="20"/>
              </w:rPr>
              <w:t>D2</w:t>
            </w:r>
          </w:p>
        </w:tc>
        <w:tc>
          <w:tcPr>
            <w:tcW w:type="dxa" w:w="4252"/>
          </w:tcPr>
          <w:p>
            <w:r>
              <w:rPr>
                <w:rFonts w:ascii="Times New Roman" w:hAnsi="Times New Roman"/>
                <w:sz w:val="20"/>
              </w:rPr>
              <w:t>Critically assess planning effectiveness</w:t>
            </w:r>
          </w:p>
        </w:tc>
        <w:tc>
          <w:tcPr>
            <w:tcW w:type="dxa" w:w="1984"/>
          </w:tcPr>
          <w:p>
            <w:r>
              <w:rPr>
                <w:rFonts w:ascii="Times New Roman" w:hAnsi="Times New Roman"/>
                <w:sz w:val="20"/>
              </w:rPr>
              <w:t>3.10</w:t>
            </w:r>
          </w:p>
        </w:tc>
        <w:tc>
          <w:tcPr>
            <w:tcW w:type="dxa" w:w="1134"/>
          </w:tcPr>
          <w:p>
            <w:r>
              <w:rPr>
                <w:rFonts w:ascii="Times New Roman" w:hAnsi="Times New Roman"/>
                <w:sz w:val="20"/>
              </w:rPr>
              <w:t>Yes</w:t>
            </w:r>
          </w:p>
        </w:tc>
      </w:tr>
      <w:tr>
        <w:tc>
          <w:tcPr>
            <w:tcW w:type="dxa" w:w="850"/>
          </w:tcPr>
          <w:p>
            <w:r>
              <w:rPr>
                <w:rFonts w:ascii="Times New Roman" w:hAnsi="Times New Roman"/>
                <w:sz w:val="20"/>
              </w:rPr>
              <w:t>P5</w:t>
            </w:r>
          </w:p>
        </w:tc>
        <w:tc>
          <w:tcPr>
            <w:tcW w:type="dxa" w:w="4252"/>
          </w:tcPr>
          <w:p>
            <w:r>
              <w:rPr>
                <w:rFonts w:ascii="Times New Roman" w:hAnsi="Times New Roman"/>
                <w:sz w:val="20"/>
              </w:rPr>
              <w:t>Apply data collection and analysis methods</w:t>
            </w:r>
          </w:p>
        </w:tc>
        <w:tc>
          <w:tcPr>
            <w:tcW w:type="dxa" w:w="1984"/>
          </w:tcPr>
          <w:p>
            <w:r>
              <w:rPr>
                <w:rFonts w:ascii="Times New Roman" w:hAnsi="Times New Roman"/>
                <w:sz w:val="20"/>
              </w:rPr>
              <w:t>4.1–4.3</w:t>
            </w:r>
          </w:p>
        </w:tc>
        <w:tc>
          <w:tcPr>
            <w:tcW w:type="dxa" w:w="1134"/>
          </w:tcPr>
          <w:p>
            <w:r>
              <w:rPr>
                <w:rFonts w:ascii="Times New Roman" w:hAnsi="Times New Roman"/>
                <w:sz w:val="20"/>
              </w:rPr>
              <w:t>Yes</w:t>
            </w:r>
          </w:p>
        </w:tc>
      </w:tr>
      <w:tr>
        <w:tc>
          <w:tcPr>
            <w:tcW w:type="dxa" w:w="850"/>
          </w:tcPr>
          <w:p>
            <w:r>
              <w:rPr>
                <w:rFonts w:ascii="Times New Roman" w:hAnsi="Times New Roman"/>
                <w:sz w:val="20"/>
              </w:rPr>
              <w:t>M3</w:t>
            </w:r>
          </w:p>
        </w:tc>
        <w:tc>
          <w:tcPr>
            <w:tcW w:type="dxa" w:w="4252"/>
          </w:tcPr>
          <w:p>
            <w:r>
              <w:rPr>
                <w:rFonts w:ascii="Times New Roman" w:hAnsi="Times New Roman"/>
                <w:sz w:val="20"/>
              </w:rPr>
              <w:t>Interpret methods aligned with objectives</w:t>
            </w:r>
          </w:p>
        </w:tc>
        <w:tc>
          <w:tcPr>
            <w:tcW w:type="dxa" w:w="1984"/>
          </w:tcPr>
          <w:p>
            <w:r>
              <w:rPr>
                <w:rFonts w:ascii="Times New Roman" w:hAnsi="Times New Roman"/>
                <w:sz w:val="20"/>
              </w:rPr>
              <w:t>4.2</w:t>
            </w:r>
          </w:p>
        </w:tc>
        <w:tc>
          <w:tcPr>
            <w:tcW w:type="dxa" w:w="1134"/>
          </w:tcPr>
          <w:p>
            <w:r>
              <w:rPr>
                <w:rFonts w:ascii="Times New Roman" w:hAnsi="Times New Roman"/>
                <w:sz w:val="20"/>
              </w:rPr>
              <w:t>Yes</w:t>
            </w:r>
          </w:p>
        </w:tc>
      </w:tr>
      <w:tr>
        <w:tc>
          <w:tcPr>
            <w:tcW w:type="dxa" w:w="850"/>
          </w:tcPr>
          <w:p>
            <w:r>
              <w:rPr>
                <w:rFonts w:ascii="Times New Roman" w:hAnsi="Times New Roman"/>
                <w:sz w:val="20"/>
              </w:rPr>
              <w:t>M4</w:t>
            </w:r>
          </w:p>
        </w:tc>
        <w:tc>
          <w:tcPr>
            <w:tcW w:type="dxa" w:w="4252"/>
          </w:tcPr>
          <w:p>
            <w:r>
              <w:rPr>
                <w:rFonts w:ascii="Times New Roman" w:hAnsi="Times New Roman"/>
                <w:sz w:val="20"/>
              </w:rPr>
              <w:t>Compare patterns with visualisation</w:t>
            </w:r>
          </w:p>
        </w:tc>
        <w:tc>
          <w:tcPr>
            <w:tcW w:type="dxa" w:w="1984"/>
          </w:tcPr>
          <w:p>
            <w:r>
              <w:rPr>
                <w:rFonts w:ascii="Times New Roman" w:hAnsi="Times New Roman"/>
                <w:sz w:val="20"/>
              </w:rPr>
              <w:t>4.3, 4.4</w:t>
            </w:r>
          </w:p>
        </w:tc>
        <w:tc>
          <w:tcPr>
            <w:tcW w:type="dxa" w:w="1134"/>
          </w:tcPr>
          <w:p>
            <w:r>
              <w:rPr>
                <w:rFonts w:ascii="Times New Roman" w:hAnsi="Times New Roman"/>
                <w:sz w:val="20"/>
              </w:rPr>
              <w:t>Yes</w:t>
            </w:r>
          </w:p>
        </w:tc>
      </w:tr>
      <w:tr>
        <w:tc>
          <w:tcPr>
            <w:tcW w:type="dxa" w:w="850"/>
          </w:tcPr>
          <w:p>
            <w:r>
              <w:rPr>
                <w:rFonts w:ascii="Times New Roman" w:hAnsi="Times New Roman"/>
                <w:sz w:val="20"/>
              </w:rPr>
              <w:t>D3</w:t>
            </w:r>
          </w:p>
        </w:tc>
        <w:tc>
          <w:tcPr>
            <w:tcW w:type="dxa" w:w="4252"/>
          </w:tcPr>
          <w:p>
            <w:r>
              <w:rPr>
                <w:rFonts w:ascii="Times New Roman" w:hAnsi="Times New Roman"/>
                <w:sz w:val="20"/>
              </w:rPr>
              <w:t>Evaluate validity and reliability</w:t>
            </w:r>
          </w:p>
        </w:tc>
        <w:tc>
          <w:tcPr>
            <w:tcW w:type="dxa" w:w="1984"/>
          </w:tcPr>
          <w:p>
            <w:r>
              <w:rPr>
                <w:rFonts w:ascii="Times New Roman" w:hAnsi="Times New Roman"/>
                <w:sz w:val="20"/>
              </w:rPr>
              <w:t>5.3, 5.4</w:t>
            </w:r>
          </w:p>
        </w:tc>
        <w:tc>
          <w:tcPr>
            <w:tcW w:type="dxa" w:w="1134"/>
          </w:tcPr>
          <w:p>
            <w:r>
              <w:rPr>
                <w:rFonts w:ascii="Times New Roman" w:hAnsi="Times New Roman"/>
                <w:sz w:val="20"/>
              </w:rPr>
              <w:t>Yes</w:t>
            </w:r>
          </w:p>
        </w:tc>
      </w:tr>
      <w:tr>
        <w:tc>
          <w:tcPr>
            <w:tcW w:type="dxa" w:w="850"/>
          </w:tcPr>
          <w:p>
            <w:r>
              <w:rPr>
                <w:rFonts w:ascii="Times New Roman" w:hAnsi="Times New Roman"/>
                <w:sz w:val="20"/>
              </w:rPr>
              <w:t>P6</w:t>
            </w:r>
          </w:p>
        </w:tc>
        <w:tc>
          <w:tcPr>
            <w:tcW w:type="dxa" w:w="4252"/>
          </w:tcPr>
          <w:p>
            <w:r>
              <w:rPr>
                <w:rFonts w:ascii="Times New Roman" w:hAnsi="Times New Roman"/>
                <w:sz w:val="20"/>
              </w:rPr>
              <w:t>Structured report and oral presentation</w:t>
            </w:r>
          </w:p>
        </w:tc>
        <w:tc>
          <w:tcPr>
            <w:tcW w:type="dxa" w:w="1984"/>
          </w:tcPr>
          <w:p>
            <w:r>
              <w:rPr>
                <w:rFonts w:ascii="Times New Roman" w:hAnsi="Times New Roman"/>
                <w:sz w:val="20"/>
              </w:rPr>
              <w:t>Whole report</w:t>
            </w:r>
          </w:p>
        </w:tc>
        <w:tc>
          <w:tcPr>
            <w:tcW w:type="dxa" w:w="1134"/>
          </w:tcPr>
          <w:p>
            <w:r>
              <w:rPr>
                <w:rFonts w:ascii="Times New Roman" w:hAnsi="Times New Roman"/>
                <w:sz w:val="20"/>
              </w:rPr>
              <w:t>Yes</w:t>
            </w:r>
          </w:p>
        </w:tc>
      </w:tr>
      <w:tr>
        <w:tc>
          <w:tcPr>
            <w:tcW w:type="dxa" w:w="850"/>
          </w:tcPr>
          <w:p>
            <w:r>
              <w:rPr>
                <w:rFonts w:ascii="Times New Roman" w:hAnsi="Times New Roman"/>
                <w:sz w:val="20"/>
              </w:rPr>
              <w:t>P7</w:t>
            </w:r>
          </w:p>
        </w:tc>
        <w:tc>
          <w:tcPr>
            <w:tcW w:type="dxa" w:w="4252"/>
          </w:tcPr>
          <w:p>
            <w:r>
              <w:rPr>
                <w:rFonts w:ascii="Times New Roman" w:hAnsi="Times New Roman"/>
                <w:sz w:val="20"/>
              </w:rPr>
              <w:t>Reflective evaluation using recognised model</w:t>
            </w:r>
          </w:p>
        </w:tc>
        <w:tc>
          <w:tcPr>
            <w:tcW w:type="dxa" w:w="1984"/>
          </w:tcPr>
          <w:p>
            <w:r>
              <w:rPr>
                <w:rFonts w:ascii="Times New Roman" w:hAnsi="Times New Roman"/>
                <w:sz w:val="20"/>
              </w:rPr>
              <w:t>7.1–7.2</w:t>
            </w:r>
          </w:p>
        </w:tc>
        <w:tc>
          <w:tcPr>
            <w:tcW w:type="dxa" w:w="1134"/>
          </w:tcPr>
          <w:p>
            <w:r>
              <w:rPr>
                <w:rFonts w:ascii="Times New Roman" w:hAnsi="Times New Roman"/>
                <w:sz w:val="20"/>
              </w:rPr>
              <w:t>Yes</w:t>
            </w:r>
          </w:p>
        </w:tc>
      </w:tr>
      <w:tr>
        <w:tc>
          <w:tcPr>
            <w:tcW w:type="dxa" w:w="850"/>
          </w:tcPr>
          <w:p>
            <w:r>
              <w:rPr>
                <w:rFonts w:ascii="Times New Roman" w:hAnsi="Times New Roman"/>
                <w:sz w:val="20"/>
              </w:rPr>
              <w:t>M5</w:t>
            </w:r>
          </w:p>
        </w:tc>
        <w:tc>
          <w:tcPr>
            <w:tcW w:type="dxa" w:w="4252"/>
          </w:tcPr>
          <w:p>
            <w:r>
              <w:rPr>
                <w:rFonts w:ascii="Times New Roman" w:hAnsi="Times New Roman"/>
                <w:sz w:val="20"/>
              </w:rPr>
              <w:t>Communicate outcomes for professional audience</w:t>
            </w:r>
          </w:p>
        </w:tc>
        <w:tc>
          <w:tcPr>
            <w:tcW w:type="dxa" w:w="1984"/>
          </w:tcPr>
          <w:p>
            <w:r>
              <w:rPr>
                <w:rFonts w:ascii="Times New Roman" w:hAnsi="Times New Roman"/>
                <w:sz w:val="20"/>
              </w:rPr>
              <w:t>Whole report</w:t>
            </w:r>
          </w:p>
        </w:tc>
        <w:tc>
          <w:tcPr>
            <w:tcW w:type="dxa" w:w="1134"/>
          </w:tcPr>
          <w:p>
            <w:r>
              <w:rPr>
                <w:rFonts w:ascii="Times New Roman" w:hAnsi="Times New Roman"/>
                <w:sz w:val="20"/>
              </w:rPr>
              <w:t>Yes</w:t>
            </w:r>
          </w:p>
        </w:tc>
      </w:tr>
      <w:tr>
        <w:tc>
          <w:tcPr>
            <w:tcW w:type="dxa" w:w="850"/>
          </w:tcPr>
          <w:p>
            <w:r>
              <w:rPr>
                <w:rFonts w:ascii="Times New Roman" w:hAnsi="Times New Roman"/>
                <w:sz w:val="20"/>
              </w:rPr>
              <w:t>D4</w:t>
            </w:r>
          </w:p>
        </w:tc>
        <w:tc>
          <w:tcPr>
            <w:tcW w:type="dxa" w:w="4252"/>
          </w:tcPr>
          <w:p>
            <w:r>
              <w:rPr>
                <w:rFonts w:ascii="Times New Roman" w:hAnsi="Times New Roman"/>
                <w:sz w:val="20"/>
              </w:rPr>
              <w:t>Critically review development, propose strategies</w:t>
            </w:r>
          </w:p>
        </w:tc>
        <w:tc>
          <w:tcPr>
            <w:tcW w:type="dxa" w:w="1984"/>
          </w:tcPr>
          <w:p>
            <w:r>
              <w:rPr>
                <w:rFonts w:ascii="Times New Roman" w:hAnsi="Times New Roman"/>
                <w:sz w:val="20"/>
              </w:rPr>
              <w:t>7.3–7.5</w:t>
            </w:r>
          </w:p>
        </w:tc>
        <w:tc>
          <w:tcPr>
            <w:tcW w:type="dxa" w:w="1134"/>
          </w:tcPr>
          <w:p>
            <w:r>
              <w:rPr>
                <w:rFonts w:ascii="Times New Roman" w:hAnsi="Times New Roman"/>
                <w:sz w:val="20"/>
              </w:rPr>
              <w:t>Yes</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