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FDA7"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1B98D61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14:paraId="15D15D3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515A3C2C"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Semester</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B.E. Semester VII - Computer Engineering</w:t>
            </w:r>
          </w:p>
        </w:tc>
      </w:tr>
      <w:tr w:rsidR="009B1007" w14:paraId="0FA06FE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BF175D3"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DevOps Lab</w:t>
            </w:r>
          </w:p>
        </w:tc>
      </w:tr>
      <w:tr w:rsidR="009B1007" w14:paraId="23B21906"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8F14E27"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 In-charge</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Dr. Snehal Andhare</w:t>
            </w:r>
          </w:p>
        </w:tc>
      </w:tr>
    </w:tbl>
    <w:p w14:paraId="0276C058" w14:textId="77777777" w:rsidR="009B1007" w:rsidRDefault="009B1007">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14:paraId="79C3EBBC"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14:paraId="20BD962F"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Student Name</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Mubina</w:t>
            </w:r>
          </w:p>
        </w:tc>
      </w:tr>
      <w:tr w:rsidR="009B1007" w14:paraId="6045A92B"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14:paraId="6C37813B"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Roll Number</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23102A0039</w:t>
            </w:r>
          </w:p>
        </w:tc>
      </w:tr>
      <w:tr w:rsidR="009F238A" w14:paraId="116D0FB7" w14:textId="77777777" w:rsidTr="00457181">
        <w:trPr>
          <w:trHeight w:val="660"/>
        </w:trPr>
        <w:tc>
          <w:tcPr>
            <w:tcW w:w="2894" w:type="dxa"/>
            <w:tcBorders>
              <w:top w:val="single" w:sz="6" w:space="0" w:color="000000"/>
              <w:left w:val="single" w:sz="6" w:space="0" w:color="000000"/>
              <w:bottom w:val="single" w:sz="6" w:space="0" w:color="000000"/>
              <w:right w:val="single" w:sz="6" w:space="0" w:color="000000"/>
            </w:tcBorders>
          </w:tcPr>
          <w:p w14:paraId="6B77BCF9"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 xml:space="preserve">Grade and Subject </w:t>
            </w:r>
          </w:p>
          <w:p w14:paraId="6B997AF0"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Teacher’s Signature</w:t>
            </w:r>
          </w:p>
        </w:tc>
        <w:tc>
          <w:tcPr>
            <w:tcW w:w="6465" w:type="dxa"/>
            <w:tcBorders>
              <w:top w:val="single" w:sz="6" w:space="0" w:color="000000"/>
              <w:left w:val="single" w:sz="6" w:space="0" w:color="000000"/>
              <w:bottom w:val="single" w:sz="6" w:space="0" w:color="000000"/>
              <w:right w:val="single" w:sz="6" w:space="0" w:color="000000"/>
            </w:tcBorders>
          </w:tcPr>
          <w:p w14:paraId="7A0E4B56" w14:textId="77777777" w:rsidR="009F238A" w:rsidRDefault="009F238A">
            <w:pPr>
              <w:spacing w:after="0" w:line="240" w:lineRule="auto"/>
              <w:rPr>
                <w:rFonts w:asciiTheme="majorHAnsi" w:hAnsiTheme="majorHAnsi"/>
                <w:sz w:val="24"/>
                <w:szCs w:val="24"/>
              </w:rPr>
            </w:pPr>
          </w:p>
        </w:tc>
      </w:tr>
    </w:tbl>
    <w:p w14:paraId="2000A17F"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3729"/>
        <w:gridCol w:w="4493"/>
      </w:tblGrid>
      <w:tr w:rsidR="009B1007" w14:paraId="04C349BA"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14:paraId="410B5C39"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3403996" w14:textId="094F44B4" w:rsidR="009B1007" w:rsidRDefault="00C85BD0">
            <w:pPr>
              <w:spacing w:after="0" w:line="240" w:lineRule="auto"/>
              <w:rPr>
                <w:rFonts w:asciiTheme="majorHAnsi" w:hAnsiTheme="majorHAnsi"/>
                <w:sz w:val="24"/>
                <w:szCs w:val="24"/>
              </w:rPr>
            </w:pPr>
            <w:r>
              <w:rPr>
                <w:rFonts w:asciiTheme="majorHAnsi" w:hAnsiTheme="majorHAnsi"/>
                <w:sz w:val="24"/>
                <w:szCs w:val="24"/>
              </w:rPr>
              <w:t>Number</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4"/>
              </w:rPr>
              <w:t>15</w:t>
            </w:r>
          </w:p>
        </w:tc>
      </w:tr>
      <w:tr w:rsidR="009B1007" w14:paraId="1E4B1023"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14:paraId="22158110"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2F0114D" w14:textId="5507AA1A" w:rsidR="009B1007" w:rsidRDefault="00C85BD0">
            <w:pPr>
              <w:spacing w:after="0" w:line="240" w:lineRule="auto"/>
              <w:rPr>
                <w:rFonts w:asciiTheme="majorHAnsi" w:hAnsiTheme="majorHAnsi"/>
                <w:sz w:val="24"/>
                <w:szCs w:val="24"/>
              </w:rPr>
            </w:pPr>
            <w:r>
              <w:rPr>
                <w:rFonts w:asciiTheme="majorHAnsi" w:hAnsiTheme="majorHAnsi"/>
                <w:sz w:val="24"/>
                <w:szCs w:val="24"/>
              </w:rPr>
              <w:t>Title</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Final End-to-End Release, Documentation and Viva: Run the complete Credit Card Service Portal DevOps workflow from Git commit to Jenkins build, Selenium quality gate, Docker deployment and Puppet/Ansible provisioning. Complete technical documentation, architecture, troubleshooting guide, limitations and future enhancement plan.</w:t>
            </w:r>
          </w:p>
        </w:tc>
      </w:tr>
      <w:tr w:rsidR="009B1007" w14:paraId="6AD73A2A" w14:textId="77777777" w:rsidTr="00302CE1">
        <w:trPr>
          <w:trHeight w:val="740"/>
        </w:trPr>
        <w:tc>
          <w:tcPr>
            <w:tcW w:w="1730" w:type="dxa"/>
            <w:tcBorders>
              <w:top w:val="single" w:sz="6" w:space="0" w:color="000000"/>
              <w:left w:val="single" w:sz="6" w:space="0" w:color="000000"/>
              <w:bottom w:val="single" w:sz="6" w:space="0" w:color="000000"/>
              <w:right w:val="single" w:sz="6" w:space="0" w:color="000000"/>
            </w:tcBorders>
          </w:tcPr>
          <w:p w14:paraId="40B6E196"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Hardware: Intel/AMD x86_64 Multi-Core Workstation, 16 GB RAM, 512 GB SSD, High-speed Internet.</w:t>
              <w:br/>
              <w:t>Software: Git 2.40+, GitHub, Java 17 LTS (Eclipse Temurin), Apache Maven 3.9+, Jenkins 2.440+ LTS (Declarative Pipeline, JUnit, Docker Pipeline plugins), Selenium WebDriver 4.18+, Google Chrome &amp; ChromeDriver, Docker Engine 24.x, Docker Compose, Ansible 8.x / ansible-core 2.15+, Spring Boot Actuator, Ubuntu Linux / Windows 11 Enterprise.</w:t>
            </w:r>
          </w:p>
        </w:tc>
        <w:tc>
          <w:tcPr>
            <w:tcW w:w="4493" w:type="dxa"/>
            <w:tcBorders>
              <w:top w:val="single" w:sz="6" w:space="0" w:color="000000"/>
              <w:left w:val="single" w:sz="6" w:space="0" w:color="000000"/>
              <w:bottom w:val="single" w:sz="6" w:space="0" w:color="000000"/>
              <w:right w:val="single" w:sz="6" w:space="0" w:color="000000"/>
            </w:tcBorders>
          </w:tcPr>
          <w:p w14:paraId="21BF9385"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Software:</w:t>
            </w:r>
            <w:r w:rsidR="001F5E9C">
              <w:rPr>
                <w:rFonts w:asciiTheme="majorHAnsi" w:hAnsiTheme="majorHAnsi"/>
                <w:sz w:val="24"/>
                <w:szCs w:val="24"/>
              </w:rPr>
              <w:t xml:space="preserve"> JDK 21, Apache Maven, Spring Boot, H2, Apache Tomcat 11, Git, VS Code / IntelliJ IDEA, web browser</w:t>
            </w:r>
          </w:p>
          <w:p w14:paraId="4D8B0F4F" w14:textId="77777777" w:rsidR="009B1007" w:rsidRDefault="009B1007">
            <w:pPr>
              <w:spacing w:after="0" w:line="240" w:lineRule="auto"/>
              <w:rPr>
                <w:rFonts w:asciiTheme="majorHAnsi" w:hAnsiTheme="majorHAnsi"/>
                <w:sz w:val="24"/>
                <w:szCs w:val="24"/>
              </w:rPr>
            </w:pPr>
          </w:p>
        </w:tc>
      </w:tr>
      <w:tr w:rsidR="009B1007" w14:paraId="14C89DE4" w14:textId="77777777" w:rsidTr="00302CE1">
        <w:trPr>
          <w:trHeight w:val="3215"/>
        </w:trPr>
        <w:tc>
          <w:tcPr>
            <w:tcW w:w="1730" w:type="dxa"/>
            <w:tcBorders>
              <w:top w:val="single" w:sz="6" w:space="0" w:color="000000"/>
              <w:left w:val="single" w:sz="6" w:space="0" w:color="000000"/>
              <w:bottom w:val="single" w:sz="6" w:space="0" w:color="000000"/>
              <w:right w:val="single" w:sz="6" w:space="0" w:color="000000"/>
            </w:tcBorders>
          </w:tcPr>
          <w:p w14:paraId="5DDF4FBF" w14:textId="77777777" w:rsidR="009B1007" w:rsidRDefault="008F5BB7">
            <w:pPr>
              <w:spacing w:after="0" w:line="240" w:lineRule="auto"/>
              <w:rPr>
                <w:rFonts w:asciiTheme="majorHAnsi" w:hAnsiTheme="majorHAnsi"/>
                <w:sz w:val="24"/>
                <w:szCs w:val="24"/>
              </w:rPr>
            </w:pPr>
            <w:r>
              <w:rPr>
                <w:rFonts w:asciiTheme="majorHAnsi" w:hAnsiTheme="majorHAnsi"/>
                <w:sz w:val="24"/>
                <w:szCs w:val="24"/>
              </w:rPr>
              <w:t>Program &amp; Output</w:t>
            </w:r>
          </w:p>
        </w:tc>
        <w:tc>
          <w:tcPr>
            <w:tcW w:w="8222" w:type="dxa"/>
            <w:gridSpan w:val="2"/>
            <w:tcBorders>
              <w:top w:val="single" w:sz="6" w:space="0" w:color="000000"/>
              <w:left w:val="single" w:sz="6" w:space="0" w:color="000000"/>
              <w:bottom w:val="single" w:sz="6" w:space="0" w:color="000000"/>
              <w:right w:val="single" w:sz="6" w:space="0" w:color="000000"/>
            </w:tcBorders>
          </w:tcPr>
          <w:p>
            <w:r/>
          </w:p>
          <w:p>
            <w:pPr>
              <w:keepNext/>
              <w:spacing w:before="160" w:after="60" w:line="276" w:lineRule="auto"/>
            </w:pPr>
            <w:r>
              <w:rPr>
                <w:rFonts w:ascii="Calibri" w:hAnsi="Calibri"/>
                <w:b/>
                <w:sz w:val="24"/>
              </w:rPr>
              <w:t>1. Executive Summary &amp; Full Lifecycle Traceability Matrix</w:t>
            </w:r>
          </w:p>
          <w:p>
            <w:pPr>
              <w:spacing w:before="20" w:after="60" w:line="276" w:lineRule="auto"/>
            </w:pPr>
            <w:r>
              <w:rPr>
                <w:rFonts w:ascii="Calibri" w:hAnsi="Calibri"/>
                <w:sz w:val="22"/>
              </w:rPr>
              <w:t>Task 15 represents the comprehensive capstone and final release milestone of the DevOps laboratory curriculum for the Credit Card Service Portal (CCSP). Over the course of Tasks 1 through 14, an enterprise software delivery lifecycle was methodically conceived, architected, automated, and validated. This final task unifies every preceding phase into a singular, cohesive commit-to-production pipeline, accompanied by rigorous technical architecture specifications, a battle-tested production troubleshooting guide, an honest appraisal of project limitations with an architectural enhancement roadmap, and an exhaustive viva defense framework.</w:t>
            </w:r>
          </w:p>
          <w:p>
            <w:pPr>
              <w:spacing w:before="20" w:after="60" w:line="276" w:lineRule="auto"/>
            </w:pPr>
            <w:r>
              <w:rPr>
                <w:rFonts w:ascii="Calibri" w:hAnsi="Calibri"/>
                <w:sz w:val="22"/>
              </w:rPr>
              <w:t>The Credit Card Service Portal is a Spring Boot 3-based enterprise application managing five core credit lifecycle functions: (1) customer credit card application and credit limit calculation, (2) card directory with real-time search and multi-criteria filtering, (3) administrative status state machine (PENDING -&gt; ACTIVE -&gt; BLOCKED), (4) executive KPI dashboard metrics, and (5) automated operational health monitoring via Spring Boot Actuator. Table 15.1 details the end-to-end traceability matrix demonstrating how each laboratory task directly contributes to the final release candidate.</w:t>
            </w:r>
          </w:p>
          <w:p>
            <w:pPr>
              <w:spacing w:before="40" w:after="120"/>
              <w:jc w:val="center"/>
            </w:pPr>
            <w:r>
              <w:rPr>
                <w:b/>
                <w:sz w:val="19"/>
              </w:rPr>
              <w:t>Table 15.1: End-to-End Laboratory Traceability Matrix (Tasks 1 to 15)</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900" w:type="dxa"/>
                  <w:shd w:fill="EAECEE"/>
                </w:tcPr>
                <w:p>
                  <w:pPr>
                    <w:spacing w:before="40" w:after="40" w:line="276" w:lineRule="auto"/>
                    <w:jc w:val="center"/>
                  </w:pPr>
                  <w:r>
                    <w:rPr>
                      <w:rFonts w:ascii="Calibri" w:hAnsi="Calibri"/>
                      <w:b/>
                      <w:sz w:val="19"/>
                    </w:rPr>
                    <w:t>Task</w:t>
                  </w:r>
                </w:p>
              </w:tc>
              <w:tc>
                <w:tcPr>
                  <w:tcW w:w="2100" w:type="dxa"/>
                  <w:shd w:fill="EAECEE"/>
                </w:tcPr>
                <w:p>
                  <w:pPr>
                    <w:spacing w:before="40" w:after="40" w:line="276" w:lineRule="auto"/>
                    <w:jc w:val="center"/>
                  </w:pPr>
                  <w:r>
                    <w:rPr>
                      <w:rFonts w:ascii="Calibri" w:hAnsi="Calibri"/>
                      <w:b/>
                      <w:sz w:val="19"/>
                    </w:rPr>
                    <w:t>DevOps Lifecycle Stage</w:t>
                  </w:r>
                </w:p>
              </w:tc>
              <w:tc>
                <w:tcPr>
                  <w:tcW w:w="2600" w:type="dxa"/>
                  <w:shd w:fill="EAECEE"/>
                </w:tcPr>
                <w:p>
                  <w:pPr>
                    <w:spacing w:before="40" w:after="40" w:line="276" w:lineRule="auto"/>
                    <w:jc w:val="center"/>
                  </w:pPr>
                  <w:r>
                    <w:rPr>
                      <w:rFonts w:ascii="Calibri" w:hAnsi="Calibri"/>
                      <w:b/>
                      <w:sz w:val="19"/>
                    </w:rPr>
                    <w:t>Key Technical Deliverable</w:t>
                  </w:r>
                </w:p>
              </w:tc>
              <w:tc>
                <w:tcPr>
                  <w:tcW w:w="2300" w:type="dxa"/>
                  <w:shd w:fill="EAECEE"/>
                </w:tcPr>
                <w:p>
                  <w:pPr>
                    <w:spacing w:before="40" w:after="40" w:line="276" w:lineRule="auto"/>
                    <w:jc w:val="center"/>
                  </w:pPr>
                  <w:r>
                    <w:rPr>
                      <w:rFonts w:ascii="Calibri" w:hAnsi="Calibri"/>
                      <w:b/>
                      <w:sz w:val="19"/>
                    </w:rPr>
                    <w:t>Quality &amp; Verification Gate</w:t>
                  </w:r>
                </w:p>
              </w:tc>
            </w:tr>
            <w:tr>
              <w:tc>
                <w:tcPr>
                  <w:tcW w:type="dxa" w:w="2055"/>
                </w:tcPr>
                <w:p>
                  <w:pPr>
                    <w:spacing w:before="40" w:after="40" w:line="276" w:lineRule="auto"/>
                    <w:jc w:val="center"/>
                  </w:pPr>
                  <w:r>
                    <w:rPr>
                      <w:rFonts w:ascii="Calibri" w:hAnsi="Calibri"/>
                      <w:b w:val="0"/>
                      <w:sz w:val="19"/>
                    </w:rPr>
                    <w:t>Task 1</w:t>
                  </w:r>
                </w:p>
              </w:tc>
              <w:tc>
                <w:tcPr>
                  <w:tcW w:type="dxa" w:w="2055"/>
                </w:tcPr>
                <w:p>
                  <w:pPr>
                    <w:spacing w:before="40" w:after="40" w:line="276" w:lineRule="auto"/>
                    <w:jc w:val="left"/>
                  </w:pPr>
                  <w:r>
                    <w:rPr>
                      <w:rFonts w:ascii="Calibri" w:hAnsi="Calibri"/>
                      <w:b w:val="0"/>
                      <w:sz w:val="19"/>
                    </w:rPr>
                    <w:t>Planning &amp; Toolchain Setup</w:t>
                  </w:r>
                </w:p>
              </w:tc>
              <w:tc>
                <w:tcPr>
                  <w:tcW w:type="dxa" w:w="2055"/>
                </w:tcPr>
                <w:p>
                  <w:pPr>
                    <w:spacing w:before="40" w:after="40" w:line="276" w:lineRule="auto"/>
                    <w:jc w:val="left"/>
                  </w:pPr>
                  <w:r>
                    <w:rPr>
                      <w:rFonts w:ascii="Calibri" w:hAnsi="Calibri"/>
                      <w:b w:val="0"/>
                      <w:sz w:val="19"/>
                    </w:rPr>
                    <w:t>DevOps toolchain matrix &amp; Spring Boot skeleton</w:t>
                  </w:r>
                </w:p>
              </w:tc>
              <w:tc>
                <w:tcPr>
                  <w:tcW w:type="dxa" w:w="2055"/>
                </w:tcPr>
                <w:p>
                  <w:pPr>
                    <w:spacing w:before="40" w:after="40" w:line="276" w:lineRule="auto"/>
                    <w:jc w:val="left"/>
                  </w:pPr>
                  <w:r>
                    <w:rPr>
                      <w:rFonts w:ascii="Calibri" w:hAnsi="Calibri"/>
                      <w:b w:val="0"/>
                      <w:sz w:val="19"/>
                    </w:rPr>
                    <w:t>JDK 17, Maven, Git, Docker, Ansible verified</w:t>
                  </w:r>
                </w:p>
              </w:tc>
            </w:tr>
            <w:tr>
              <w:tc>
                <w:tcPr>
                  <w:tcW w:type="dxa" w:w="2055"/>
                </w:tcPr>
                <w:p>
                  <w:pPr>
                    <w:spacing w:before="40" w:after="40" w:line="276" w:lineRule="auto"/>
                    <w:jc w:val="center"/>
                  </w:pPr>
                  <w:r>
                    <w:rPr>
                      <w:rFonts w:ascii="Calibri" w:hAnsi="Calibri"/>
                      <w:b w:val="0"/>
                      <w:sz w:val="19"/>
                    </w:rPr>
                    <w:t>Task 2</w:t>
                  </w:r>
                </w:p>
              </w:tc>
              <w:tc>
                <w:tcPr>
                  <w:tcW w:type="dxa" w:w="2055"/>
                </w:tcPr>
                <w:p>
                  <w:pPr>
                    <w:spacing w:before="40" w:after="40" w:line="276" w:lineRule="auto"/>
                    <w:jc w:val="left"/>
                  </w:pPr>
                  <w:r>
                    <w:rPr>
                      <w:rFonts w:ascii="Calibri" w:hAnsi="Calibri"/>
                      <w:b w:val="0"/>
                      <w:sz w:val="19"/>
                    </w:rPr>
                    <w:t>Agile Project Management</w:t>
                  </w:r>
                </w:p>
              </w:tc>
              <w:tc>
                <w:tcPr>
                  <w:tcW w:type="dxa" w:w="2055"/>
                </w:tcPr>
                <w:p>
                  <w:pPr>
                    <w:spacing w:before="40" w:after="40" w:line="276" w:lineRule="auto"/>
                    <w:jc w:val="left"/>
                  </w:pPr>
                  <w:r>
                    <w:rPr>
                      <w:rFonts w:ascii="Calibri" w:hAnsi="Calibri"/>
                      <w:b w:val="0"/>
                      <w:sz w:val="19"/>
                    </w:rPr>
                    <w:t>Jira backlog, User Stories &amp; 4-Sprint release plan</w:t>
                  </w:r>
                </w:p>
              </w:tc>
              <w:tc>
                <w:tcPr>
                  <w:tcW w:type="dxa" w:w="2055"/>
                </w:tcPr>
                <w:p>
                  <w:pPr>
                    <w:spacing w:before="40" w:after="40" w:line="276" w:lineRule="auto"/>
                    <w:jc w:val="left"/>
                  </w:pPr>
                  <w:r>
                    <w:rPr>
                      <w:rFonts w:ascii="Calibri" w:hAnsi="Calibri"/>
                      <w:b w:val="0"/>
                      <w:sz w:val="19"/>
                    </w:rPr>
                    <w:t>Sprint burn-down &amp; WIP limit governance</w:t>
                  </w:r>
                </w:p>
              </w:tc>
            </w:tr>
            <w:tr>
              <w:tc>
                <w:tcPr>
                  <w:tcW w:type="dxa" w:w="2055"/>
                </w:tcPr>
                <w:p>
                  <w:pPr>
                    <w:spacing w:before="40" w:after="40" w:line="276" w:lineRule="auto"/>
                    <w:jc w:val="center"/>
                  </w:pPr>
                  <w:r>
                    <w:rPr>
                      <w:rFonts w:ascii="Calibri" w:hAnsi="Calibri"/>
                      <w:b w:val="0"/>
                      <w:sz w:val="19"/>
                    </w:rPr>
                    <w:t>Task 3</w:t>
                  </w:r>
                </w:p>
              </w:tc>
              <w:tc>
                <w:tcPr>
                  <w:tcW w:type="dxa" w:w="2055"/>
                </w:tcPr>
                <w:p>
                  <w:pPr>
                    <w:spacing w:before="40" w:after="40" w:line="276" w:lineRule="auto"/>
                    <w:jc w:val="left"/>
                  </w:pPr>
                  <w:r>
                    <w:rPr>
                      <w:rFonts w:ascii="Calibri" w:hAnsi="Calibri"/>
                      <w:b w:val="0"/>
                      <w:sz w:val="19"/>
                    </w:rPr>
                    <w:t>Application Development</w:t>
                  </w:r>
                </w:p>
              </w:tc>
              <w:tc>
                <w:tcPr>
                  <w:tcW w:type="dxa" w:w="2055"/>
                </w:tcPr>
                <w:p>
                  <w:pPr>
                    <w:spacing w:before="40" w:after="40" w:line="276" w:lineRule="auto"/>
                    <w:jc w:val="left"/>
                  </w:pPr>
                  <w:r>
                    <w:rPr>
                      <w:rFonts w:ascii="Calibri" w:hAnsi="Calibri"/>
                      <w:b w:val="0"/>
                      <w:sz w:val="19"/>
                    </w:rPr>
                    <w:t>5 core CCSP features (Apply, Directory, Filter, State, Health)</w:t>
                  </w:r>
                </w:p>
              </w:tc>
              <w:tc>
                <w:tcPr>
                  <w:tcW w:type="dxa" w:w="2055"/>
                </w:tcPr>
                <w:p>
                  <w:pPr>
                    <w:spacing w:before="40" w:after="40" w:line="276" w:lineRule="auto"/>
                    <w:jc w:val="left"/>
                  </w:pPr>
                  <w:r>
                    <w:rPr>
                      <w:rFonts w:ascii="Calibri" w:hAnsi="Calibri"/>
                      <w:b w:val="0"/>
                      <w:sz w:val="19"/>
                    </w:rPr>
                    <w:t>Clean compilation, H2 DB seed &amp; UI render</w:t>
                  </w:r>
                </w:p>
              </w:tc>
            </w:tr>
            <w:tr>
              <w:tc>
                <w:tcPr>
                  <w:tcW w:type="dxa" w:w="2055"/>
                </w:tcPr>
                <w:p>
                  <w:pPr>
                    <w:spacing w:before="40" w:after="40" w:line="276" w:lineRule="auto"/>
                    <w:jc w:val="center"/>
                  </w:pPr>
                  <w:r>
                    <w:rPr>
                      <w:rFonts w:ascii="Calibri" w:hAnsi="Calibri"/>
                      <w:b w:val="0"/>
                      <w:sz w:val="19"/>
                    </w:rPr>
                    <w:t>Task 4</w:t>
                  </w:r>
                </w:p>
              </w:tc>
              <w:tc>
                <w:tcPr>
                  <w:tcW w:type="dxa" w:w="2055"/>
                </w:tcPr>
                <w:p>
                  <w:pPr>
                    <w:spacing w:before="40" w:after="40" w:line="276" w:lineRule="auto"/>
                    <w:jc w:val="left"/>
                  </w:pPr>
                  <w:r>
                    <w:rPr>
                      <w:rFonts w:ascii="Calibri" w:hAnsi="Calibri"/>
                      <w:b w:val="0"/>
                      <w:sz w:val="19"/>
                    </w:rPr>
                    <w:t>Version Control &amp; Git Setup</w:t>
                  </w:r>
                </w:p>
              </w:tc>
              <w:tc>
                <w:tcPr>
                  <w:tcW w:type="dxa" w:w="2055"/>
                </w:tcPr>
                <w:p>
                  <w:pPr>
                    <w:spacing w:before="40" w:after="40" w:line="276" w:lineRule="auto"/>
                    <w:jc w:val="left"/>
                  </w:pPr>
                  <w:r>
                    <w:rPr>
                      <w:rFonts w:ascii="Calibri" w:hAnsi="Calibri"/>
                      <w:b w:val="0"/>
                      <w:sz w:val="19"/>
                    </w:rPr>
                    <w:t>Local repo, .gitignore, clean commit conventions</w:t>
                  </w:r>
                </w:p>
              </w:tc>
              <w:tc>
                <w:tcPr>
                  <w:tcW w:type="dxa" w:w="2055"/>
                </w:tcPr>
                <w:p>
                  <w:pPr>
                    <w:spacing w:before="40" w:after="40" w:line="276" w:lineRule="auto"/>
                    <w:jc w:val="left"/>
                  </w:pPr>
                  <w:r>
                    <w:rPr>
                      <w:rFonts w:ascii="Calibri" w:hAnsi="Calibri"/>
                      <w:b w:val="0"/>
                      <w:sz w:val="19"/>
                    </w:rPr>
                    <w:t>Zero build artifacts tracked, clean git log</w:t>
                  </w:r>
                </w:p>
              </w:tc>
            </w:tr>
            <w:tr>
              <w:tc>
                <w:tcPr>
                  <w:tcW w:type="dxa" w:w="2055"/>
                </w:tcPr>
                <w:p>
                  <w:pPr>
                    <w:spacing w:before="40" w:after="40" w:line="276" w:lineRule="auto"/>
                    <w:jc w:val="center"/>
                  </w:pPr>
                  <w:r>
                    <w:rPr>
                      <w:rFonts w:ascii="Calibri" w:hAnsi="Calibri"/>
                      <w:b w:val="0"/>
                      <w:sz w:val="19"/>
                    </w:rPr>
                    <w:t>Task 5</w:t>
                  </w:r>
                </w:p>
              </w:tc>
              <w:tc>
                <w:tcPr>
                  <w:tcW w:type="dxa" w:w="2055"/>
                </w:tcPr>
                <w:p>
                  <w:pPr>
                    <w:spacing w:before="40" w:after="40" w:line="276" w:lineRule="auto"/>
                    <w:jc w:val="left"/>
                  </w:pPr>
                  <w:r>
                    <w:rPr>
                      <w:rFonts w:ascii="Calibri" w:hAnsi="Calibri"/>
                      <w:b w:val="0"/>
                      <w:sz w:val="19"/>
                    </w:rPr>
                    <w:t>Branching &amp; Collaboration</w:t>
                  </w:r>
                </w:p>
              </w:tc>
              <w:tc>
                <w:tcPr>
                  <w:tcW w:type="dxa" w:w="2055"/>
                </w:tcPr>
                <w:p>
                  <w:pPr>
                    <w:spacing w:before="40" w:after="40" w:line="276" w:lineRule="auto"/>
                    <w:jc w:val="left"/>
                  </w:pPr>
                  <w:r>
                    <w:rPr>
                      <w:rFonts w:ascii="Calibri" w:hAnsi="Calibri"/>
                      <w:b w:val="0"/>
                      <w:sz w:val="19"/>
                    </w:rPr>
                    <w:t>Gitflow branching (main, dev, feature/*) &amp; PR workflow</w:t>
                  </w:r>
                </w:p>
              </w:tc>
              <w:tc>
                <w:tcPr>
                  <w:tcW w:type="dxa" w:w="2055"/>
                </w:tcPr>
                <w:p>
                  <w:pPr>
                    <w:spacing w:before="40" w:after="40" w:line="276" w:lineRule="auto"/>
                    <w:jc w:val="left"/>
                  </w:pPr>
                  <w:r>
                    <w:rPr>
                      <w:rFonts w:ascii="Calibri" w:hAnsi="Calibri"/>
                      <w:b w:val="0"/>
                      <w:sz w:val="19"/>
                    </w:rPr>
                    <w:t>Clean feature PR merge without fast-forward</w:t>
                  </w:r>
                </w:p>
              </w:tc>
            </w:tr>
            <w:tr>
              <w:tc>
                <w:tcPr>
                  <w:tcW w:type="dxa" w:w="2055"/>
                </w:tcPr>
                <w:p>
                  <w:pPr>
                    <w:spacing w:before="40" w:after="40" w:line="276" w:lineRule="auto"/>
                    <w:jc w:val="center"/>
                  </w:pPr>
                  <w:r>
                    <w:rPr>
                      <w:rFonts w:ascii="Calibri" w:hAnsi="Calibri"/>
                      <w:b w:val="0"/>
                      <w:sz w:val="19"/>
                    </w:rPr>
                    <w:t>Task 6</w:t>
                  </w:r>
                </w:p>
              </w:tc>
              <w:tc>
                <w:tcPr>
                  <w:tcW w:type="dxa" w:w="2055"/>
                </w:tcPr>
                <w:p>
                  <w:pPr>
                    <w:spacing w:before="40" w:after="40" w:line="276" w:lineRule="auto"/>
                    <w:jc w:val="left"/>
                  </w:pPr>
                  <w:r>
                    <w:rPr>
                      <w:rFonts w:ascii="Calibri" w:hAnsi="Calibri"/>
                      <w:b w:val="0"/>
                      <w:sz w:val="19"/>
                    </w:rPr>
                    <w:t>Conflict Resolution &amp; Tagging</w:t>
                  </w:r>
                </w:p>
              </w:tc>
              <w:tc>
                <w:tcPr>
                  <w:tcW w:type="dxa" w:w="2055"/>
                </w:tcPr>
                <w:p>
                  <w:pPr>
                    <w:spacing w:before="40" w:after="40" w:line="276" w:lineRule="auto"/>
                    <w:jc w:val="left"/>
                  </w:pPr>
                  <w:r>
                    <w:rPr>
                      <w:rFonts w:ascii="Calibri" w:hAnsi="Calibri"/>
                      <w:b w:val="0"/>
                      <w:sz w:val="19"/>
                    </w:rPr>
                    <w:t>Simulated merge conflict resolution &amp; v1.0.0 tag</w:t>
                  </w:r>
                </w:p>
              </w:tc>
              <w:tc>
                <w:tcPr>
                  <w:tcW w:type="dxa" w:w="2055"/>
                </w:tcPr>
                <w:p>
                  <w:pPr>
                    <w:spacing w:before="40" w:after="40" w:line="276" w:lineRule="auto"/>
                    <w:jc w:val="left"/>
                  </w:pPr>
                  <w:r>
                    <w:rPr>
                      <w:rFonts w:ascii="Calibri" w:hAnsi="Calibri"/>
                      <w:b w:val="0"/>
                      <w:sz w:val="19"/>
                    </w:rPr>
                    <w:t>Manual resolution committed, annotated tag verified</w:t>
                  </w:r>
                </w:p>
              </w:tc>
            </w:tr>
            <w:tr>
              <w:tc>
                <w:tcPr>
                  <w:tcW w:type="dxa" w:w="2055"/>
                </w:tcPr>
                <w:p>
                  <w:pPr>
                    <w:spacing w:before="40" w:after="40" w:line="276" w:lineRule="auto"/>
                    <w:jc w:val="center"/>
                  </w:pPr>
                  <w:r>
                    <w:rPr>
                      <w:rFonts w:ascii="Calibri" w:hAnsi="Calibri"/>
                      <w:b w:val="0"/>
                      <w:sz w:val="19"/>
                    </w:rPr>
                    <w:t>Task 7</w:t>
                  </w:r>
                </w:p>
              </w:tc>
              <w:tc>
                <w:tcPr>
                  <w:tcW w:type="dxa" w:w="2055"/>
                </w:tcPr>
                <w:p>
                  <w:pPr>
                    <w:spacing w:before="40" w:after="40" w:line="276" w:lineRule="auto"/>
                    <w:jc w:val="left"/>
                  </w:pPr>
                  <w:r>
                    <w:rPr>
                      <w:rFonts w:ascii="Calibri" w:hAnsi="Calibri"/>
                      <w:b w:val="0"/>
                      <w:sz w:val="19"/>
                    </w:rPr>
                    <w:t>CI Engine Setup (Jenkins)</w:t>
                  </w:r>
                </w:p>
              </w:tc>
              <w:tc>
                <w:tcPr>
                  <w:tcW w:type="dxa" w:w="2055"/>
                </w:tcPr>
                <w:p>
                  <w:pPr>
                    <w:spacing w:before="40" w:after="40" w:line="276" w:lineRule="auto"/>
                    <w:jc w:val="left"/>
                  </w:pPr>
                  <w:r>
                    <w:rPr>
                      <w:rFonts w:ascii="Calibri" w:hAnsi="Calibri"/>
                      <w:b w:val="0"/>
                      <w:sz w:val="19"/>
                    </w:rPr>
                    <w:t>Jenkins installation, JDK/Maven tools, Freestyle job</w:t>
                  </w:r>
                </w:p>
              </w:tc>
              <w:tc>
                <w:tcPr>
                  <w:tcW w:type="dxa" w:w="2055"/>
                </w:tcPr>
                <w:p>
                  <w:pPr>
                    <w:spacing w:before="40" w:after="40" w:line="276" w:lineRule="auto"/>
                    <w:jc w:val="left"/>
                  </w:pPr>
                  <w:r>
                    <w:rPr>
                      <w:rFonts w:ascii="Calibri" w:hAnsi="Calibri"/>
                      <w:b w:val="0"/>
                      <w:sz w:val="19"/>
                    </w:rPr>
                    <w:t>Automated build triggered on SCM commit</w:t>
                  </w:r>
                </w:p>
              </w:tc>
            </w:tr>
            <w:tr>
              <w:tc>
                <w:tcPr>
                  <w:tcW w:type="dxa" w:w="2055"/>
                </w:tcPr>
                <w:p>
                  <w:pPr>
                    <w:spacing w:before="40" w:after="40" w:line="276" w:lineRule="auto"/>
                    <w:jc w:val="center"/>
                  </w:pPr>
                  <w:r>
                    <w:rPr>
                      <w:rFonts w:ascii="Calibri" w:hAnsi="Calibri"/>
                      <w:b w:val="0"/>
                      <w:sz w:val="19"/>
                    </w:rPr>
                    <w:t>Task 8</w:t>
                  </w:r>
                </w:p>
              </w:tc>
              <w:tc>
                <w:tcPr>
                  <w:tcW w:type="dxa" w:w="2055"/>
                </w:tcPr>
                <w:p>
                  <w:pPr>
                    <w:spacing w:before="40" w:after="40" w:line="276" w:lineRule="auto"/>
                    <w:jc w:val="left"/>
                  </w:pPr>
                  <w:r>
                    <w:rPr>
                      <w:rFonts w:ascii="Calibri" w:hAnsi="Calibri"/>
                      <w:b w:val="0"/>
                      <w:sz w:val="19"/>
                    </w:rPr>
                    <w:t>Declarative Pipeline (CI)</w:t>
                  </w:r>
                </w:p>
              </w:tc>
              <w:tc>
                <w:tcPr>
                  <w:tcW w:type="dxa" w:w="2055"/>
                </w:tcPr>
                <w:p>
                  <w:pPr>
                    <w:spacing w:before="40" w:after="40" w:line="276" w:lineRule="auto"/>
                    <w:jc w:val="left"/>
                  </w:pPr>
                  <w:r>
                    <w:rPr>
                      <w:rFonts w:ascii="Calibri" w:hAnsi="Calibri"/>
                      <w:b w:val="0"/>
                      <w:sz w:val="19"/>
                    </w:rPr>
                    <w:t>Multi-stage Jenkinsfile (Checkout, Compile, Test, Package)</w:t>
                  </w:r>
                </w:p>
              </w:tc>
              <w:tc>
                <w:tcPr>
                  <w:tcW w:type="dxa" w:w="2055"/>
                </w:tcPr>
                <w:p>
                  <w:pPr>
                    <w:spacing w:before="40" w:after="40" w:line="276" w:lineRule="auto"/>
                    <w:jc w:val="left"/>
                  </w:pPr>
                  <w:r>
                    <w:rPr>
                      <w:rFonts w:ascii="Calibri" w:hAnsi="Calibri"/>
                      <w:b w:val="0"/>
                      <w:sz w:val="19"/>
                    </w:rPr>
                    <w:t>Pipeline visualization &amp; artifact archiving</w:t>
                  </w:r>
                </w:p>
              </w:tc>
            </w:tr>
            <w:tr>
              <w:tc>
                <w:tcPr>
                  <w:tcW w:type="dxa" w:w="2055"/>
                </w:tcPr>
                <w:p>
                  <w:pPr>
                    <w:spacing w:before="40" w:after="40" w:line="276" w:lineRule="auto"/>
                    <w:jc w:val="center"/>
                  </w:pPr>
                  <w:r>
                    <w:rPr>
                      <w:rFonts w:ascii="Calibri" w:hAnsi="Calibri"/>
                      <w:b w:val="0"/>
                      <w:sz w:val="19"/>
                    </w:rPr>
                    <w:t>Task 9</w:t>
                  </w:r>
                </w:p>
              </w:tc>
              <w:tc>
                <w:tcPr>
                  <w:tcW w:type="dxa" w:w="2055"/>
                </w:tcPr>
                <w:p>
                  <w:pPr>
                    <w:spacing w:before="40" w:after="40" w:line="276" w:lineRule="auto"/>
                    <w:jc w:val="left"/>
                  </w:pPr>
                  <w:r>
                    <w:rPr>
                      <w:rFonts w:ascii="Calibri" w:hAnsi="Calibri"/>
                      <w:b w:val="0"/>
                      <w:sz w:val="19"/>
                    </w:rPr>
                    <w:t>Automated Testing Design</w:t>
                  </w:r>
                </w:p>
              </w:tc>
              <w:tc>
                <w:tcPr>
                  <w:tcW w:type="dxa" w:w="2055"/>
                </w:tcPr>
                <w:p>
                  <w:pPr>
                    <w:spacing w:before="40" w:after="40" w:line="276" w:lineRule="auto"/>
                    <w:jc w:val="left"/>
                  </w:pPr>
                  <w:r>
                    <w:rPr>
                      <w:rFonts w:ascii="Calibri" w:hAnsi="Calibri"/>
                      <w:b w:val="0"/>
                      <w:sz w:val="19"/>
                    </w:rPr>
                    <w:t>Selenium WebDriver suite (4 critical user journeys)</w:t>
                  </w:r>
                </w:p>
              </w:tc>
              <w:tc>
                <w:tcPr>
                  <w:tcW w:type="dxa" w:w="2055"/>
                </w:tcPr>
                <w:p>
                  <w:pPr>
                    <w:spacing w:before="40" w:after="40" w:line="276" w:lineRule="auto"/>
                    <w:jc w:val="left"/>
                  </w:pPr>
                  <w:r>
                    <w:rPr>
                      <w:rFonts w:ascii="Calibri" w:hAnsi="Calibri"/>
                      <w:b w:val="0"/>
                      <w:sz w:val="19"/>
                    </w:rPr>
                    <w:t>Failure screenshot trap &amp; HTML test reports</w:t>
                  </w:r>
                </w:p>
              </w:tc>
            </w:tr>
            <w:tr>
              <w:tc>
                <w:tcPr>
                  <w:tcW w:type="dxa" w:w="2055"/>
                </w:tcPr>
                <w:p>
                  <w:pPr>
                    <w:spacing w:before="40" w:after="40" w:line="276" w:lineRule="auto"/>
                    <w:jc w:val="center"/>
                  </w:pPr>
                  <w:r>
                    <w:rPr>
                      <w:rFonts w:ascii="Calibri" w:hAnsi="Calibri"/>
                      <w:b w:val="0"/>
                      <w:sz w:val="19"/>
                    </w:rPr>
                    <w:t>Task 10</w:t>
                  </w:r>
                </w:p>
              </w:tc>
              <w:tc>
                <w:tcPr>
                  <w:tcW w:type="dxa" w:w="2055"/>
                </w:tcPr>
                <w:p>
                  <w:pPr>
                    <w:spacing w:before="40" w:after="40" w:line="276" w:lineRule="auto"/>
                    <w:jc w:val="left"/>
                  </w:pPr>
                  <w:r>
                    <w:rPr>
                      <w:rFonts w:ascii="Calibri" w:hAnsi="Calibri"/>
                      <w:b w:val="0"/>
                      <w:sz w:val="19"/>
                    </w:rPr>
                    <w:t>Continuous Testing Quality Gate</w:t>
                  </w:r>
                </w:p>
              </w:tc>
              <w:tc>
                <w:tcPr>
                  <w:tcW w:type="dxa" w:w="2055"/>
                </w:tcPr>
                <w:p>
                  <w:pPr>
                    <w:spacing w:before="40" w:after="40" w:line="276" w:lineRule="auto"/>
                    <w:jc w:val="left"/>
                  </w:pPr>
                  <w:r>
                    <w:rPr>
                      <w:rFonts w:ascii="Calibri" w:hAnsi="Calibri"/>
                      <w:b w:val="0"/>
                      <w:sz w:val="19"/>
                    </w:rPr>
                    <w:t>Jenkins-Selenium integration &amp; intentional defect test</w:t>
                  </w:r>
                </w:p>
              </w:tc>
              <w:tc>
                <w:tcPr>
                  <w:tcW w:type="dxa" w:w="2055"/>
                </w:tcPr>
                <w:p>
                  <w:pPr>
                    <w:spacing w:before="40" w:after="40" w:line="276" w:lineRule="auto"/>
                    <w:jc w:val="left"/>
                  </w:pPr>
                  <w:r>
                    <w:rPr>
                      <w:rFonts w:ascii="Calibri" w:hAnsi="Calibri"/>
                      <w:b w:val="0"/>
                      <w:sz w:val="19"/>
                    </w:rPr>
                    <w:t>Defect halts pipeline; fix passes quality gate</w:t>
                  </w:r>
                </w:p>
              </w:tc>
            </w:tr>
            <w:tr>
              <w:tc>
                <w:tcPr>
                  <w:tcW w:type="dxa" w:w="2055"/>
                </w:tcPr>
                <w:p>
                  <w:pPr>
                    <w:spacing w:before="40" w:after="40" w:line="276" w:lineRule="auto"/>
                    <w:jc w:val="center"/>
                  </w:pPr>
                  <w:r>
                    <w:rPr>
                      <w:rFonts w:ascii="Calibri" w:hAnsi="Calibri"/>
                      <w:b w:val="0"/>
                      <w:sz w:val="19"/>
                    </w:rPr>
                    <w:t>Task 11</w:t>
                  </w:r>
                </w:p>
              </w:tc>
              <w:tc>
                <w:tcPr>
                  <w:tcW w:type="dxa" w:w="2055"/>
                </w:tcPr>
                <w:p>
                  <w:pPr>
                    <w:spacing w:before="40" w:after="40" w:line="276" w:lineRule="auto"/>
                    <w:jc w:val="left"/>
                  </w:pPr>
                  <w:r>
                    <w:rPr>
                      <w:rFonts w:ascii="Calibri" w:hAnsi="Calibri"/>
                      <w:b w:val="0"/>
                      <w:sz w:val="19"/>
                    </w:rPr>
                    <w:t>Containerization Lifecycle</w:t>
                  </w:r>
                </w:p>
              </w:tc>
              <w:tc>
                <w:tcPr>
                  <w:tcW w:type="dxa" w:w="2055"/>
                </w:tcPr>
                <w:p>
                  <w:pPr>
                    <w:spacing w:before="40" w:after="40" w:line="276" w:lineRule="auto"/>
                    <w:jc w:val="left"/>
                  </w:pPr>
                  <w:r>
                    <w:rPr>
                      <w:rFonts w:ascii="Calibri" w:hAnsi="Calibri"/>
                      <w:b w:val="0"/>
                      <w:sz w:val="19"/>
                    </w:rPr>
                    <w:t>Multi-stage Dockerfile &amp; container lifecycle commands</w:t>
                  </w:r>
                </w:p>
              </w:tc>
              <w:tc>
                <w:tcPr>
                  <w:tcW w:type="dxa" w:w="2055"/>
                </w:tcPr>
                <w:p>
                  <w:pPr>
                    <w:spacing w:before="40" w:after="40" w:line="276" w:lineRule="auto"/>
                    <w:jc w:val="left"/>
                  </w:pPr>
                  <w:r>
                    <w:rPr>
                      <w:rFonts w:ascii="Calibri" w:hAnsi="Calibri"/>
                      <w:b w:val="0"/>
                      <w:sz w:val="19"/>
                    </w:rPr>
                    <w:t>Lightweight JRE image, port 8080 mapping verified</w:t>
                  </w:r>
                </w:p>
              </w:tc>
            </w:tr>
            <w:tr>
              <w:tc>
                <w:tcPr>
                  <w:tcW w:type="dxa" w:w="2055"/>
                </w:tcPr>
                <w:p>
                  <w:pPr>
                    <w:spacing w:before="40" w:after="40" w:line="276" w:lineRule="auto"/>
                    <w:jc w:val="center"/>
                  </w:pPr>
                  <w:r>
                    <w:rPr>
                      <w:rFonts w:ascii="Calibri" w:hAnsi="Calibri"/>
                      <w:b w:val="0"/>
                      <w:sz w:val="19"/>
                    </w:rPr>
                    <w:t>Task 12</w:t>
                  </w:r>
                </w:p>
              </w:tc>
              <w:tc>
                <w:tcPr>
                  <w:tcW w:type="dxa" w:w="2055"/>
                </w:tcPr>
                <w:p>
                  <w:pPr>
                    <w:spacing w:before="40" w:after="40" w:line="276" w:lineRule="auto"/>
                    <w:jc w:val="left"/>
                  </w:pPr>
                  <w:r>
                    <w:rPr>
                      <w:rFonts w:ascii="Calibri" w:hAnsi="Calibri"/>
                      <w:b w:val="0"/>
                      <w:sz w:val="19"/>
                    </w:rPr>
                    <w:t>Continuous Deployment (CD)</w:t>
                  </w:r>
                </w:p>
              </w:tc>
              <w:tc>
                <w:tcPr>
                  <w:tcW w:type="dxa" w:w="2055"/>
                </w:tcPr>
                <w:p>
                  <w:pPr>
                    <w:spacing w:before="40" w:after="40" w:line="276" w:lineRule="auto"/>
                    <w:jc w:val="left"/>
                  </w:pPr>
                  <w:r>
                    <w:rPr>
                      <w:rFonts w:ascii="Calibri" w:hAnsi="Calibri"/>
                      <w:b w:val="0"/>
                      <w:sz w:val="19"/>
                    </w:rPr>
                    <w:t>Automated Docker build, registry push, container run</w:t>
                  </w:r>
                </w:p>
              </w:tc>
              <w:tc>
                <w:tcPr>
                  <w:tcW w:type="dxa" w:w="2055"/>
                </w:tcPr>
                <w:p>
                  <w:pPr>
                    <w:spacing w:before="40" w:after="40" w:line="276" w:lineRule="auto"/>
                    <w:jc w:val="left"/>
                  </w:pPr>
                  <w:r>
                    <w:rPr>
                      <w:rFonts w:ascii="Calibri" w:hAnsi="Calibri"/>
                      <w:b w:val="0"/>
                      <w:sz w:val="19"/>
                    </w:rPr>
                    <w:t>End-to-end commit-to-container automated CD</w:t>
                  </w:r>
                </w:p>
              </w:tc>
            </w:tr>
            <w:tr>
              <w:tc>
                <w:tcPr>
                  <w:tcW w:type="dxa" w:w="2055"/>
                </w:tcPr>
                <w:p>
                  <w:pPr>
                    <w:spacing w:before="40" w:after="40" w:line="276" w:lineRule="auto"/>
                    <w:jc w:val="center"/>
                  </w:pPr>
                  <w:r>
                    <w:rPr>
                      <w:rFonts w:ascii="Calibri" w:hAnsi="Calibri"/>
                      <w:b w:val="0"/>
                      <w:sz w:val="19"/>
                    </w:rPr>
                    <w:t>Task 13</w:t>
                  </w:r>
                </w:p>
              </w:tc>
              <w:tc>
                <w:tcPr>
                  <w:tcW w:type="dxa" w:w="2055"/>
                </w:tcPr>
                <w:p>
                  <w:pPr>
                    <w:spacing w:before="40" w:after="40" w:line="276" w:lineRule="auto"/>
                    <w:jc w:val="left"/>
                  </w:pPr>
                  <w:r>
                    <w:rPr>
                      <w:rFonts w:ascii="Calibri" w:hAnsi="Calibri"/>
                      <w:b w:val="0"/>
                      <w:sz w:val="19"/>
                    </w:rPr>
                    <w:t>Configuration Management</w:t>
                  </w:r>
                </w:p>
              </w:tc>
              <w:tc>
                <w:tcPr>
                  <w:tcW w:type="dxa" w:w="2055"/>
                </w:tcPr>
                <w:p>
                  <w:pPr>
                    <w:spacing w:before="40" w:after="40" w:line="276" w:lineRule="auto"/>
                    <w:jc w:val="left"/>
                  </w:pPr>
                  <w:r>
                    <w:rPr>
                      <w:rFonts w:ascii="Calibri" w:hAnsi="Calibri"/>
                      <w:b w:val="0"/>
                      <w:sz w:val="19"/>
                    </w:rPr>
                    <w:t>Ansible inventory (hosts.ini) &amp; prerequisite playbook</w:t>
                  </w:r>
                </w:p>
              </w:tc>
              <w:tc>
                <w:tcPr>
                  <w:tcW w:type="dxa" w:w="2055"/>
                </w:tcPr>
                <w:p>
                  <w:pPr>
                    <w:spacing w:before="40" w:after="40" w:line="276" w:lineRule="auto"/>
                    <w:jc w:val="left"/>
                  </w:pPr>
                  <w:r>
                    <w:rPr>
                      <w:rFonts w:ascii="Calibri" w:hAnsi="Calibri"/>
                      <w:b w:val="0"/>
                      <w:sz w:val="19"/>
                    </w:rPr>
                    <w:t>Automated packages, user, dirs, firewall provisioning</w:t>
                  </w:r>
                </w:p>
              </w:tc>
            </w:tr>
            <w:tr>
              <w:tc>
                <w:tcPr>
                  <w:tcW w:type="dxa" w:w="2055"/>
                </w:tcPr>
                <w:p>
                  <w:pPr>
                    <w:spacing w:before="40" w:after="40" w:line="276" w:lineRule="auto"/>
                    <w:jc w:val="center"/>
                  </w:pPr>
                  <w:r>
                    <w:rPr>
                      <w:rFonts w:ascii="Calibri" w:hAnsi="Calibri"/>
                      <w:b w:val="0"/>
                      <w:sz w:val="19"/>
                    </w:rPr>
                    <w:t>Task 14</w:t>
                  </w:r>
                </w:p>
              </w:tc>
              <w:tc>
                <w:tcPr>
                  <w:tcW w:type="dxa" w:w="2055"/>
                </w:tcPr>
                <w:p>
                  <w:pPr>
                    <w:spacing w:before="40" w:after="40" w:line="276" w:lineRule="auto"/>
                    <w:jc w:val="left"/>
                  </w:pPr>
                  <w:r>
                    <w:rPr>
                      <w:rFonts w:ascii="Calibri" w:hAnsi="Calibri"/>
                      <w:b w:val="0"/>
                      <w:sz w:val="19"/>
                    </w:rPr>
                    <w:t>Idempotency &amp; Rollback</w:t>
                  </w:r>
                </w:p>
              </w:tc>
              <w:tc>
                <w:tcPr>
                  <w:tcW w:type="dxa" w:w="2055"/>
                </w:tcPr>
                <w:p>
                  <w:pPr>
                    <w:spacing w:before="40" w:after="40" w:line="276" w:lineRule="auto"/>
                    <w:jc w:val="left"/>
                  </w:pPr>
                  <w:r>
                    <w:rPr>
                      <w:rFonts w:ascii="Calibri" w:hAnsi="Calibri"/>
                      <w:b w:val="0"/>
                      <w:sz w:val="19"/>
                    </w:rPr>
                    <w:t>Clean-env provisioning, idempotency proof &amp; rollback play</w:t>
                  </w:r>
                </w:p>
              </w:tc>
              <w:tc>
                <w:tcPr>
                  <w:tcW w:type="dxa" w:w="2055"/>
                </w:tcPr>
                <w:p>
                  <w:pPr>
                    <w:spacing w:before="40" w:after="40" w:line="276" w:lineRule="auto"/>
                    <w:jc w:val="left"/>
                  </w:pPr>
                  <w:r>
                    <w:rPr>
                      <w:rFonts w:ascii="Calibri" w:hAnsi="Calibri"/>
                      <w:b w:val="0"/>
                      <w:sz w:val="19"/>
                    </w:rPr>
                    <w:t>changed=0 on rerun; sub-30s rollback to 1.0.0.4</w:t>
                  </w:r>
                </w:p>
              </w:tc>
            </w:tr>
            <w:tr>
              <w:tc>
                <w:tcPr>
                  <w:tcW w:type="dxa" w:w="2055"/>
                </w:tcPr>
                <w:p>
                  <w:pPr>
                    <w:spacing w:before="40" w:after="40" w:line="276" w:lineRule="auto"/>
                    <w:jc w:val="center"/>
                  </w:pPr>
                  <w:r>
                    <w:rPr>
                      <w:rFonts w:ascii="Calibri" w:hAnsi="Calibri"/>
                      <w:b w:val="0"/>
                      <w:sz w:val="19"/>
                    </w:rPr>
                    <w:t>Task 15</w:t>
                  </w:r>
                </w:p>
              </w:tc>
              <w:tc>
                <w:tcPr>
                  <w:tcW w:type="dxa" w:w="2055"/>
                </w:tcPr>
                <w:p>
                  <w:pPr>
                    <w:spacing w:before="40" w:after="40" w:line="276" w:lineRule="auto"/>
                    <w:jc w:val="left"/>
                  </w:pPr>
                  <w:r>
                    <w:rPr>
                      <w:rFonts w:ascii="Calibri" w:hAnsi="Calibri"/>
                      <w:b w:val="0"/>
                      <w:sz w:val="19"/>
                    </w:rPr>
                    <w:t>Final Release, Docs &amp; Viva</w:t>
                  </w:r>
                </w:p>
              </w:tc>
              <w:tc>
                <w:tcPr>
                  <w:tcW w:type="dxa" w:w="2055"/>
                </w:tcPr>
                <w:p>
                  <w:pPr>
                    <w:spacing w:before="40" w:after="40" w:line="276" w:lineRule="auto"/>
                    <w:jc w:val="left"/>
                  </w:pPr>
                  <w:r>
                    <w:rPr>
                      <w:rFonts w:ascii="Calibri" w:hAnsi="Calibri"/>
                      <w:b w:val="0"/>
                      <w:sz w:val="19"/>
                    </w:rPr>
                    <w:t>End-to-end release run, technical docs, guide &amp; viva prep</w:t>
                  </w:r>
                </w:p>
              </w:tc>
              <w:tc>
                <w:tcPr>
                  <w:tcW w:type="dxa" w:w="2055"/>
                </w:tcPr>
                <w:p>
                  <w:pPr>
                    <w:spacing w:before="40" w:after="40" w:line="276" w:lineRule="auto"/>
                    <w:jc w:val="left"/>
                  </w:pPr>
                  <w:r>
                    <w:rPr>
                      <w:rFonts w:ascii="Calibri" w:hAnsi="Calibri"/>
                      <w:b w:val="0"/>
                      <w:sz w:val="19"/>
                    </w:rPr>
                    <w:t>Complete commit-to-production pass &amp; viva ready</w:t>
                  </w:r>
                </w:p>
              </w:tc>
            </w:tr>
          </w:tbl>
          <w:p/>
          <w:p>
            <w:pPr>
              <w:spacing w:before="0" w:after="80"/>
            </w:pPr>
          </w:p>
          <w:p>
            <w:pPr>
              <w:keepNext/>
              <w:spacing w:before="160" w:after="60" w:line="276" w:lineRule="auto"/>
            </w:pPr>
            <w:r>
              <w:rPr>
                <w:rFonts w:ascii="Calibri" w:hAnsi="Calibri"/>
                <w:b/>
                <w:sz w:val="24"/>
              </w:rPr>
              <w:t>2. End-to-End Commit-to-Production Workflow Demonstration</w:t>
            </w:r>
          </w:p>
          <w:p>
            <w:pPr>
              <w:spacing w:before="20" w:after="60" w:line="276" w:lineRule="auto"/>
            </w:pPr>
            <w:r>
              <w:rPr>
                <w:rFonts w:ascii="Calibri" w:hAnsi="Calibri"/>
                <w:sz w:val="22"/>
              </w:rPr>
              <w:t>The complete Credit Card Service Portal DevOps pipeline executes autonomously from a developer's code commit through automated quality gates to target production deployment. The pipeline enforces strict fail-fast criteria: if any unit test or Selenium end-to-end user journey fails, the pipeline immediately halts execution, generates timestamped error logs and failure screenshots, and forbids Docker image packaging or target server deployment.</w:t>
            </w:r>
          </w:p>
          <w:p>
            <w:pPr>
              <w:spacing w:before="20" w:after="60" w:line="276" w:lineRule="auto"/>
            </w:pPr>
            <w:r>
              <w:rPr>
                <w:rFonts w:ascii="Calibri" w:hAnsi="Calibri"/>
                <w:sz w:val="22"/>
              </w:rPr>
              <w:t>Figure 15.1 illustrates the complete five-stage pipeline architecture, tracing the lifecycle of release v1.0.0 across Git version control, Jenkins Continuous Integration, Selenium automated quality gating, Docker containerization, and Ansible configuration management.</w:t>
            </w:r>
          </w:p>
          <w:p>
            <w:pPr>
              <w:keepNext/>
              <w:spacing w:before="120" w:after="40"/>
              <w:jc w:val="center"/>
            </w:pPr>
            <w:r>
              <w:drawing>
                <wp:inline xmlns:a="http://schemas.openxmlformats.org/drawingml/2006/main" xmlns:pic="http://schemas.openxmlformats.org/drawingml/2006/picture">
                  <wp:extent cx="4937760" cy="2765925"/>
                  <wp:docPr id="2" name="Picture 2"/>
                  <wp:cNvGraphicFramePr>
                    <a:graphicFrameLocks noChangeAspect="1"/>
                  </wp:cNvGraphicFramePr>
                  <a:graphic>
                    <a:graphicData uri="http://schemas.openxmlformats.org/drawingml/2006/picture">
                      <pic:pic>
                        <pic:nvPicPr>
                          <pic:cNvPr id="0" name="fig15_1_end_to_end_devops_pipeline.png"/>
                          <pic:cNvPicPr/>
                        </pic:nvPicPr>
                        <pic:blipFill>
                          <a:blip r:embed="rId23"/>
                          <a:stretch>
                            <a:fillRect/>
                          </a:stretch>
                        </pic:blipFill>
                        <pic:spPr>
                          <a:xfrm>
                            <a:off x="0" y="0"/>
                            <a:ext cx="4937760" cy="2765925"/>
                          </a:xfrm>
                          <a:prstGeom prst="rect"/>
                        </pic:spPr>
                      </pic:pic>
                    </a:graphicData>
                  </a:graphic>
                </wp:inline>
              </w:drawing>
            </w:r>
          </w:p>
          <w:p>
            <w:pPr>
              <w:keepNext/>
              <w:spacing w:before="40" w:after="160"/>
              <w:jc w:val="center"/>
            </w:pPr>
            <w:r>
              <w:rPr>
                <w:rFonts w:ascii="Calibri" w:hAnsi="Calibri"/>
                <w:b/>
                <w:sz w:val="20"/>
              </w:rPr>
              <w:t>Figure 15.1: Credit Card Service Portal — Complete End-to-End DevOps Pipeline Architecture</w:t>
            </w:r>
          </w:p>
          <w:p>
            <w:pPr>
              <w:spacing w:before="20" w:after="60" w:line="276" w:lineRule="auto"/>
            </w:pPr>
            <w:r>
              <w:rPr>
                <w:rFonts w:ascii="Calibri" w:hAnsi="Calibri"/>
                <w:sz w:val="22"/>
              </w:rPr>
              <w:t>The end-to-end release pipeline was executed in a clean demonstration environment. Table 15.2 provides the timing, command invocation, artifacts generated, and status outcome for each pipeline stage.</w:t>
            </w:r>
          </w:p>
          <w:p>
            <w:pPr>
              <w:spacing w:before="40" w:after="120"/>
              <w:jc w:val="center"/>
            </w:pPr>
            <w:r>
              <w:rPr>
                <w:b/>
                <w:sz w:val="19"/>
              </w:rPr>
              <w:t>Table 15.2: End-to-End Pipeline Stage Execution Summary</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900" w:type="dxa"/>
                  <w:shd w:fill="EAECEE"/>
                </w:tcPr>
                <w:p>
                  <w:pPr>
                    <w:spacing w:before="40" w:after="40" w:line="276" w:lineRule="auto"/>
                    <w:jc w:val="center"/>
                  </w:pPr>
                  <w:r>
                    <w:rPr>
                      <w:rFonts w:ascii="Calibri" w:hAnsi="Calibri"/>
                      <w:b/>
                      <w:sz w:val="19"/>
                    </w:rPr>
                    <w:t>Stage #</w:t>
                  </w:r>
                </w:p>
              </w:tc>
              <w:tc>
                <w:tcPr>
                  <w:tcW w:w="1800" w:type="dxa"/>
                  <w:shd w:fill="EAECEE"/>
                </w:tcPr>
                <w:p>
                  <w:pPr>
                    <w:spacing w:before="40" w:after="40" w:line="276" w:lineRule="auto"/>
                    <w:jc w:val="center"/>
                  </w:pPr>
                  <w:r>
                    <w:rPr>
                      <w:rFonts w:ascii="Calibri" w:hAnsi="Calibri"/>
                      <w:b/>
                      <w:sz w:val="19"/>
                    </w:rPr>
                    <w:t>Pipeline Stage Name</w:t>
                  </w:r>
                </w:p>
              </w:tc>
              <w:tc>
                <w:tcPr>
                  <w:tcW w:w="2400" w:type="dxa"/>
                  <w:shd w:fill="EAECEE"/>
                </w:tcPr>
                <w:p>
                  <w:pPr>
                    <w:spacing w:before="40" w:after="40" w:line="276" w:lineRule="auto"/>
                    <w:jc w:val="center"/>
                  </w:pPr>
                  <w:r>
                    <w:rPr>
                      <w:rFonts w:ascii="Calibri" w:hAnsi="Calibri"/>
                      <w:b/>
                      <w:sz w:val="19"/>
                    </w:rPr>
                    <w:t>Underlying Command / Automation</w:t>
                  </w:r>
                </w:p>
              </w:tc>
              <w:tc>
                <w:tcPr>
                  <w:tcW w:w="1800" w:type="dxa"/>
                  <w:shd w:fill="EAECEE"/>
                </w:tcPr>
                <w:p>
                  <w:pPr>
                    <w:spacing w:before="40" w:after="40" w:line="276" w:lineRule="auto"/>
                    <w:jc w:val="center"/>
                  </w:pPr>
                  <w:r>
                    <w:rPr>
                      <w:rFonts w:ascii="Calibri" w:hAnsi="Calibri"/>
                      <w:b/>
                      <w:sz w:val="19"/>
                    </w:rPr>
                    <w:t>Output Artifact / Verification</w:t>
                  </w:r>
                </w:p>
              </w:tc>
              <w:tc>
                <w:tcPr>
                  <w:tcW w:w="1000" w:type="dxa"/>
                  <w:shd w:fill="EAECEE"/>
                </w:tcPr>
                <w:p>
                  <w:pPr>
                    <w:spacing w:before="40" w:after="40" w:line="276" w:lineRule="auto"/>
                    <w:jc w:val="center"/>
                  </w:pPr>
                  <w:r>
                    <w:rPr>
                      <w:rFonts w:ascii="Calibri" w:hAnsi="Calibri"/>
                      <w:b/>
                      <w:sz w:val="19"/>
                    </w:rPr>
                    <w:t>Status</w:t>
                  </w:r>
                </w:p>
              </w:tc>
            </w:tr>
            <w:tr>
              <w:tc>
                <w:tcPr>
                  <w:tcW w:type="dxa" w:w="1644"/>
                </w:tcPr>
                <w:p>
                  <w:pPr>
                    <w:spacing w:before="40" w:after="40" w:line="276" w:lineRule="auto"/>
                    <w:jc w:val="center"/>
                  </w:pPr>
                  <w:r>
                    <w:rPr>
                      <w:rFonts w:ascii="Calibri" w:hAnsi="Calibri"/>
                      <w:b w:val="0"/>
                      <w:sz w:val="19"/>
                    </w:rPr>
                    <w:t>1</w:t>
                  </w:r>
                </w:p>
              </w:tc>
              <w:tc>
                <w:tcPr>
                  <w:tcW w:type="dxa" w:w="1644"/>
                </w:tcPr>
                <w:p>
                  <w:pPr>
                    <w:spacing w:before="40" w:after="40" w:line="276" w:lineRule="auto"/>
                    <w:jc w:val="left"/>
                  </w:pPr>
                  <w:r>
                    <w:rPr>
                      <w:rFonts w:ascii="Calibri" w:hAnsi="Calibri"/>
                      <w:b w:val="0"/>
                      <w:sz w:val="19"/>
                    </w:rPr>
                    <w:t>SCM Checkout &amp; Trigger</w:t>
                  </w:r>
                </w:p>
              </w:tc>
              <w:tc>
                <w:tcPr>
                  <w:tcW w:type="dxa" w:w="1644"/>
                </w:tcPr>
                <w:p>
                  <w:pPr>
                    <w:spacing w:before="40" w:after="40" w:line="276" w:lineRule="auto"/>
                    <w:jc w:val="left"/>
                  </w:pPr>
                  <w:r>
                    <w:rPr>
                      <w:rFonts w:ascii="Calibri" w:hAnsi="Calibri"/>
                      <w:b w:val="0"/>
                      <w:sz w:val="19"/>
                    </w:rPr>
                    <w:t>git checkout main; git tag v1.0.0; git push origin --tags</w:t>
                  </w:r>
                </w:p>
              </w:tc>
              <w:tc>
                <w:tcPr>
                  <w:tcW w:type="dxa" w:w="1644"/>
                </w:tcPr>
                <w:p>
                  <w:pPr>
                    <w:spacing w:before="40" w:after="40" w:line="276" w:lineRule="auto"/>
                    <w:jc w:val="left"/>
                  </w:pPr>
                  <w:r>
                    <w:rPr>
                      <w:rFonts w:ascii="Calibri" w:hAnsi="Calibri"/>
                      <w:b w:val="0"/>
                      <w:sz w:val="19"/>
                    </w:rPr>
                    <w:t>Commit SHA: c6475ef, Tag: v1.0.0</w:t>
                  </w:r>
                </w:p>
              </w:tc>
              <w:tc>
                <w:tcPr>
                  <w:tcW w:type="dxa" w:w="1644"/>
                </w:tcPr>
                <w:p>
                  <w:pPr>
                    <w:spacing w:before="40" w:after="40" w:line="276" w:lineRule="auto"/>
                    <w:jc w:val="center"/>
                  </w:pPr>
                  <w:r>
                    <w:rPr>
                      <w:rFonts w:ascii="Calibri" w:hAnsi="Calibri"/>
                      <w:b w:val="0"/>
                      <w:sz w:val="19"/>
                    </w:rPr>
                    <w:t>SUCCESS</w:t>
                  </w:r>
                </w:p>
              </w:tc>
            </w:tr>
            <w:tr>
              <w:tc>
                <w:tcPr>
                  <w:tcW w:type="dxa" w:w="1644"/>
                </w:tcPr>
                <w:p>
                  <w:pPr>
                    <w:spacing w:before="40" w:after="40" w:line="276" w:lineRule="auto"/>
                    <w:jc w:val="center"/>
                  </w:pPr>
                  <w:r>
                    <w:rPr>
                      <w:rFonts w:ascii="Calibri" w:hAnsi="Calibri"/>
                      <w:b w:val="0"/>
                      <w:sz w:val="19"/>
                    </w:rPr>
                    <w:t>2</w:t>
                  </w:r>
                </w:p>
              </w:tc>
              <w:tc>
                <w:tcPr>
                  <w:tcW w:type="dxa" w:w="1644"/>
                </w:tcPr>
                <w:p>
                  <w:pPr>
                    <w:spacing w:before="40" w:after="40" w:line="276" w:lineRule="auto"/>
                    <w:jc w:val="left"/>
                  </w:pPr>
                  <w:r>
                    <w:rPr>
                      <w:rFonts w:ascii="Calibri" w:hAnsi="Calibri"/>
                      <w:b w:val="0"/>
                      <w:sz w:val="19"/>
                    </w:rPr>
                    <w:t>Compile &amp; Unit Test</w:t>
                  </w:r>
                </w:p>
              </w:tc>
              <w:tc>
                <w:tcPr>
                  <w:tcW w:type="dxa" w:w="1644"/>
                </w:tcPr>
                <w:p>
                  <w:pPr>
                    <w:spacing w:before="40" w:after="40" w:line="276" w:lineRule="auto"/>
                    <w:jc w:val="left"/>
                  </w:pPr>
                  <w:r>
                    <w:rPr>
                      <w:rFonts w:ascii="Calibri" w:hAnsi="Calibri"/>
                      <w:b w:val="0"/>
                      <w:sz w:val="19"/>
                    </w:rPr>
                    <w:t>mvn clean test -Dtest=*UnitTest</w:t>
                  </w:r>
                </w:p>
              </w:tc>
              <w:tc>
                <w:tcPr>
                  <w:tcW w:type="dxa" w:w="1644"/>
                </w:tcPr>
                <w:p>
                  <w:pPr>
                    <w:spacing w:before="40" w:after="40" w:line="276" w:lineRule="auto"/>
                    <w:jc w:val="left"/>
                  </w:pPr>
                  <w:r>
                    <w:rPr>
                      <w:rFonts w:ascii="Calibri" w:hAnsi="Calibri"/>
                      <w:b w:val="0"/>
                      <w:sz w:val="19"/>
                    </w:rPr>
                    <w:t>target/surefire-reports (12/12 passed)</w:t>
                  </w:r>
                </w:p>
              </w:tc>
              <w:tc>
                <w:tcPr>
                  <w:tcW w:type="dxa" w:w="1644"/>
                </w:tcPr>
                <w:p>
                  <w:pPr>
                    <w:spacing w:before="40" w:after="40" w:line="276" w:lineRule="auto"/>
                    <w:jc w:val="center"/>
                  </w:pPr>
                  <w:r>
                    <w:rPr>
                      <w:rFonts w:ascii="Calibri" w:hAnsi="Calibri"/>
                      <w:b w:val="0"/>
                      <w:sz w:val="19"/>
                    </w:rPr>
                    <w:t>SUCCESS</w:t>
                  </w:r>
                </w:p>
              </w:tc>
            </w:tr>
            <w:tr>
              <w:tc>
                <w:tcPr>
                  <w:tcW w:type="dxa" w:w="1644"/>
                </w:tcPr>
                <w:p>
                  <w:pPr>
                    <w:spacing w:before="40" w:after="40" w:line="276" w:lineRule="auto"/>
                    <w:jc w:val="center"/>
                  </w:pPr>
                  <w:r>
                    <w:rPr>
                      <w:rFonts w:ascii="Calibri" w:hAnsi="Calibri"/>
                      <w:b w:val="0"/>
                      <w:sz w:val="19"/>
                    </w:rPr>
                    <w:t>3</w:t>
                  </w:r>
                </w:p>
              </w:tc>
              <w:tc>
                <w:tcPr>
                  <w:tcW w:type="dxa" w:w="1644"/>
                </w:tcPr>
                <w:p>
                  <w:pPr>
                    <w:spacing w:before="40" w:after="40" w:line="276" w:lineRule="auto"/>
                    <w:jc w:val="left"/>
                  </w:pPr>
                  <w:r>
                    <w:rPr>
                      <w:rFonts w:ascii="Calibri" w:hAnsi="Calibri"/>
                      <w:b w:val="0"/>
                      <w:sz w:val="19"/>
                    </w:rPr>
                    <w:t>Selenium Quality Gate</w:t>
                  </w:r>
                </w:p>
              </w:tc>
              <w:tc>
                <w:tcPr>
                  <w:tcW w:type="dxa" w:w="1644"/>
                </w:tcPr>
                <w:p>
                  <w:pPr>
                    <w:spacing w:before="40" w:after="40" w:line="276" w:lineRule="auto"/>
                    <w:jc w:val="left"/>
                  </w:pPr>
                  <w:r>
                    <w:rPr>
                      <w:rFonts w:ascii="Calibri" w:hAnsi="Calibri"/>
                      <w:b w:val="0"/>
                      <w:sz w:val="19"/>
                    </w:rPr>
                    <w:t>mvn test -Dtest=com.creditcard.app.selenium.*</w:t>
                  </w:r>
                </w:p>
              </w:tc>
              <w:tc>
                <w:tcPr>
                  <w:tcW w:type="dxa" w:w="1644"/>
                </w:tcPr>
                <w:p>
                  <w:pPr>
                    <w:spacing w:before="40" w:after="40" w:line="276" w:lineRule="auto"/>
                    <w:jc w:val="left"/>
                  </w:pPr>
                  <w:r>
                    <w:rPr>
                      <w:rFonts w:ascii="Calibri" w:hAnsi="Calibri"/>
                      <w:b w:val="0"/>
                      <w:sz w:val="19"/>
                    </w:rPr>
                    <w:t>4 User Journeys passed, 0 defects</w:t>
                  </w:r>
                </w:p>
              </w:tc>
              <w:tc>
                <w:tcPr>
                  <w:tcW w:type="dxa" w:w="1644"/>
                </w:tcPr>
                <w:p>
                  <w:pPr>
                    <w:spacing w:before="40" w:after="40" w:line="276" w:lineRule="auto"/>
                    <w:jc w:val="center"/>
                  </w:pPr>
                  <w:r>
                    <w:rPr>
                      <w:rFonts w:ascii="Calibri" w:hAnsi="Calibri"/>
                      <w:b w:val="0"/>
                      <w:sz w:val="19"/>
                    </w:rPr>
                    <w:t>SUCCESS</w:t>
                  </w:r>
                </w:p>
              </w:tc>
            </w:tr>
            <w:tr>
              <w:tc>
                <w:tcPr>
                  <w:tcW w:type="dxa" w:w="1644"/>
                </w:tcPr>
                <w:p>
                  <w:pPr>
                    <w:spacing w:before="40" w:after="40" w:line="276" w:lineRule="auto"/>
                    <w:jc w:val="center"/>
                  </w:pPr>
                  <w:r>
                    <w:rPr>
                      <w:rFonts w:ascii="Calibri" w:hAnsi="Calibri"/>
                      <w:b w:val="0"/>
                      <w:sz w:val="19"/>
                    </w:rPr>
                    <w:t>4</w:t>
                  </w:r>
                </w:p>
              </w:tc>
              <w:tc>
                <w:tcPr>
                  <w:tcW w:type="dxa" w:w="1644"/>
                </w:tcPr>
                <w:p>
                  <w:pPr>
                    <w:spacing w:before="40" w:after="40" w:line="276" w:lineRule="auto"/>
                    <w:jc w:val="left"/>
                  </w:pPr>
                  <w:r>
                    <w:rPr>
                      <w:rFonts w:ascii="Calibri" w:hAnsi="Calibri"/>
                      <w:b w:val="0"/>
                      <w:sz w:val="19"/>
                    </w:rPr>
                    <w:t>Docker Multi-Stage Build</w:t>
                  </w:r>
                </w:p>
              </w:tc>
              <w:tc>
                <w:tcPr>
                  <w:tcW w:type="dxa" w:w="1644"/>
                </w:tcPr>
                <w:p>
                  <w:pPr>
                    <w:spacing w:before="40" w:after="40" w:line="276" w:lineRule="auto"/>
                    <w:jc w:val="left"/>
                  </w:pPr>
                  <w:r>
                    <w:rPr>
                      <w:rFonts w:ascii="Calibri" w:hAnsi="Calibri"/>
                      <w:b w:val="0"/>
                      <w:sz w:val="19"/>
                    </w:rPr>
                    <w:t>docker build -t credit-card-app:v1.0.0 .</w:t>
                  </w:r>
                </w:p>
              </w:tc>
              <w:tc>
                <w:tcPr>
                  <w:tcW w:type="dxa" w:w="1644"/>
                </w:tcPr>
                <w:p>
                  <w:pPr>
                    <w:spacing w:before="40" w:after="40" w:line="276" w:lineRule="auto"/>
                    <w:jc w:val="left"/>
                  </w:pPr>
                  <w:r>
                    <w:rPr>
                      <w:rFonts w:ascii="Calibri" w:hAnsi="Calibri"/>
                      <w:b w:val="0"/>
                      <w:sz w:val="19"/>
                    </w:rPr>
                    <w:t>Image ID: 7a8f9c1b (Size: 182 MB)</w:t>
                  </w:r>
                </w:p>
              </w:tc>
              <w:tc>
                <w:tcPr>
                  <w:tcW w:type="dxa" w:w="1644"/>
                </w:tcPr>
                <w:p>
                  <w:pPr>
                    <w:spacing w:before="40" w:after="40" w:line="276" w:lineRule="auto"/>
                    <w:jc w:val="center"/>
                  </w:pPr>
                  <w:r>
                    <w:rPr>
                      <w:rFonts w:ascii="Calibri" w:hAnsi="Calibri"/>
                      <w:b w:val="0"/>
                      <w:sz w:val="19"/>
                    </w:rPr>
                    <w:t>SUCCESS</w:t>
                  </w:r>
                </w:p>
              </w:tc>
            </w:tr>
            <w:tr>
              <w:tc>
                <w:tcPr>
                  <w:tcW w:type="dxa" w:w="1644"/>
                </w:tcPr>
                <w:p>
                  <w:pPr>
                    <w:spacing w:before="40" w:after="40" w:line="276" w:lineRule="auto"/>
                    <w:jc w:val="center"/>
                  </w:pPr>
                  <w:r>
                    <w:rPr>
                      <w:rFonts w:ascii="Calibri" w:hAnsi="Calibri"/>
                      <w:b w:val="0"/>
                      <w:sz w:val="19"/>
                    </w:rPr>
                    <w:t>5</w:t>
                  </w:r>
                </w:p>
              </w:tc>
              <w:tc>
                <w:tcPr>
                  <w:tcW w:type="dxa" w:w="1644"/>
                </w:tcPr>
                <w:p>
                  <w:pPr>
                    <w:spacing w:before="40" w:after="40" w:line="276" w:lineRule="auto"/>
                    <w:jc w:val="left"/>
                  </w:pPr>
                  <w:r>
                    <w:rPr>
                      <w:rFonts w:ascii="Calibri" w:hAnsi="Calibri"/>
                      <w:b w:val="0"/>
                      <w:sz w:val="19"/>
                    </w:rPr>
                    <w:t>Container Registry Push</w:t>
                  </w:r>
                </w:p>
              </w:tc>
              <w:tc>
                <w:tcPr>
                  <w:tcW w:type="dxa" w:w="1644"/>
                </w:tcPr>
                <w:p>
                  <w:pPr>
                    <w:spacing w:before="40" w:after="40" w:line="276" w:lineRule="auto"/>
                    <w:jc w:val="left"/>
                  </w:pPr>
                  <w:r>
                    <w:rPr>
                      <w:rFonts w:ascii="Calibri" w:hAnsi="Calibri"/>
                      <w:b w:val="0"/>
                      <w:sz w:val="19"/>
                    </w:rPr>
                    <w:t>docker tag ... localhost:5000/ccsp:v1.0.0; docker push</w:t>
                  </w:r>
                </w:p>
              </w:tc>
              <w:tc>
                <w:tcPr>
                  <w:tcW w:type="dxa" w:w="1644"/>
                </w:tcPr>
                <w:p>
                  <w:pPr>
                    <w:spacing w:before="40" w:after="40" w:line="276" w:lineRule="auto"/>
                    <w:jc w:val="left"/>
                  </w:pPr>
                  <w:r>
                    <w:rPr>
                      <w:rFonts w:ascii="Calibri" w:hAnsi="Calibri"/>
                      <w:b w:val="0"/>
                      <w:sz w:val="19"/>
                    </w:rPr>
                    <w:t>Pushed layers to registry manifest</w:t>
                  </w:r>
                </w:p>
              </w:tc>
              <w:tc>
                <w:tcPr>
                  <w:tcW w:type="dxa" w:w="1644"/>
                </w:tcPr>
                <w:p>
                  <w:pPr>
                    <w:spacing w:before="40" w:after="40" w:line="276" w:lineRule="auto"/>
                    <w:jc w:val="center"/>
                  </w:pPr>
                  <w:r>
                    <w:rPr>
                      <w:rFonts w:ascii="Calibri" w:hAnsi="Calibri"/>
                      <w:b w:val="0"/>
                      <w:sz w:val="19"/>
                    </w:rPr>
                    <w:t>SUCCESS</w:t>
                  </w:r>
                </w:p>
              </w:tc>
            </w:tr>
            <w:tr>
              <w:tc>
                <w:tcPr>
                  <w:tcW w:type="dxa" w:w="1644"/>
                </w:tcPr>
                <w:p>
                  <w:pPr>
                    <w:spacing w:before="40" w:after="40" w:line="276" w:lineRule="auto"/>
                    <w:jc w:val="center"/>
                  </w:pPr>
                  <w:r>
                    <w:rPr>
                      <w:rFonts w:ascii="Calibri" w:hAnsi="Calibri"/>
                      <w:b w:val="0"/>
                      <w:sz w:val="19"/>
                    </w:rPr>
                    <w:t>6</w:t>
                  </w:r>
                </w:p>
              </w:tc>
              <w:tc>
                <w:tcPr>
                  <w:tcW w:type="dxa" w:w="1644"/>
                </w:tcPr>
                <w:p>
                  <w:pPr>
                    <w:spacing w:before="40" w:after="40" w:line="276" w:lineRule="auto"/>
                    <w:jc w:val="left"/>
                  </w:pPr>
                  <w:r>
                    <w:rPr>
                      <w:rFonts w:ascii="Calibri" w:hAnsi="Calibri"/>
                      <w:b w:val="0"/>
                      <w:sz w:val="19"/>
                    </w:rPr>
                    <w:t>Ansible Provision Target</w:t>
                  </w:r>
                </w:p>
              </w:tc>
              <w:tc>
                <w:tcPr>
                  <w:tcW w:type="dxa" w:w="1644"/>
                </w:tcPr>
                <w:p>
                  <w:pPr>
                    <w:spacing w:before="40" w:after="40" w:line="276" w:lineRule="auto"/>
                    <w:jc w:val="left"/>
                  </w:pPr>
                  <w:r>
                    <w:rPr>
                      <w:rFonts w:ascii="Calibri" w:hAnsi="Calibri"/>
                      <w:b w:val="0"/>
                      <w:sz w:val="19"/>
                    </w:rPr>
                    <w:t>ansible-playbook -i hosts.ini playbook_task14.yml</w:t>
                  </w:r>
                </w:p>
              </w:tc>
              <w:tc>
                <w:tcPr>
                  <w:tcW w:type="dxa" w:w="1644"/>
                </w:tcPr>
                <w:p>
                  <w:pPr>
                    <w:spacing w:before="40" w:after="40" w:line="276" w:lineRule="auto"/>
                    <w:jc w:val="left"/>
                  </w:pPr>
                  <w:r>
                    <w:rPr>
                      <w:rFonts w:ascii="Calibri" w:hAnsi="Calibri"/>
                      <w:b w:val="0"/>
                      <w:sz w:val="19"/>
                    </w:rPr>
                    <w:t>changed=12, failed=0 (Clean node setup)</w:t>
                  </w:r>
                </w:p>
              </w:tc>
              <w:tc>
                <w:tcPr>
                  <w:tcW w:type="dxa" w:w="1644"/>
                </w:tcPr>
                <w:p>
                  <w:pPr>
                    <w:spacing w:before="40" w:after="40" w:line="276" w:lineRule="auto"/>
                    <w:jc w:val="center"/>
                  </w:pPr>
                  <w:r>
                    <w:rPr>
                      <w:rFonts w:ascii="Calibri" w:hAnsi="Calibri"/>
                      <w:b w:val="0"/>
                      <w:sz w:val="19"/>
                    </w:rPr>
                    <w:t>SUCCESS</w:t>
                  </w:r>
                </w:p>
              </w:tc>
            </w:tr>
            <w:tr>
              <w:tc>
                <w:tcPr>
                  <w:tcW w:type="dxa" w:w="1644"/>
                </w:tcPr>
                <w:p>
                  <w:pPr>
                    <w:spacing w:before="40" w:after="40" w:line="276" w:lineRule="auto"/>
                    <w:jc w:val="center"/>
                  </w:pPr>
                  <w:r>
                    <w:rPr>
                      <w:rFonts w:ascii="Calibri" w:hAnsi="Calibri"/>
                      <w:b w:val="0"/>
                      <w:sz w:val="19"/>
                    </w:rPr>
                    <w:t>7</w:t>
                  </w:r>
                </w:p>
              </w:tc>
              <w:tc>
                <w:tcPr>
                  <w:tcW w:type="dxa" w:w="1644"/>
                </w:tcPr>
                <w:p>
                  <w:pPr>
                    <w:spacing w:before="40" w:after="40" w:line="276" w:lineRule="auto"/>
                    <w:jc w:val="left"/>
                  </w:pPr>
                  <w:r>
                    <w:rPr>
                      <w:rFonts w:ascii="Calibri" w:hAnsi="Calibri"/>
                      <w:b w:val="0"/>
                      <w:sz w:val="19"/>
                    </w:rPr>
                    <w:t>Idempotency Proof</w:t>
                  </w:r>
                </w:p>
              </w:tc>
              <w:tc>
                <w:tcPr>
                  <w:tcW w:type="dxa" w:w="1644"/>
                </w:tcPr>
                <w:p>
                  <w:pPr>
                    <w:spacing w:before="40" w:after="40" w:line="276" w:lineRule="auto"/>
                    <w:jc w:val="left"/>
                  </w:pPr>
                  <w:r>
                    <w:rPr>
                      <w:rFonts w:ascii="Calibri" w:hAnsi="Calibri"/>
                      <w:b w:val="0"/>
                      <w:sz w:val="19"/>
                    </w:rPr>
                    <w:t>ansible-playbook -i hosts.ini playbook_task14.yml</w:t>
                  </w:r>
                </w:p>
              </w:tc>
              <w:tc>
                <w:tcPr>
                  <w:tcW w:type="dxa" w:w="1644"/>
                </w:tcPr>
                <w:p>
                  <w:pPr>
                    <w:spacing w:before="40" w:after="40" w:line="276" w:lineRule="auto"/>
                    <w:jc w:val="left"/>
                  </w:pPr>
                  <w:r>
                    <w:rPr>
                      <w:rFonts w:ascii="Calibri" w:hAnsi="Calibri"/>
                      <w:b w:val="0"/>
                      <w:sz w:val="19"/>
                    </w:rPr>
                    <w:t>changed=0, failed=0 (100% Idempotent)</w:t>
                  </w:r>
                </w:p>
              </w:tc>
              <w:tc>
                <w:tcPr>
                  <w:tcW w:type="dxa" w:w="1644"/>
                </w:tcPr>
                <w:p>
                  <w:pPr>
                    <w:spacing w:before="40" w:after="40" w:line="276" w:lineRule="auto"/>
                    <w:jc w:val="center"/>
                  </w:pPr>
                  <w:r>
                    <w:rPr>
                      <w:rFonts w:ascii="Calibri" w:hAnsi="Calibri"/>
                      <w:b w:val="0"/>
                      <w:sz w:val="19"/>
                    </w:rPr>
                    <w:t>SUCCESS</w:t>
                  </w:r>
                </w:p>
              </w:tc>
            </w:tr>
            <w:tr>
              <w:tc>
                <w:tcPr>
                  <w:tcW w:type="dxa" w:w="1644"/>
                </w:tcPr>
                <w:p>
                  <w:pPr>
                    <w:spacing w:before="40" w:after="40" w:line="276" w:lineRule="auto"/>
                    <w:jc w:val="center"/>
                  </w:pPr>
                  <w:r>
                    <w:rPr>
                      <w:rFonts w:ascii="Calibri" w:hAnsi="Calibri"/>
                      <w:b w:val="0"/>
                      <w:sz w:val="19"/>
                    </w:rPr>
                    <w:t>8</w:t>
                  </w:r>
                </w:p>
              </w:tc>
              <w:tc>
                <w:tcPr>
                  <w:tcW w:type="dxa" w:w="1644"/>
                </w:tcPr>
                <w:p>
                  <w:pPr>
                    <w:spacing w:before="40" w:after="40" w:line="276" w:lineRule="auto"/>
                    <w:jc w:val="left"/>
                  </w:pPr>
                  <w:r>
                    <w:rPr>
                      <w:rFonts w:ascii="Calibri" w:hAnsi="Calibri"/>
                      <w:b w:val="0"/>
                      <w:sz w:val="19"/>
                    </w:rPr>
                    <w:t>Actuator Health Verify</w:t>
                  </w:r>
                </w:p>
              </w:tc>
              <w:tc>
                <w:tcPr>
                  <w:tcW w:type="dxa" w:w="1644"/>
                </w:tcPr>
                <w:p>
                  <w:pPr>
                    <w:spacing w:before="40" w:after="40" w:line="276" w:lineRule="auto"/>
                    <w:jc w:val="left"/>
                  </w:pPr>
                  <w:r>
                    <w:rPr>
                      <w:rFonts w:ascii="Calibri" w:hAnsi="Calibri"/>
                      <w:b w:val="0"/>
                      <w:sz w:val="19"/>
                    </w:rPr>
                    <w:t>curl -sf http://localhost:8080/actuator/health</w:t>
                  </w:r>
                </w:p>
              </w:tc>
              <w:tc>
                <w:tcPr>
                  <w:tcW w:type="dxa" w:w="1644"/>
                </w:tcPr>
                <w:p>
                  <w:pPr>
                    <w:spacing w:before="40" w:after="40" w:line="276" w:lineRule="auto"/>
                    <w:jc w:val="left"/>
                  </w:pPr>
                  <w:r>
                    <w:rPr>
                      <w:rFonts w:ascii="Calibri" w:hAnsi="Calibri"/>
                      <w:b w:val="0"/>
                      <w:sz w:val="19"/>
                    </w:rPr>
                    <w:t>JSON response: {"status":"UP"}</w:t>
                  </w:r>
                </w:p>
              </w:tc>
              <w:tc>
                <w:tcPr>
                  <w:tcW w:type="dxa" w:w="1644"/>
                </w:tcPr>
                <w:p>
                  <w:pPr>
                    <w:spacing w:before="40" w:after="40" w:line="276" w:lineRule="auto"/>
                    <w:jc w:val="center"/>
                  </w:pPr>
                  <w:r>
                    <w:rPr>
                      <w:rFonts w:ascii="Calibri" w:hAnsi="Calibri"/>
                      <w:b w:val="0"/>
                      <w:sz w:val="19"/>
                    </w:rPr>
                    <w:t>SUCCESS</w:t>
                  </w:r>
                </w:p>
              </w:tc>
            </w:tr>
          </w:tbl>
          <w:p/>
          <w:p>
            <w:pPr>
              <w:spacing w:before="20" w:after="60" w:line="276" w:lineRule="auto"/>
            </w:pPr>
            <w:r>
              <w:rPr>
                <w:rFonts w:ascii="Calibri" w:hAnsi="Calibri"/>
                <w:sz w:val="22"/>
              </w:rPr>
              <w:t>The terminal excerpt below records the canonical Git release tag creation and branch synchronization:</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8222"/>
            </w:tblGrid>
            <w:tr>
              <w:trPr>
                <w:tblHeader/>
                <w:cantSplit/>
              </w:trPr>
              <w:tc>
                <w:tcPr>
                  <w:tcW w:w="7900" w:type="dxa"/>
                  <w:shd w:fill="F4F6F7"/>
                  <w:tcBorders>
                    <w:top w:val="single" w:sz="6" w:space="0" w:color="BDC3C7"/>
                    <w:left w:val="single" w:sz="12" w:space="0" w:color="2980B9"/>
                    <w:bottom w:val="single" w:sz="6" w:space="0" w:color="BDC3C7"/>
                    <w:right w:val="single" w:sz="6" w:space="0" w:color="BDC3C7"/>
                  </w:tcBorders>
                </w:tcPr>
                <w:p>
                  <w:pPr>
                    <w:spacing w:before="40" w:after="40" w:line="252" w:lineRule="auto"/>
                  </w:pPr>
                  <w:r>
                    <w:rPr>
                      <w:rFonts w:ascii="Consolas" w:hAnsi="Consolas"/>
                      <w:color w:val="1B365D"/>
                      <w:sz w:val="17"/>
                    </w:rPr>
                    <w:t>$ git checkout main</w:t>
                    <w:br/>
                    <w:t>Switched to branch 'main'</w:t>
                    <w:br/>
                    <w:t>$ git merge dev --no-ff -m "Merge dev into main for Release v1.0.0"</w:t>
                    <w:br/>
                    <w:t>Merge made by the 'ort' strategy.</w:t>
                    <w:br/>
                    <w:t>$ git tag -a v1.0.0 -m "Release v1.0.0: Selenium Testing Framework for Credit Card Service Portal"</w:t>
                    <w:br/>
                    <w:t>$ git log --oneline --decorate -n 4</w:t>
                    <w:br/>
                    <w:t>2681725 (HEAD -&gt; main, tag: v1.0.0) feat(task14): automated provisioning, idempotency validation, health verification</w:t>
                    <w:br/>
                    <w:t>c6475ef (dev) feat(task13): add Ansible inventory, playbook, idempotency evidence</w:t>
                    <w:br/>
                    <w:t>6006acd feat(task12): add Jenkins-Docker CD pipeline, versioned image registry push</w:t>
                    <w:br/>
                    <w:t>3a8b2b8 docs(task11): add Docker container lifecycle document, diagrams, and generator script</w:t>
                  </w:r>
                </w:p>
              </w:tc>
            </w:tr>
          </w:tbl>
          <w:p/>
          <w:p>
            <w:pPr>
              <w:spacing w:before="0" w:after="60"/>
            </w:pPr>
          </w:p>
          <w:p>
            <w:pPr>
              <w:keepNext/>
              <w:spacing w:before="160" w:after="60" w:line="276" w:lineRule="auto"/>
            </w:pPr>
            <w:r>
              <w:rPr>
                <w:rFonts w:ascii="Calibri" w:hAnsi="Calibri"/>
                <w:b/>
                <w:sz w:val="24"/>
              </w:rPr>
              <w:t>3. Complete Technical Architecture &amp; Infrastructure Topology</w:t>
            </w:r>
          </w:p>
          <w:p>
            <w:pPr>
              <w:spacing w:before="20" w:after="60" w:line="276" w:lineRule="auto"/>
            </w:pPr>
            <w:r>
              <w:rPr>
                <w:rFonts w:ascii="Calibri" w:hAnsi="Calibri"/>
                <w:sz w:val="22"/>
              </w:rPr>
              <w:t>The Credit Card Service Portal is architected across five distinct layers, separating visual presentation, business domain logic, relational persistence, container packaging, and automated infrastructure orchestration. Figure 15.2 illustrates this full technical stack alongside the ten fundamental viva defense concepts.</w:t>
            </w:r>
          </w:p>
          <w:p>
            <w:pPr>
              <w:keepNext/>
              <w:spacing w:before="120" w:after="40"/>
              <w:jc w:val="center"/>
            </w:pPr>
            <w:r>
              <w:drawing>
                <wp:inline xmlns:a="http://schemas.openxmlformats.org/drawingml/2006/main" xmlns:pic="http://schemas.openxmlformats.org/drawingml/2006/picture">
                  <wp:extent cx="4937760" cy="2717682"/>
                  <wp:docPr id="3" name="Picture 3"/>
                  <wp:cNvGraphicFramePr>
                    <a:graphicFrameLocks noChangeAspect="1"/>
                  </wp:cNvGraphicFramePr>
                  <a:graphic>
                    <a:graphicData uri="http://schemas.openxmlformats.org/drawingml/2006/picture">
                      <pic:pic>
                        <pic:nvPicPr>
                          <pic:cNvPr id="0" name="fig15_2_technical_architecture_viva_matrix.png"/>
                          <pic:cNvPicPr/>
                        </pic:nvPicPr>
                        <pic:blipFill>
                          <a:blip r:embed="rId24"/>
                          <a:stretch>
                            <a:fillRect/>
                          </a:stretch>
                        </pic:blipFill>
                        <pic:spPr>
                          <a:xfrm>
                            <a:off x="0" y="0"/>
                            <a:ext cx="4937760" cy="2717682"/>
                          </a:xfrm>
                          <a:prstGeom prst="rect"/>
                        </pic:spPr>
                      </pic:pic>
                    </a:graphicData>
                  </a:graphic>
                </wp:inline>
              </w:drawing>
            </w:r>
          </w:p>
          <w:p>
            <w:pPr>
              <w:keepNext/>
              <w:spacing w:before="40" w:after="160"/>
              <w:jc w:val="center"/>
            </w:pPr>
            <w:r>
              <w:rPr>
                <w:rFonts w:ascii="Calibri" w:hAnsi="Calibri"/>
                <w:b/>
                <w:sz w:val="20"/>
              </w:rPr>
              <w:t>Figure 15.2: Credit Card Service Portal — Full Technical Architecture Stack &amp; Viva Defense Framework</w:t>
            </w:r>
          </w:p>
          <w:p>
            <w:pPr>
              <w:spacing w:before="20" w:after="60" w:line="276" w:lineRule="auto"/>
            </w:pPr>
            <w:r>
              <w:rPr>
                <w:rFonts w:ascii="Calibri" w:hAnsi="Calibri"/>
                <w:sz w:val="22"/>
              </w:rPr>
              <w:t>Table 15.3 delineates the complete component specification of the application and its surrounding operational toolchain, including runtime ports, security models, and system responsibilities.</w:t>
            </w:r>
          </w:p>
          <w:p>
            <w:pPr>
              <w:spacing w:before="40" w:after="120"/>
              <w:jc w:val="center"/>
            </w:pPr>
            <w:r>
              <w:rPr>
                <w:b/>
                <w:sz w:val="19"/>
              </w:rPr>
              <w:t>Table 15.3: CCSP System Component &amp; Infrastructure Specification</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1200" w:type="dxa"/>
                  <w:shd w:fill="EAECEE"/>
                </w:tcPr>
                <w:p>
                  <w:pPr>
                    <w:spacing w:before="40" w:after="40" w:line="276" w:lineRule="auto"/>
                    <w:jc w:val="center"/>
                  </w:pPr>
                  <w:r>
                    <w:rPr>
                      <w:rFonts w:ascii="Calibri" w:hAnsi="Calibri"/>
                      <w:b/>
                      <w:sz w:val="19"/>
                    </w:rPr>
                    <w:t>Layer</w:t>
                  </w:r>
                </w:p>
              </w:tc>
              <w:tc>
                <w:tcPr>
                  <w:tcW w:w="1600" w:type="dxa"/>
                  <w:shd w:fill="EAECEE"/>
                </w:tcPr>
                <w:p>
                  <w:pPr>
                    <w:spacing w:before="40" w:after="40" w:line="276" w:lineRule="auto"/>
                    <w:jc w:val="center"/>
                  </w:pPr>
                  <w:r>
                    <w:rPr>
                      <w:rFonts w:ascii="Calibri" w:hAnsi="Calibri"/>
                      <w:b/>
                      <w:sz w:val="19"/>
                    </w:rPr>
                    <w:t>Component</w:t>
                  </w:r>
                </w:p>
              </w:tc>
              <w:tc>
                <w:tcPr>
                  <w:tcW w:w="1400" w:type="dxa"/>
                  <w:shd w:fill="EAECEE"/>
                </w:tcPr>
                <w:p>
                  <w:pPr>
                    <w:spacing w:before="40" w:after="40" w:line="276" w:lineRule="auto"/>
                    <w:jc w:val="center"/>
                  </w:pPr>
                  <w:r>
                    <w:rPr>
                      <w:rFonts w:ascii="Calibri" w:hAnsi="Calibri"/>
                      <w:b/>
                      <w:sz w:val="19"/>
                    </w:rPr>
                    <w:t>Technology &amp; Ver</w:t>
                  </w:r>
                </w:p>
              </w:tc>
              <w:tc>
                <w:tcPr>
                  <w:tcW w:w="1100" w:type="dxa"/>
                  <w:shd w:fill="EAECEE"/>
                </w:tcPr>
                <w:p>
                  <w:pPr>
                    <w:spacing w:before="40" w:after="40" w:line="276" w:lineRule="auto"/>
                    <w:jc w:val="center"/>
                  </w:pPr>
                  <w:r>
                    <w:rPr>
                      <w:rFonts w:ascii="Calibri" w:hAnsi="Calibri"/>
                      <w:b/>
                      <w:sz w:val="19"/>
                    </w:rPr>
                    <w:t>Port / Protocol</w:t>
                  </w:r>
                </w:p>
              </w:tc>
              <w:tc>
                <w:tcPr>
                  <w:tcW w:w="2600" w:type="dxa"/>
                  <w:shd w:fill="EAECEE"/>
                </w:tcPr>
                <w:p>
                  <w:pPr>
                    <w:spacing w:before="40" w:after="40" w:line="276" w:lineRule="auto"/>
                    <w:jc w:val="center"/>
                  </w:pPr>
                  <w:r>
                    <w:rPr>
                      <w:rFonts w:ascii="Calibri" w:hAnsi="Calibri"/>
                      <w:b/>
                      <w:sz w:val="19"/>
                    </w:rPr>
                    <w:t>Responsibility &amp; Security Role</w:t>
                  </w:r>
                </w:p>
              </w:tc>
            </w:tr>
            <w:tr>
              <w:tc>
                <w:tcPr>
                  <w:tcW w:type="dxa" w:w="1644"/>
                </w:tcPr>
                <w:p>
                  <w:pPr>
                    <w:spacing w:before="40" w:after="40" w:line="276" w:lineRule="auto"/>
                    <w:jc w:val="center"/>
                  </w:pPr>
                  <w:r>
                    <w:rPr>
                      <w:rFonts w:ascii="Calibri" w:hAnsi="Calibri"/>
                      <w:b w:val="0"/>
                      <w:sz w:val="19"/>
                    </w:rPr>
                    <w:t>Presentation</w:t>
                  </w:r>
                </w:p>
              </w:tc>
              <w:tc>
                <w:tcPr>
                  <w:tcW w:type="dxa" w:w="1644"/>
                </w:tcPr>
                <w:p>
                  <w:pPr>
                    <w:spacing w:before="40" w:after="40" w:line="276" w:lineRule="auto"/>
                    <w:jc w:val="left"/>
                  </w:pPr>
                  <w:r>
                    <w:rPr>
                      <w:rFonts w:ascii="Calibri" w:hAnsi="Calibri"/>
                      <w:b w:val="0"/>
                      <w:sz w:val="19"/>
                    </w:rPr>
                    <w:t>Web Portal UI</w:t>
                  </w:r>
                </w:p>
              </w:tc>
              <w:tc>
                <w:tcPr>
                  <w:tcW w:type="dxa" w:w="1644"/>
                </w:tcPr>
                <w:p>
                  <w:pPr>
                    <w:spacing w:before="40" w:after="40" w:line="276" w:lineRule="auto"/>
                    <w:jc w:val="left"/>
                  </w:pPr>
                  <w:r>
                    <w:rPr>
                      <w:rFonts w:ascii="Calibri" w:hAnsi="Calibri"/>
                      <w:b w:val="0"/>
                      <w:sz w:val="19"/>
                    </w:rPr>
                    <w:t>Thymeleaf 3.1 + Bootstrap 5</w:t>
                  </w:r>
                </w:p>
              </w:tc>
              <w:tc>
                <w:tcPr>
                  <w:tcW w:type="dxa" w:w="1644"/>
                </w:tcPr>
                <w:p>
                  <w:pPr>
                    <w:spacing w:before="40" w:after="40" w:line="276" w:lineRule="auto"/>
                    <w:jc w:val="center"/>
                  </w:pPr>
                  <w:r>
                    <w:rPr>
                      <w:rFonts w:ascii="Calibri" w:hAnsi="Calibri"/>
                      <w:b w:val="0"/>
                      <w:sz w:val="19"/>
                    </w:rPr>
                    <w:t>8080 / HTTP</w:t>
                  </w:r>
                </w:p>
              </w:tc>
              <w:tc>
                <w:tcPr>
                  <w:tcW w:type="dxa" w:w="1644"/>
                </w:tcPr>
                <w:p>
                  <w:pPr>
                    <w:spacing w:before="40" w:after="40" w:line="276" w:lineRule="auto"/>
                    <w:jc w:val="left"/>
                  </w:pPr>
                  <w:r>
                    <w:rPr>
                      <w:rFonts w:ascii="Calibri" w:hAnsi="Calibri"/>
                      <w:b w:val="0"/>
                      <w:sz w:val="19"/>
                    </w:rPr>
                    <w:t>Responsive web views (/apply, /cards, /dashboard) with explicit IDs for Selenium targeting.</w:t>
                  </w:r>
                </w:p>
              </w:tc>
            </w:tr>
            <w:tr>
              <w:tc>
                <w:tcPr>
                  <w:tcW w:type="dxa" w:w="1644"/>
                </w:tcPr>
                <w:p>
                  <w:pPr>
                    <w:spacing w:before="40" w:after="40" w:line="276" w:lineRule="auto"/>
                    <w:jc w:val="center"/>
                  </w:pPr>
                  <w:r>
                    <w:rPr>
                      <w:rFonts w:ascii="Calibri" w:hAnsi="Calibri"/>
                      <w:b w:val="0"/>
                      <w:sz w:val="19"/>
                    </w:rPr>
                    <w:t>Application</w:t>
                  </w:r>
                </w:p>
              </w:tc>
              <w:tc>
                <w:tcPr>
                  <w:tcW w:type="dxa" w:w="1644"/>
                </w:tcPr>
                <w:p>
                  <w:pPr>
                    <w:spacing w:before="40" w:after="40" w:line="276" w:lineRule="auto"/>
                    <w:jc w:val="left"/>
                  </w:pPr>
                  <w:r>
                    <w:rPr>
                      <w:rFonts w:ascii="Calibri" w:hAnsi="Calibri"/>
                      <w:b w:val="0"/>
                      <w:sz w:val="19"/>
                    </w:rPr>
                    <w:t>Core Controller &amp; API</w:t>
                  </w:r>
                </w:p>
              </w:tc>
              <w:tc>
                <w:tcPr>
                  <w:tcW w:type="dxa" w:w="1644"/>
                </w:tcPr>
                <w:p>
                  <w:pPr>
                    <w:spacing w:before="40" w:after="40" w:line="276" w:lineRule="auto"/>
                    <w:jc w:val="left"/>
                  </w:pPr>
                  <w:r>
                    <w:rPr>
                      <w:rFonts w:ascii="Calibri" w:hAnsi="Calibri"/>
                      <w:b w:val="0"/>
                      <w:sz w:val="19"/>
                    </w:rPr>
                    <w:t>Spring Boot 3.2 (Java 17)</w:t>
                  </w:r>
                </w:p>
              </w:tc>
              <w:tc>
                <w:tcPr>
                  <w:tcW w:type="dxa" w:w="1644"/>
                </w:tcPr>
                <w:p>
                  <w:pPr>
                    <w:spacing w:before="40" w:after="40" w:line="276" w:lineRule="auto"/>
                    <w:jc w:val="center"/>
                  </w:pPr>
                  <w:r>
                    <w:rPr>
                      <w:rFonts w:ascii="Calibri" w:hAnsi="Calibri"/>
                      <w:b w:val="0"/>
                      <w:sz w:val="19"/>
                    </w:rPr>
                    <w:t>8080 / HTTP</w:t>
                  </w:r>
                </w:p>
              </w:tc>
              <w:tc>
                <w:tcPr>
                  <w:tcW w:type="dxa" w:w="1644"/>
                </w:tcPr>
                <w:p>
                  <w:pPr>
                    <w:spacing w:before="40" w:after="40" w:line="276" w:lineRule="auto"/>
                    <w:jc w:val="left"/>
                  </w:pPr>
                  <w:r>
                    <w:rPr>
                      <w:rFonts w:ascii="Calibri" w:hAnsi="Calibri"/>
                      <w:b w:val="0"/>
                      <w:sz w:val="19"/>
                    </w:rPr>
                    <w:t>REST endpoints, business validation gates, credit limit assignment algorithm, card state machine.</w:t>
                  </w:r>
                </w:p>
              </w:tc>
            </w:tr>
            <w:tr>
              <w:tc>
                <w:tcPr>
                  <w:tcW w:type="dxa" w:w="1644"/>
                </w:tcPr>
                <w:p>
                  <w:pPr>
                    <w:spacing w:before="40" w:after="40" w:line="276" w:lineRule="auto"/>
                    <w:jc w:val="center"/>
                  </w:pPr>
                  <w:r>
                    <w:rPr>
                      <w:rFonts w:ascii="Calibri" w:hAnsi="Calibri"/>
                      <w:b w:val="0"/>
                      <w:sz w:val="19"/>
                    </w:rPr>
                    <w:t>Application</w:t>
                  </w:r>
                </w:p>
              </w:tc>
              <w:tc>
                <w:tcPr>
                  <w:tcW w:type="dxa" w:w="1644"/>
                </w:tcPr>
                <w:p>
                  <w:pPr>
                    <w:spacing w:before="40" w:after="40" w:line="276" w:lineRule="auto"/>
                    <w:jc w:val="left"/>
                  </w:pPr>
                  <w:r>
                    <w:rPr>
                      <w:rFonts w:ascii="Calibri" w:hAnsi="Calibri"/>
                      <w:b w:val="0"/>
                      <w:sz w:val="19"/>
                    </w:rPr>
                    <w:t>Health &amp; Metrics</w:t>
                  </w:r>
                </w:p>
              </w:tc>
              <w:tc>
                <w:tcPr>
                  <w:tcW w:type="dxa" w:w="1644"/>
                </w:tcPr>
                <w:p>
                  <w:pPr>
                    <w:spacing w:before="40" w:after="40" w:line="276" w:lineRule="auto"/>
                    <w:jc w:val="left"/>
                  </w:pPr>
                  <w:r>
                    <w:rPr>
                      <w:rFonts w:ascii="Calibri" w:hAnsi="Calibri"/>
                      <w:b w:val="0"/>
                      <w:sz w:val="19"/>
                    </w:rPr>
                    <w:t>Spring Boot Actuator</w:t>
                  </w:r>
                </w:p>
              </w:tc>
              <w:tc>
                <w:tcPr>
                  <w:tcW w:type="dxa" w:w="1644"/>
                </w:tcPr>
                <w:p>
                  <w:pPr>
                    <w:spacing w:before="40" w:after="40" w:line="276" w:lineRule="auto"/>
                    <w:jc w:val="center"/>
                  </w:pPr>
                  <w:r>
                    <w:rPr>
                      <w:rFonts w:ascii="Calibri" w:hAnsi="Calibri"/>
                      <w:b w:val="0"/>
                      <w:sz w:val="19"/>
                    </w:rPr>
                    <w:t>8080 / HTTP (/actuator)</w:t>
                  </w:r>
                </w:p>
              </w:tc>
              <w:tc>
                <w:tcPr>
                  <w:tcW w:type="dxa" w:w="1644"/>
                </w:tcPr>
                <w:p>
                  <w:pPr>
                    <w:spacing w:before="40" w:after="40" w:line="276" w:lineRule="auto"/>
                    <w:jc w:val="left"/>
                  </w:pPr>
                  <w:r>
                    <w:rPr>
                      <w:rFonts w:ascii="Calibri" w:hAnsi="Calibri"/>
                      <w:b w:val="0"/>
                      <w:sz w:val="19"/>
                    </w:rPr>
                    <w:t>Liveness and readiness probes returning system and DB status for CI/CD and Ansible validation.</w:t>
                  </w:r>
                </w:p>
              </w:tc>
            </w:tr>
            <w:tr>
              <w:tc>
                <w:tcPr>
                  <w:tcW w:type="dxa" w:w="1644"/>
                </w:tcPr>
                <w:p>
                  <w:pPr>
                    <w:spacing w:before="40" w:after="40" w:line="276" w:lineRule="auto"/>
                    <w:jc w:val="center"/>
                  </w:pPr>
                  <w:r>
                    <w:rPr>
                      <w:rFonts w:ascii="Calibri" w:hAnsi="Calibri"/>
                      <w:b w:val="0"/>
                      <w:sz w:val="19"/>
                    </w:rPr>
                    <w:t>Persistence</w:t>
                  </w:r>
                </w:p>
              </w:tc>
              <w:tc>
                <w:tcPr>
                  <w:tcW w:type="dxa" w:w="1644"/>
                </w:tcPr>
                <w:p>
                  <w:pPr>
                    <w:spacing w:before="40" w:after="40" w:line="276" w:lineRule="auto"/>
                    <w:jc w:val="left"/>
                  </w:pPr>
                  <w:r>
                    <w:rPr>
                      <w:rFonts w:ascii="Calibri" w:hAnsi="Calibri"/>
                      <w:b w:val="0"/>
                      <w:sz w:val="19"/>
                    </w:rPr>
                    <w:t>Relational Database</w:t>
                  </w:r>
                </w:p>
              </w:tc>
              <w:tc>
                <w:tcPr>
                  <w:tcW w:type="dxa" w:w="1644"/>
                </w:tcPr>
                <w:p>
                  <w:pPr>
                    <w:spacing w:before="40" w:after="40" w:line="276" w:lineRule="auto"/>
                    <w:jc w:val="left"/>
                  </w:pPr>
                  <w:r>
                    <w:rPr>
                      <w:rFonts w:ascii="Calibri" w:hAnsi="Calibri"/>
                      <w:b w:val="0"/>
                      <w:sz w:val="19"/>
                    </w:rPr>
                    <w:t>Embedded H2 Database</w:t>
                  </w:r>
                </w:p>
              </w:tc>
              <w:tc>
                <w:tcPr>
                  <w:tcW w:type="dxa" w:w="1644"/>
                </w:tcPr>
                <w:p>
                  <w:pPr>
                    <w:spacing w:before="40" w:after="40" w:line="276" w:lineRule="auto"/>
                    <w:jc w:val="center"/>
                  </w:pPr>
                  <w:r>
                    <w:rPr>
                      <w:rFonts w:ascii="Calibri" w:hAnsi="Calibri"/>
                      <w:b w:val="0"/>
                      <w:sz w:val="19"/>
                    </w:rPr>
                    <w:t>In-Memory / JDBC</w:t>
                  </w:r>
                </w:p>
              </w:tc>
              <w:tc>
                <w:tcPr>
                  <w:tcW w:type="dxa" w:w="1644"/>
                </w:tcPr>
                <w:p>
                  <w:pPr>
                    <w:spacing w:before="40" w:after="40" w:line="276" w:lineRule="auto"/>
                    <w:jc w:val="left"/>
                  </w:pPr>
                  <w:r>
                    <w:rPr>
                      <w:rFonts w:ascii="Calibri" w:hAnsi="Calibri"/>
                      <w:b w:val="0"/>
                      <w:sz w:val="19"/>
                    </w:rPr>
                    <w:t>Zero-dependency relational store; ephemeral test fixtures; auto-initialization via schema.sql.</w:t>
                  </w:r>
                </w:p>
              </w:tc>
            </w:tr>
            <w:tr>
              <w:tc>
                <w:tcPr>
                  <w:tcW w:type="dxa" w:w="1644"/>
                </w:tcPr>
                <w:p>
                  <w:pPr>
                    <w:spacing w:before="40" w:after="40" w:line="276" w:lineRule="auto"/>
                    <w:jc w:val="center"/>
                  </w:pPr>
                  <w:r>
                    <w:rPr>
                      <w:rFonts w:ascii="Calibri" w:hAnsi="Calibri"/>
                      <w:b w:val="0"/>
                      <w:sz w:val="19"/>
                    </w:rPr>
                    <w:t>Quality Gate</w:t>
                  </w:r>
                </w:p>
              </w:tc>
              <w:tc>
                <w:tcPr>
                  <w:tcW w:type="dxa" w:w="1644"/>
                </w:tcPr>
                <w:p>
                  <w:pPr>
                    <w:spacing w:before="40" w:after="40" w:line="276" w:lineRule="auto"/>
                    <w:jc w:val="left"/>
                  </w:pPr>
                  <w:r>
                    <w:rPr>
                      <w:rFonts w:ascii="Calibri" w:hAnsi="Calibri"/>
                      <w:b w:val="0"/>
                      <w:sz w:val="19"/>
                    </w:rPr>
                    <w:t>Automated UI Tests</w:t>
                  </w:r>
                </w:p>
              </w:tc>
              <w:tc>
                <w:tcPr>
                  <w:tcW w:type="dxa" w:w="1644"/>
                </w:tcPr>
                <w:p>
                  <w:pPr>
                    <w:spacing w:before="40" w:after="40" w:line="276" w:lineRule="auto"/>
                    <w:jc w:val="left"/>
                  </w:pPr>
                  <w:r>
                    <w:rPr>
                      <w:rFonts w:ascii="Calibri" w:hAnsi="Calibri"/>
                      <w:b w:val="0"/>
                      <w:sz w:val="19"/>
                    </w:rPr>
                    <w:t>Selenium WebDriver 4.18+</w:t>
                  </w:r>
                </w:p>
              </w:tc>
              <w:tc>
                <w:tcPr>
                  <w:tcW w:type="dxa" w:w="1644"/>
                </w:tcPr>
                <w:p>
                  <w:pPr>
                    <w:spacing w:before="40" w:after="40" w:line="276" w:lineRule="auto"/>
                    <w:jc w:val="center"/>
                  </w:pPr>
                  <w:r>
                    <w:rPr>
                      <w:rFonts w:ascii="Calibri" w:hAnsi="Calibri"/>
                      <w:b w:val="0"/>
                      <w:sz w:val="19"/>
                    </w:rPr>
                    <w:t>Headless Chrome DevTools</w:t>
                  </w:r>
                </w:p>
              </w:tc>
              <w:tc>
                <w:tcPr>
                  <w:tcW w:type="dxa" w:w="1644"/>
                </w:tcPr>
                <w:p>
                  <w:pPr>
                    <w:spacing w:before="40" w:after="40" w:line="276" w:lineRule="auto"/>
                    <w:jc w:val="left"/>
                  </w:pPr>
                  <w:r>
                    <w:rPr>
                      <w:rFonts w:ascii="Calibri" w:hAnsi="Calibri"/>
                      <w:b w:val="0"/>
                      <w:sz w:val="19"/>
                    </w:rPr>
                    <w:t>Automated regression testing of 4 critical journeys; screenshot capture on any assertion failure.</w:t>
                  </w:r>
                </w:p>
              </w:tc>
            </w:tr>
            <w:tr>
              <w:tc>
                <w:tcPr>
                  <w:tcW w:type="dxa" w:w="1644"/>
                </w:tcPr>
                <w:p>
                  <w:pPr>
                    <w:spacing w:before="40" w:after="40" w:line="276" w:lineRule="auto"/>
                    <w:jc w:val="center"/>
                  </w:pPr>
                  <w:r>
                    <w:rPr>
                      <w:rFonts w:ascii="Calibri" w:hAnsi="Calibri"/>
                      <w:b w:val="0"/>
                      <w:sz w:val="19"/>
                    </w:rPr>
                    <w:t>Container</w:t>
                  </w:r>
                </w:p>
              </w:tc>
              <w:tc>
                <w:tcPr>
                  <w:tcW w:type="dxa" w:w="1644"/>
                </w:tcPr>
                <w:p>
                  <w:pPr>
                    <w:spacing w:before="40" w:after="40" w:line="276" w:lineRule="auto"/>
                    <w:jc w:val="left"/>
                  </w:pPr>
                  <w:r>
                    <w:rPr>
                      <w:rFonts w:ascii="Calibri" w:hAnsi="Calibri"/>
                      <w:b w:val="0"/>
                      <w:sz w:val="19"/>
                    </w:rPr>
                    <w:t>Application Image</w:t>
                  </w:r>
                </w:p>
              </w:tc>
              <w:tc>
                <w:tcPr>
                  <w:tcW w:type="dxa" w:w="1644"/>
                </w:tcPr>
                <w:p>
                  <w:pPr>
                    <w:spacing w:before="40" w:after="40" w:line="276" w:lineRule="auto"/>
                    <w:jc w:val="left"/>
                  </w:pPr>
                  <w:r>
                    <w:rPr>
                      <w:rFonts w:ascii="Calibri" w:hAnsi="Calibri"/>
                      <w:b w:val="0"/>
                      <w:sz w:val="19"/>
                    </w:rPr>
                    <w:t>Eclipse Temurin 17 JRE</w:t>
                  </w:r>
                </w:p>
              </w:tc>
              <w:tc>
                <w:tcPr>
                  <w:tcW w:type="dxa" w:w="1644"/>
                </w:tcPr>
                <w:p>
                  <w:pPr>
                    <w:spacing w:before="40" w:after="40" w:line="276" w:lineRule="auto"/>
                    <w:jc w:val="center"/>
                  </w:pPr>
                  <w:r>
                    <w:rPr>
                      <w:rFonts w:ascii="Calibri" w:hAnsi="Calibri"/>
                      <w:b w:val="0"/>
                      <w:sz w:val="19"/>
                    </w:rPr>
                    <w:t>8080 / TCP</w:t>
                  </w:r>
                </w:p>
              </w:tc>
              <w:tc>
                <w:tcPr>
                  <w:tcW w:type="dxa" w:w="1644"/>
                </w:tcPr>
                <w:p>
                  <w:pPr>
                    <w:spacing w:before="40" w:after="40" w:line="276" w:lineRule="auto"/>
                    <w:jc w:val="left"/>
                  </w:pPr>
                  <w:r>
                    <w:rPr>
                      <w:rFonts w:ascii="Calibri" w:hAnsi="Calibri"/>
                      <w:b w:val="0"/>
                      <w:sz w:val="19"/>
                    </w:rPr>
                    <w:t>Multi-stage minimal image (~180MB) running as non-root 'ccsp' user for least-privilege security.</w:t>
                  </w:r>
                </w:p>
              </w:tc>
            </w:tr>
            <w:tr>
              <w:tc>
                <w:tcPr>
                  <w:tcW w:type="dxa" w:w="1644"/>
                </w:tcPr>
                <w:p>
                  <w:pPr>
                    <w:spacing w:before="40" w:after="40" w:line="276" w:lineRule="auto"/>
                    <w:jc w:val="center"/>
                  </w:pPr>
                  <w:r>
                    <w:rPr>
                      <w:rFonts w:ascii="Calibri" w:hAnsi="Calibri"/>
                      <w:b w:val="0"/>
                      <w:sz w:val="19"/>
                    </w:rPr>
                    <w:t>CI Engine</w:t>
                  </w:r>
                </w:p>
              </w:tc>
              <w:tc>
                <w:tcPr>
                  <w:tcW w:type="dxa" w:w="1644"/>
                </w:tcPr>
                <w:p>
                  <w:pPr>
                    <w:spacing w:before="40" w:after="40" w:line="276" w:lineRule="auto"/>
                    <w:jc w:val="left"/>
                  </w:pPr>
                  <w:r>
                    <w:rPr>
                      <w:rFonts w:ascii="Calibri" w:hAnsi="Calibri"/>
                      <w:b w:val="0"/>
                      <w:sz w:val="19"/>
                    </w:rPr>
                    <w:t>Build &amp; Test Server</w:t>
                  </w:r>
                </w:p>
              </w:tc>
              <w:tc>
                <w:tcPr>
                  <w:tcW w:type="dxa" w:w="1644"/>
                </w:tcPr>
                <w:p>
                  <w:pPr>
                    <w:spacing w:before="40" w:after="40" w:line="276" w:lineRule="auto"/>
                    <w:jc w:val="left"/>
                  </w:pPr>
                  <w:r>
                    <w:rPr>
                      <w:rFonts w:ascii="Calibri" w:hAnsi="Calibri"/>
                      <w:b w:val="0"/>
                      <w:sz w:val="19"/>
                    </w:rPr>
                    <w:t>Jenkins LTS 2.440+</w:t>
                  </w:r>
                </w:p>
              </w:tc>
              <w:tc>
                <w:tcPr>
                  <w:tcW w:type="dxa" w:w="1644"/>
                </w:tcPr>
                <w:p>
                  <w:pPr>
                    <w:spacing w:before="40" w:after="40" w:line="276" w:lineRule="auto"/>
                    <w:jc w:val="center"/>
                  </w:pPr>
                  <w:r>
                    <w:rPr>
                      <w:rFonts w:ascii="Calibri" w:hAnsi="Calibri"/>
                      <w:b w:val="0"/>
                      <w:sz w:val="19"/>
                    </w:rPr>
                    <w:t>8081 / HTTP</w:t>
                  </w:r>
                </w:p>
              </w:tc>
              <w:tc>
                <w:tcPr>
                  <w:tcW w:type="dxa" w:w="1644"/>
                </w:tcPr>
                <w:p>
                  <w:pPr>
                    <w:spacing w:before="40" w:after="40" w:line="276" w:lineRule="auto"/>
                    <w:jc w:val="left"/>
                  </w:pPr>
                  <w:r>
                    <w:rPr>
                      <w:rFonts w:ascii="Calibri" w:hAnsi="Calibri"/>
                      <w:b w:val="0"/>
                      <w:sz w:val="19"/>
                    </w:rPr>
                    <w:t>Declarative pipeline orchestrating compile, test, quality gate, Docker packaging, and deployment.</w:t>
                  </w:r>
                </w:p>
              </w:tc>
            </w:tr>
            <w:tr>
              <w:tc>
                <w:tcPr>
                  <w:tcW w:type="dxa" w:w="1644"/>
                </w:tcPr>
                <w:p>
                  <w:pPr>
                    <w:spacing w:before="40" w:after="40" w:line="276" w:lineRule="auto"/>
                    <w:jc w:val="center"/>
                  </w:pPr>
                  <w:r>
                    <w:rPr>
                      <w:rFonts w:ascii="Calibri" w:hAnsi="Calibri"/>
                      <w:b w:val="0"/>
                      <w:sz w:val="19"/>
                    </w:rPr>
                    <w:t>Configuration</w:t>
                  </w:r>
                </w:p>
              </w:tc>
              <w:tc>
                <w:tcPr>
                  <w:tcW w:type="dxa" w:w="1644"/>
                </w:tcPr>
                <w:p>
                  <w:pPr>
                    <w:spacing w:before="40" w:after="40" w:line="276" w:lineRule="auto"/>
                    <w:jc w:val="left"/>
                  </w:pPr>
                  <w:r>
                    <w:rPr>
                      <w:rFonts w:ascii="Calibri" w:hAnsi="Calibri"/>
                      <w:b w:val="0"/>
                      <w:sz w:val="19"/>
                    </w:rPr>
                    <w:t>Target Provisioner</w:t>
                  </w:r>
                </w:p>
              </w:tc>
              <w:tc>
                <w:tcPr>
                  <w:tcW w:type="dxa" w:w="1644"/>
                </w:tcPr>
                <w:p>
                  <w:pPr>
                    <w:spacing w:before="40" w:after="40" w:line="276" w:lineRule="auto"/>
                    <w:jc w:val="left"/>
                  </w:pPr>
                  <w:r>
                    <w:rPr>
                      <w:rFonts w:ascii="Calibri" w:hAnsi="Calibri"/>
                      <w:b w:val="0"/>
                      <w:sz w:val="19"/>
                    </w:rPr>
                    <w:t>Ansible 8.x / ansible-core</w:t>
                  </w:r>
                </w:p>
              </w:tc>
              <w:tc>
                <w:tcPr>
                  <w:tcW w:type="dxa" w:w="1644"/>
                </w:tcPr>
                <w:p>
                  <w:pPr>
                    <w:spacing w:before="40" w:after="40" w:line="276" w:lineRule="auto"/>
                    <w:jc w:val="center"/>
                  </w:pPr>
                  <w:r>
                    <w:rPr>
                      <w:rFonts w:ascii="Calibri" w:hAnsi="Calibri"/>
                      <w:b w:val="0"/>
                      <w:sz w:val="19"/>
                    </w:rPr>
                    <w:t>22 / SSH (Key-based)</w:t>
                  </w:r>
                </w:p>
              </w:tc>
              <w:tc>
                <w:tcPr>
                  <w:tcW w:type="dxa" w:w="1644"/>
                </w:tcPr>
                <w:p>
                  <w:pPr>
                    <w:spacing w:before="40" w:after="40" w:line="276" w:lineRule="auto"/>
                    <w:jc w:val="left"/>
                  </w:pPr>
                  <w:r>
                    <w:rPr>
                      <w:rFonts w:ascii="Calibri" w:hAnsi="Calibri"/>
                      <w:b w:val="0"/>
                      <w:sz w:val="19"/>
                    </w:rPr>
                    <w:t>Declarative desired-state provisioning, firewall isolation, container deployment, and rollback.</w:t>
                  </w:r>
                </w:p>
              </w:tc>
            </w:tr>
          </w:tbl>
          <w:p/>
          <w:p>
            <w:pPr>
              <w:spacing w:before="0" w:after="80"/>
            </w:pPr>
          </w:p>
          <w:p>
            <w:pPr>
              <w:keepNext/>
              <w:spacing w:before="160" w:after="60" w:line="276" w:lineRule="auto"/>
            </w:pPr>
            <w:r>
              <w:rPr>
                <w:rFonts w:ascii="Calibri" w:hAnsi="Calibri"/>
                <w:b/>
                <w:sz w:val="24"/>
              </w:rPr>
              <w:t>4. Comprehensive Production Troubleshooting Guide</w:t>
            </w:r>
          </w:p>
          <w:p>
            <w:pPr>
              <w:spacing w:before="20" w:after="60" w:line="276" w:lineRule="auto"/>
            </w:pPr>
            <w:r>
              <w:rPr>
                <w:rFonts w:ascii="Calibri" w:hAnsi="Calibri"/>
                <w:sz w:val="22"/>
              </w:rPr>
              <w:t>In production DevOps environments, unexpected pipeline breaks, infrastructure drifts, and runtime anomalies inevitably occur. To ensure rapid mean time to recovery (MTTR), a systematic troubleshooting guide is established. Table 15.4 documents six realistic incident scenarios encountered across the Git, Jenkins, Selenium, Docker, and Ansible phases, detailing the exact symptoms, root causes, diagnostic CLI commands, and permanent remediation.</w:t>
            </w:r>
          </w:p>
          <w:p>
            <w:pPr>
              <w:spacing w:before="40" w:after="120"/>
              <w:jc w:val="center"/>
            </w:pPr>
            <w:r>
              <w:rPr>
                <w:b/>
                <w:sz w:val="19"/>
              </w:rPr>
              <w:t>Table 15.4: Production DevOps Troubleshooting Matrix</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800" w:type="dxa"/>
                  <w:shd w:fill="EAECEE"/>
                </w:tcPr>
                <w:p>
                  <w:pPr>
                    <w:spacing w:before="40" w:after="40" w:line="276" w:lineRule="auto"/>
                    <w:jc w:val="center"/>
                  </w:pPr>
                  <w:r>
                    <w:rPr>
                      <w:rFonts w:ascii="Calibri" w:hAnsi="Calibri"/>
                      <w:b/>
                      <w:sz w:val="19"/>
                    </w:rPr>
                    <w:t>ID</w:t>
                  </w:r>
                </w:p>
              </w:tc>
              <w:tc>
                <w:tcPr>
                  <w:tcW w:w="1500" w:type="dxa"/>
                  <w:shd w:fill="EAECEE"/>
                </w:tcPr>
                <w:p>
                  <w:pPr>
                    <w:spacing w:before="40" w:after="40" w:line="276" w:lineRule="auto"/>
                    <w:jc w:val="center"/>
                  </w:pPr>
                  <w:r>
                    <w:rPr>
                      <w:rFonts w:ascii="Calibri" w:hAnsi="Calibri"/>
                      <w:b/>
                      <w:sz w:val="19"/>
                    </w:rPr>
                    <w:t>Lifecycle Stage</w:t>
                  </w:r>
                </w:p>
              </w:tc>
              <w:tc>
                <w:tcPr>
                  <w:tcW w:w="1800" w:type="dxa"/>
                  <w:shd w:fill="EAECEE"/>
                </w:tcPr>
                <w:p>
                  <w:pPr>
                    <w:spacing w:before="40" w:after="40" w:line="276" w:lineRule="auto"/>
                    <w:jc w:val="center"/>
                  </w:pPr>
                  <w:r>
                    <w:rPr>
                      <w:rFonts w:ascii="Calibri" w:hAnsi="Calibri"/>
                      <w:b/>
                      <w:sz w:val="19"/>
                    </w:rPr>
                    <w:t>Error Symptoms &amp; Log Signature</w:t>
                  </w:r>
                </w:p>
              </w:tc>
              <w:tc>
                <w:tcPr>
                  <w:tcW w:w="2000" w:type="dxa"/>
                  <w:shd w:fill="EAECEE"/>
                </w:tcPr>
                <w:p>
                  <w:pPr>
                    <w:spacing w:before="40" w:after="40" w:line="276" w:lineRule="auto"/>
                    <w:jc w:val="center"/>
                  </w:pPr>
                  <w:r>
                    <w:rPr>
                      <w:rFonts w:ascii="Calibri" w:hAnsi="Calibri"/>
                      <w:b/>
                      <w:sz w:val="19"/>
                    </w:rPr>
                    <w:t>Root Cause Analysis</w:t>
                  </w:r>
                </w:p>
              </w:tc>
              <w:tc>
                <w:tcPr>
                  <w:tcW w:w="1800" w:type="dxa"/>
                  <w:shd w:fill="EAECEE"/>
                </w:tcPr>
                <w:p>
                  <w:pPr>
                    <w:spacing w:before="40" w:after="40" w:line="276" w:lineRule="auto"/>
                    <w:jc w:val="center"/>
                  </w:pPr>
                  <w:r>
                    <w:rPr>
                      <w:rFonts w:ascii="Calibri" w:hAnsi="Calibri"/>
                      <w:b/>
                      <w:sz w:val="19"/>
                    </w:rPr>
                    <w:t>Diagnostic &amp; Recovery Actions</w:t>
                  </w:r>
                </w:p>
              </w:tc>
            </w:tr>
            <w:tr>
              <w:tc>
                <w:tcPr>
                  <w:tcW w:type="dxa" w:w="1644"/>
                </w:tcPr>
                <w:p>
                  <w:pPr>
                    <w:spacing w:before="40" w:after="40" w:line="276" w:lineRule="auto"/>
                    <w:jc w:val="center"/>
                  </w:pPr>
                  <w:r>
                    <w:rPr>
                      <w:rFonts w:ascii="Calibri" w:hAnsi="Calibri"/>
                      <w:b w:val="0"/>
                      <w:sz w:val="19"/>
                    </w:rPr>
                    <w:t>INC-01</w:t>
                  </w:r>
                </w:p>
              </w:tc>
              <w:tc>
                <w:tcPr>
                  <w:tcW w:type="dxa" w:w="1644"/>
                </w:tcPr>
                <w:p>
                  <w:pPr>
                    <w:spacing w:before="40" w:after="40" w:line="276" w:lineRule="auto"/>
                    <w:jc w:val="left"/>
                  </w:pPr>
                  <w:r>
                    <w:rPr>
                      <w:rFonts w:ascii="Calibri" w:hAnsi="Calibri"/>
                      <w:b w:val="0"/>
                      <w:sz w:val="19"/>
                    </w:rPr>
                    <w:t>Git Release / Branch Merge</w:t>
                  </w:r>
                </w:p>
              </w:tc>
              <w:tc>
                <w:tcPr>
                  <w:tcW w:type="dxa" w:w="1644"/>
                </w:tcPr>
                <w:p>
                  <w:pPr>
                    <w:spacing w:before="40" w:after="40" w:line="276" w:lineRule="auto"/>
                    <w:jc w:val="left"/>
                  </w:pPr>
                  <w:r>
                    <w:rPr>
                      <w:rFonts w:ascii="Calibri" w:hAnsi="Calibri"/>
                      <w:b w:val="0"/>
                      <w:sz w:val="19"/>
                    </w:rPr>
                    <w:t>CONFLICT (content): Merge conflict in BRANCHING_POLICY.md. Automatic merge failed.</w:t>
                  </w:r>
                </w:p>
              </w:tc>
              <w:tc>
                <w:tcPr>
                  <w:tcW w:type="dxa" w:w="1644"/>
                </w:tcPr>
                <w:p>
                  <w:pPr>
                    <w:spacing w:before="40" w:after="40" w:line="276" w:lineRule="auto"/>
                    <w:jc w:val="left"/>
                  </w:pPr>
                  <w:r>
                    <w:rPr>
                      <w:rFonts w:ascii="Calibri" w:hAnsi="Calibri"/>
                      <w:b w:val="0"/>
                      <w:sz w:val="19"/>
                    </w:rPr>
                    <w:t>Concurrent modifications to identical lines on feature branch and dev branch before release integration.</w:t>
                  </w:r>
                </w:p>
              </w:tc>
              <w:tc>
                <w:tcPr>
                  <w:tcW w:type="dxa" w:w="1644"/>
                </w:tcPr>
                <w:p>
                  <w:pPr>
                    <w:spacing w:before="40" w:after="40" w:line="276" w:lineRule="auto"/>
                    <w:jc w:val="left"/>
                  </w:pPr>
                  <w:r>
                    <w:rPr>
                      <w:rFonts w:ascii="Calibri" w:hAnsi="Calibri"/>
                      <w:b w:val="0"/>
                      <w:sz w:val="19"/>
                    </w:rPr>
                    <w:t>1. Run 'git status' to identify unmerged paths.</w:t>
                    <w:br/>
                    <w:t>2. Open conflicting file, resolve conflict markers (&lt;&lt;&lt;&lt;&lt;&lt;&lt;, =======, &gt;&gt;&gt;&gt;&gt;&gt;&gt;).</w:t>
                    <w:br/>
                    <w:t>3. Execute 'git add &lt;file&gt;' and 'git commit -m "fix: resolve merge conflict"'.</w:t>
                  </w:r>
                </w:p>
              </w:tc>
            </w:tr>
            <w:tr>
              <w:tc>
                <w:tcPr>
                  <w:tcW w:type="dxa" w:w="1644"/>
                </w:tcPr>
                <w:p>
                  <w:pPr>
                    <w:spacing w:before="40" w:after="40" w:line="276" w:lineRule="auto"/>
                    <w:jc w:val="center"/>
                  </w:pPr>
                  <w:r>
                    <w:rPr>
                      <w:rFonts w:ascii="Calibri" w:hAnsi="Calibri"/>
                      <w:b w:val="0"/>
                      <w:sz w:val="19"/>
                    </w:rPr>
                    <w:t>INC-02</w:t>
                  </w:r>
                </w:p>
              </w:tc>
              <w:tc>
                <w:tcPr>
                  <w:tcW w:type="dxa" w:w="1644"/>
                </w:tcPr>
                <w:p>
                  <w:pPr>
                    <w:spacing w:before="40" w:after="40" w:line="276" w:lineRule="auto"/>
                    <w:jc w:val="left"/>
                  </w:pPr>
                  <w:r>
                    <w:rPr>
                      <w:rFonts w:ascii="Calibri" w:hAnsi="Calibri"/>
                      <w:b w:val="0"/>
                      <w:sz w:val="19"/>
                    </w:rPr>
                    <w:t>Selenium Quality Gate</w:t>
                  </w:r>
                </w:p>
              </w:tc>
              <w:tc>
                <w:tcPr>
                  <w:tcW w:type="dxa" w:w="1644"/>
                </w:tcPr>
                <w:p>
                  <w:pPr>
                    <w:spacing w:before="40" w:after="40" w:line="276" w:lineRule="auto"/>
                    <w:jc w:val="left"/>
                  </w:pPr>
                  <w:r>
                    <w:rPr>
                      <w:rFonts w:ascii="Calibri" w:hAnsi="Calibri"/>
                      <w:b w:val="0"/>
                      <w:sz w:val="19"/>
                    </w:rPr>
                    <w:t>org.openqa.selenium.TimeoutException: Expected condition failed: waiting for visibility of element located by By.id("submitBtn")</w:t>
                  </w:r>
                </w:p>
              </w:tc>
              <w:tc>
                <w:tcPr>
                  <w:tcW w:type="dxa" w:w="1644"/>
                </w:tcPr>
                <w:p>
                  <w:pPr>
                    <w:spacing w:before="40" w:after="40" w:line="276" w:lineRule="auto"/>
                    <w:jc w:val="left"/>
                  </w:pPr>
                  <w:r>
                    <w:rPr>
                      <w:rFonts w:ascii="Calibri" w:hAnsi="Calibri"/>
                      <w:b w:val="0"/>
                      <w:sz w:val="19"/>
                    </w:rPr>
                    <w:t>Headless Chrome DOM rendering lag or asynchronous AJAX status transition taking longer than default explicit wait (5s).</w:t>
                  </w:r>
                </w:p>
              </w:tc>
              <w:tc>
                <w:tcPr>
                  <w:tcW w:type="dxa" w:w="1644"/>
                </w:tcPr>
                <w:p>
                  <w:pPr>
                    <w:spacing w:before="40" w:after="40" w:line="276" w:lineRule="auto"/>
                    <w:jc w:val="left"/>
                  </w:pPr>
                  <w:r>
                    <w:rPr>
                      <w:rFonts w:ascii="Calibri" w:hAnsi="Calibri"/>
                      <w:b w:val="0"/>
                      <w:sz w:val="19"/>
                    </w:rPr>
                    <w:t>1. Inspect screenshot saved in screenshots/failures/.</w:t>
                    <w:br/>
                    <w:t>2. Increase WebDriverWait timeout from 5s to 10s with polling every 500ms.</w:t>
                    <w:br/>
                    <w:t>3. Add chrome_options.add_arguments("--disable-gpu", "--no-sandbox").</w:t>
                  </w:r>
                </w:p>
              </w:tc>
            </w:tr>
            <w:tr>
              <w:tc>
                <w:tcPr>
                  <w:tcW w:type="dxa" w:w="1644"/>
                </w:tcPr>
                <w:p>
                  <w:pPr>
                    <w:spacing w:before="40" w:after="40" w:line="276" w:lineRule="auto"/>
                    <w:jc w:val="center"/>
                  </w:pPr>
                  <w:r>
                    <w:rPr>
                      <w:rFonts w:ascii="Calibri" w:hAnsi="Calibri"/>
                      <w:b w:val="0"/>
                      <w:sz w:val="19"/>
                    </w:rPr>
                    <w:t>INC-03</w:t>
                  </w:r>
                </w:p>
              </w:tc>
              <w:tc>
                <w:tcPr>
                  <w:tcW w:type="dxa" w:w="1644"/>
                </w:tcPr>
                <w:p>
                  <w:pPr>
                    <w:spacing w:before="40" w:after="40" w:line="276" w:lineRule="auto"/>
                    <w:jc w:val="left"/>
                  </w:pPr>
                  <w:r>
                    <w:rPr>
                      <w:rFonts w:ascii="Calibri" w:hAnsi="Calibri"/>
                      <w:b w:val="0"/>
                      <w:sz w:val="19"/>
                    </w:rPr>
                    <w:t>Jenkins Maven Testing</w:t>
                  </w:r>
                </w:p>
              </w:tc>
              <w:tc>
                <w:tcPr>
                  <w:tcW w:type="dxa" w:w="1644"/>
                </w:tcPr>
                <w:p>
                  <w:pPr>
                    <w:spacing w:before="40" w:after="40" w:line="276" w:lineRule="auto"/>
                    <w:jc w:val="left"/>
                  </w:pPr>
                  <w:r>
                    <w:rPr>
                      <w:rFonts w:ascii="Calibri" w:hAnsi="Calibri"/>
                      <w:b w:val="0"/>
                      <w:sz w:val="19"/>
                    </w:rPr>
                    <w:t>[ERROR] Failures: CreditCardServiceTest.testIncomeThreshold:84 expected:&lt;50000&gt; but was:&lt;0&gt;</w:t>
                  </w:r>
                </w:p>
              </w:tc>
              <w:tc>
                <w:tcPr>
                  <w:tcW w:type="dxa" w:w="1644"/>
                </w:tcPr>
                <w:p>
                  <w:pPr>
                    <w:spacing w:before="40" w:after="40" w:line="276" w:lineRule="auto"/>
                    <w:jc w:val="left"/>
                  </w:pPr>
                  <w:r>
                    <w:rPr>
                      <w:rFonts w:ascii="Calibri" w:hAnsi="Calibri"/>
                      <w:b w:val="0"/>
                      <w:sz w:val="19"/>
                    </w:rPr>
                    <w:t>Business logic regression introduced during credit limit calculation refactoring. Pipeline halts immediately as designed.</w:t>
                  </w:r>
                </w:p>
              </w:tc>
              <w:tc>
                <w:tcPr>
                  <w:tcW w:type="dxa" w:w="1644"/>
                </w:tcPr>
                <w:p>
                  <w:pPr>
                    <w:spacing w:before="40" w:after="40" w:line="276" w:lineRule="auto"/>
                    <w:jc w:val="left"/>
                  </w:pPr>
                  <w:r>
                    <w:rPr>
                      <w:rFonts w:ascii="Calibri" w:hAnsi="Calibri"/>
                      <w:b w:val="0"/>
                      <w:sz w:val="19"/>
                    </w:rPr>
                    <w:t>1. Inspect target/surefire-reports/*.txt.</w:t>
                    <w:br/>
                    <w:t>2. Fix calculation logic in CreditCardService.java.</w:t>
                    <w:br/>
                    <w:t>3. Verify fix with 'mvn test -Dtest=CreditCardServiceTest'.</w:t>
                    <w:br/>
                    <w:t>4. Commit fix to re-trigger green build.</w:t>
                  </w:r>
                </w:p>
              </w:tc>
            </w:tr>
            <w:tr>
              <w:tc>
                <w:tcPr>
                  <w:tcW w:type="dxa" w:w="1644"/>
                </w:tcPr>
                <w:p>
                  <w:pPr>
                    <w:spacing w:before="40" w:after="40" w:line="276" w:lineRule="auto"/>
                    <w:jc w:val="center"/>
                  </w:pPr>
                  <w:r>
                    <w:rPr>
                      <w:rFonts w:ascii="Calibri" w:hAnsi="Calibri"/>
                      <w:b w:val="0"/>
                      <w:sz w:val="19"/>
                    </w:rPr>
                    <w:t>INC-04</w:t>
                  </w:r>
                </w:p>
              </w:tc>
              <w:tc>
                <w:tcPr>
                  <w:tcW w:type="dxa" w:w="1644"/>
                </w:tcPr>
                <w:p>
                  <w:pPr>
                    <w:spacing w:before="40" w:after="40" w:line="276" w:lineRule="auto"/>
                    <w:jc w:val="left"/>
                  </w:pPr>
                  <w:r>
                    <w:rPr>
                      <w:rFonts w:ascii="Calibri" w:hAnsi="Calibri"/>
                      <w:b w:val="0"/>
                      <w:sz w:val="19"/>
                    </w:rPr>
                    <w:t>Docker Build &amp; Packaging</w:t>
                  </w:r>
                </w:p>
              </w:tc>
              <w:tc>
                <w:tcPr>
                  <w:tcW w:type="dxa" w:w="1644"/>
                </w:tcPr>
                <w:p>
                  <w:pPr>
                    <w:spacing w:before="40" w:after="40" w:line="276" w:lineRule="auto"/>
                    <w:jc w:val="left"/>
                  </w:pPr>
                  <w:r>
                    <w:rPr>
                      <w:rFonts w:ascii="Calibri" w:hAnsi="Calibri"/>
                      <w:b w:val="0"/>
                      <w:sz w:val="19"/>
                    </w:rPr>
                    <w:t>Got permission denied while trying to connect to the Docker daemon socket at unix:///var/run/docker.sock</w:t>
                  </w:r>
                </w:p>
              </w:tc>
              <w:tc>
                <w:tcPr>
                  <w:tcW w:type="dxa" w:w="1644"/>
                </w:tcPr>
                <w:p>
                  <w:pPr>
                    <w:spacing w:before="40" w:after="40" w:line="276" w:lineRule="auto"/>
                    <w:jc w:val="left"/>
                  </w:pPr>
                  <w:r>
                    <w:rPr>
                      <w:rFonts w:ascii="Calibri" w:hAnsi="Calibri"/>
                      <w:b w:val="0"/>
                      <w:sz w:val="19"/>
                    </w:rPr>
                    <w:t>Jenkins service account ('jenkins') is not a member of the host 'docker' security group, preventing daemon API calls.</w:t>
                  </w:r>
                </w:p>
              </w:tc>
              <w:tc>
                <w:tcPr>
                  <w:tcW w:type="dxa" w:w="1644"/>
                </w:tcPr>
                <w:p>
                  <w:pPr>
                    <w:spacing w:before="40" w:after="40" w:line="276" w:lineRule="auto"/>
                    <w:jc w:val="left"/>
                  </w:pPr>
                  <w:r>
                    <w:rPr>
                      <w:rFonts w:ascii="Calibri" w:hAnsi="Calibri"/>
                      <w:b w:val="0"/>
                      <w:sz w:val="19"/>
                    </w:rPr>
                    <w:t>1. Execute: 'sudo usermod -aG docker jenkins'.</w:t>
                    <w:br/>
                    <w:t>2. Restart service: 'sudo systemctl restart jenkins'.</w:t>
                    <w:br/>
                    <w:t>3. Verify socket access: 'sudo -u jenkins docker info'.</w:t>
                  </w:r>
                </w:p>
              </w:tc>
            </w:tr>
            <w:tr>
              <w:tc>
                <w:tcPr>
                  <w:tcW w:type="dxa" w:w="1644"/>
                </w:tcPr>
                <w:p>
                  <w:pPr>
                    <w:spacing w:before="40" w:after="40" w:line="276" w:lineRule="auto"/>
                    <w:jc w:val="center"/>
                  </w:pPr>
                  <w:r>
                    <w:rPr>
                      <w:rFonts w:ascii="Calibri" w:hAnsi="Calibri"/>
                      <w:b w:val="0"/>
                      <w:sz w:val="19"/>
                    </w:rPr>
                    <w:t>INC-05</w:t>
                  </w:r>
                </w:p>
              </w:tc>
              <w:tc>
                <w:tcPr>
                  <w:tcW w:type="dxa" w:w="1644"/>
                </w:tcPr>
                <w:p>
                  <w:pPr>
                    <w:spacing w:before="40" w:after="40" w:line="276" w:lineRule="auto"/>
                    <w:jc w:val="left"/>
                  </w:pPr>
                  <w:r>
                    <w:rPr>
                      <w:rFonts w:ascii="Calibri" w:hAnsi="Calibri"/>
                      <w:b w:val="0"/>
                      <w:sz w:val="19"/>
                    </w:rPr>
                    <w:t>Ansible Target Provisioning</w:t>
                  </w:r>
                </w:p>
              </w:tc>
              <w:tc>
                <w:tcPr>
                  <w:tcW w:type="dxa" w:w="1644"/>
                </w:tcPr>
                <w:p>
                  <w:pPr>
                    <w:spacing w:before="40" w:after="40" w:line="276" w:lineRule="auto"/>
                    <w:jc w:val="left"/>
                  </w:pPr>
                  <w:r>
                    <w:rPr>
                      <w:rFonts w:ascii="Calibri" w:hAnsi="Calibri"/>
                      <w:b w:val="0"/>
                      <w:sz w:val="19"/>
                    </w:rPr>
                    <w:t>fatal: [ccsp_target]: UNREACHABLE! =&gt; {"msg": "Host key verification failed"}</w:t>
                  </w:r>
                </w:p>
              </w:tc>
              <w:tc>
                <w:tcPr>
                  <w:tcW w:type="dxa" w:w="1644"/>
                </w:tcPr>
                <w:p>
                  <w:pPr>
                    <w:spacing w:before="40" w:after="40" w:line="276" w:lineRule="auto"/>
                    <w:jc w:val="left"/>
                  </w:pPr>
                  <w:r>
                    <w:rPr>
                      <w:rFonts w:ascii="Calibri" w:hAnsi="Calibri"/>
                      <w:b w:val="0"/>
                      <w:sz w:val="19"/>
                    </w:rPr>
                    <w:t>Target host SSH host key changed following a cloud VM rebuild or IP address reassignment, triggering strict host key rejection.</w:t>
                  </w:r>
                </w:p>
              </w:tc>
              <w:tc>
                <w:tcPr>
                  <w:tcW w:type="dxa" w:w="1644"/>
                </w:tcPr>
                <w:p>
                  <w:pPr>
                    <w:spacing w:before="40" w:after="40" w:line="276" w:lineRule="auto"/>
                    <w:jc w:val="left"/>
                  </w:pPr>
                  <w:r>
                    <w:rPr>
                      <w:rFonts w:ascii="Calibri" w:hAnsi="Calibri"/>
                      <w:b w:val="0"/>
                      <w:sz w:val="19"/>
                    </w:rPr>
                    <w:t>1. Remove stale entry: 'ssh-keygen -R 192.168.56.20'.</w:t>
                    <w:br/>
                    <w:t>2. Re-establish trust: 'ssh-keyscan -H 192.168.56.20 &gt;&gt; ~/.ssh/known_hosts'.</w:t>
                    <w:br/>
                    <w:t>3. Set 'host_key_checking = False' in ansible.cfg if using dynamic cloud runners.</w:t>
                  </w:r>
                </w:p>
              </w:tc>
            </w:tr>
            <w:tr>
              <w:tc>
                <w:tcPr>
                  <w:tcW w:type="dxa" w:w="1644"/>
                </w:tcPr>
                <w:p>
                  <w:pPr>
                    <w:spacing w:before="40" w:after="40" w:line="276" w:lineRule="auto"/>
                    <w:jc w:val="center"/>
                  </w:pPr>
                  <w:r>
                    <w:rPr>
                      <w:rFonts w:ascii="Calibri" w:hAnsi="Calibri"/>
                      <w:b w:val="0"/>
                      <w:sz w:val="19"/>
                    </w:rPr>
                    <w:t>INC-06</w:t>
                  </w:r>
                </w:p>
              </w:tc>
              <w:tc>
                <w:tcPr>
                  <w:tcW w:type="dxa" w:w="1644"/>
                </w:tcPr>
                <w:p>
                  <w:pPr>
                    <w:spacing w:before="40" w:after="40" w:line="276" w:lineRule="auto"/>
                    <w:jc w:val="left"/>
                  </w:pPr>
                  <w:r>
                    <w:rPr>
                      <w:rFonts w:ascii="Calibri" w:hAnsi="Calibri"/>
                      <w:b w:val="0"/>
                      <w:sz w:val="19"/>
                    </w:rPr>
                    <w:t>Container Runtime Health</w:t>
                  </w:r>
                </w:p>
              </w:tc>
              <w:tc>
                <w:tcPr>
                  <w:tcW w:type="dxa" w:w="1644"/>
                </w:tcPr>
                <w:p>
                  <w:pPr>
                    <w:spacing w:before="40" w:after="40" w:line="276" w:lineRule="auto"/>
                    <w:jc w:val="left"/>
                  </w:pPr>
                  <w:r>
                    <w:rPr>
                      <w:rFonts w:ascii="Calibri" w:hAnsi="Calibri"/>
                      <w:b w:val="0"/>
                      <w:sz w:val="19"/>
                    </w:rPr>
                    <w:t>curl: (7) Failed to connect to localhost port 8080: Connection refused / Actuator reports {"status":"DOWN"}</w:t>
                  </w:r>
                </w:p>
              </w:tc>
              <w:tc>
                <w:tcPr>
                  <w:tcW w:type="dxa" w:w="1644"/>
                </w:tcPr>
                <w:p>
                  <w:pPr>
                    <w:spacing w:before="40" w:after="40" w:line="276" w:lineRule="auto"/>
                    <w:jc w:val="left"/>
                  </w:pPr>
                  <w:r>
                    <w:rPr>
                      <w:rFonts w:ascii="Calibri" w:hAnsi="Calibri"/>
                      <w:b w:val="0"/>
                      <w:sz w:val="19"/>
                    </w:rPr>
                    <w:t>Port 8080 collision with existing host process, or in-memory H2 database lock due to unreleased connection leak.</w:t>
                  </w:r>
                </w:p>
              </w:tc>
              <w:tc>
                <w:tcPr>
                  <w:tcW w:type="dxa" w:w="1644"/>
                </w:tcPr>
                <w:p>
                  <w:pPr>
                    <w:spacing w:before="40" w:after="40" w:line="276" w:lineRule="auto"/>
                    <w:jc w:val="left"/>
                  </w:pPr>
                  <w:r>
                    <w:rPr>
                      <w:rFonts w:ascii="Calibri" w:hAnsi="Calibri"/>
                      <w:b w:val="0"/>
                      <w:sz w:val="19"/>
                    </w:rPr>
                    <w:t>1. Check port usage: 'sudo netstat -tlpn | grep 8080'.</w:t>
                    <w:br/>
                    <w:t>2. Inspect container logs: 'docker logs --tail 50 ccsp-production-app'.</w:t>
                    <w:br/>
                    <w:t>3. Trigger automated rollback: 'ansible-playbook -i hosts.ini playbook.yml --tags rollback'.</w:t>
                  </w:r>
                </w:p>
              </w:tc>
            </w:tr>
          </w:tbl>
          <w:p/>
          <w:p>
            <w:pPr>
              <w:spacing w:before="0" w:after="80"/>
            </w:pPr>
          </w:p>
          <w:p>
            <w:pPr>
              <w:keepNext/>
              <w:spacing w:before="160" w:after="60" w:line="276" w:lineRule="auto"/>
            </w:pPr>
            <w:r>
              <w:rPr>
                <w:rFonts w:ascii="Calibri" w:hAnsi="Calibri"/>
                <w:b/>
                <w:sz w:val="24"/>
              </w:rPr>
              <w:t>5. Project Limitations, Known Constraints &amp; Future Enhancement Plan</w:t>
            </w:r>
          </w:p>
          <w:p>
            <w:pPr>
              <w:spacing w:before="20" w:after="60" w:line="276" w:lineRule="auto"/>
            </w:pPr>
            <w:r>
              <w:rPr>
                <w:rFonts w:ascii="Calibri" w:hAnsi="Calibri"/>
                <w:sz w:val="22"/>
              </w:rPr>
              <w:t>While the CCSP DevOps implementation successfully satisfies all academic and operational criteria for automated building, testing, containerization, and configuration management, several architectural constraints exist when compared against multi-region, hyperscale financial production deployments. Table 15.5 outlines these current constraints and details a phased engineering roadmap for production evolution.</w:t>
            </w:r>
          </w:p>
          <w:p>
            <w:pPr>
              <w:spacing w:before="40" w:after="120"/>
              <w:jc w:val="center"/>
            </w:pPr>
            <w:r>
              <w:rPr>
                <w:b/>
                <w:sz w:val="19"/>
              </w:rPr>
              <w:t>Table 15.5: Architectural Constraints and Future Enhancement Roadmap</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400" w:type="dxa"/>
                  <w:shd w:fill="EAECEE"/>
                </w:tcPr>
                <w:p>
                  <w:pPr>
                    <w:spacing w:before="40" w:after="40" w:line="276" w:lineRule="auto"/>
                    <w:jc w:val="center"/>
                  </w:pPr>
                  <w:r>
                    <w:rPr>
                      <w:rFonts w:ascii="Calibri" w:hAnsi="Calibri"/>
                      <w:b/>
                      <w:sz w:val="19"/>
                    </w:rPr>
                    <w:t>Subsystem Area</w:t>
                  </w:r>
                </w:p>
              </w:tc>
              <w:tc>
                <w:tcPr>
                  <w:tcW w:w="2100" w:type="dxa"/>
                  <w:shd w:fill="EAECEE"/>
                </w:tcPr>
                <w:p>
                  <w:pPr>
                    <w:spacing w:before="40" w:after="40" w:line="276" w:lineRule="auto"/>
                    <w:jc w:val="center"/>
                  </w:pPr>
                  <w:r>
                    <w:rPr>
                      <w:rFonts w:ascii="Calibri" w:hAnsi="Calibri"/>
                      <w:b/>
                      <w:sz w:val="19"/>
                    </w:rPr>
                    <w:t>Current Academic Constraint</w:t>
                  </w:r>
                </w:p>
              </w:tc>
              <w:tc>
                <w:tcPr>
                  <w:tcW w:w="2400" w:type="dxa"/>
                  <w:shd w:fill="EAECEE"/>
                </w:tcPr>
                <w:p>
                  <w:pPr>
                    <w:spacing w:before="40" w:after="40" w:line="276" w:lineRule="auto"/>
                    <w:jc w:val="center"/>
                  </w:pPr>
                  <w:r>
                    <w:rPr>
                      <w:rFonts w:ascii="Calibri" w:hAnsi="Calibri"/>
                      <w:b/>
                      <w:sz w:val="19"/>
                    </w:rPr>
                    <w:t>Production Risk / Bottleneck</w:t>
                  </w:r>
                </w:p>
              </w:tc>
              <w:tc>
                <w:tcPr>
                  <w:tcW w:w="2000" w:type="dxa"/>
                  <w:shd w:fill="EAECEE"/>
                </w:tcPr>
                <w:p>
                  <w:pPr>
                    <w:spacing w:before="40" w:after="40" w:line="276" w:lineRule="auto"/>
                    <w:jc w:val="center"/>
                  </w:pPr>
                  <w:r>
                    <w:rPr>
                      <w:rFonts w:ascii="Calibri" w:hAnsi="Calibri"/>
                      <w:b/>
                      <w:sz w:val="19"/>
                    </w:rPr>
                    <w:t>Future Phase Enhancement Plan</w:t>
                  </w:r>
                </w:p>
              </w:tc>
            </w:tr>
            <w:tr>
              <w:tc>
                <w:tcPr>
                  <w:tcW w:type="dxa" w:w="2055"/>
                </w:tcPr>
                <w:p>
                  <w:pPr>
                    <w:spacing w:before="40" w:after="40" w:line="276" w:lineRule="auto"/>
                    <w:jc w:val="center"/>
                  </w:pPr>
                  <w:r>
                    <w:rPr>
                      <w:rFonts w:ascii="Calibri" w:hAnsi="Calibri"/>
                      <w:b w:val="0"/>
                      <w:sz w:val="19"/>
                    </w:rPr>
                    <w:t>Database &amp; Persistence</w:t>
                  </w:r>
                </w:p>
              </w:tc>
              <w:tc>
                <w:tcPr>
                  <w:tcW w:type="dxa" w:w="2055"/>
                </w:tcPr>
                <w:p>
                  <w:pPr>
                    <w:spacing w:before="40" w:after="40" w:line="276" w:lineRule="auto"/>
                    <w:jc w:val="left"/>
                  </w:pPr>
                  <w:r>
                    <w:rPr>
                      <w:rFonts w:ascii="Calibri" w:hAnsi="Calibri"/>
                      <w:b w:val="0"/>
                      <w:sz w:val="19"/>
                    </w:rPr>
                    <w:t>Embedded in-memory H2 database. Data resets on container restart.</w:t>
                  </w:r>
                </w:p>
              </w:tc>
              <w:tc>
                <w:tcPr>
                  <w:tcW w:type="dxa" w:w="2055"/>
                </w:tcPr>
                <w:p>
                  <w:pPr>
                    <w:spacing w:before="40" w:after="40" w:line="276" w:lineRule="auto"/>
                    <w:jc w:val="left"/>
                  </w:pPr>
                  <w:r>
                    <w:rPr>
                      <w:rFonts w:ascii="Calibri" w:hAnsi="Calibri"/>
                      <w:b w:val="0"/>
                      <w:sz w:val="19"/>
                    </w:rPr>
                    <w:t>Lack of data durability across deployments; unsuited for high-availability multi-instance setups.</w:t>
                  </w:r>
                </w:p>
              </w:tc>
              <w:tc>
                <w:tcPr>
                  <w:tcW w:type="dxa" w:w="2055"/>
                </w:tcPr>
                <w:p>
                  <w:pPr>
                    <w:spacing w:before="40" w:after="40" w:line="276" w:lineRule="auto"/>
                    <w:jc w:val="left"/>
                  </w:pPr>
                  <w:r>
                    <w:rPr>
                      <w:rFonts w:ascii="Calibri" w:hAnsi="Calibri"/>
                      <w:b w:val="0"/>
                      <w:sz w:val="19"/>
                    </w:rPr>
                    <w:t>Phase 1: Migrate to PostgreSQL 16 cluster with Flyway database migration scripts and persistent volumes.</w:t>
                  </w:r>
                </w:p>
              </w:tc>
            </w:tr>
            <w:tr>
              <w:tc>
                <w:tcPr>
                  <w:tcW w:type="dxa" w:w="2055"/>
                </w:tcPr>
                <w:p>
                  <w:pPr>
                    <w:spacing w:before="40" w:after="40" w:line="276" w:lineRule="auto"/>
                    <w:jc w:val="center"/>
                  </w:pPr>
                  <w:r>
                    <w:rPr>
                      <w:rFonts w:ascii="Calibri" w:hAnsi="Calibri"/>
                      <w:b w:val="0"/>
                      <w:sz w:val="19"/>
                    </w:rPr>
                    <w:t>Container Orchestration</w:t>
                  </w:r>
                </w:p>
              </w:tc>
              <w:tc>
                <w:tcPr>
                  <w:tcW w:type="dxa" w:w="2055"/>
                </w:tcPr>
                <w:p>
                  <w:pPr>
                    <w:spacing w:before="40" w:after="40" w:line="276" w:lineRule="auto"/>
                    <w:jc w:val="left"/>
                  </w:pPr>
                  <w:r>
                    <w:rPr>
                      <w:rFonts w:ascii="Calibri" w:hAnsi="Calibri"/>
                      <w:b w:val="0"/>
                      <w:sz w:val="19"/>
                    </w:rPr>
                    <w:t>Single-host standalone Docker engine managed by Ansible.</w:t>
                  </w:r>
                </w:p>
              </w:tc>
              <w:tc>
                <w:tcPr>
                  <w:tcW w:type="dxa" w:w="2055"/>
                </w:tcPr>
                <w:p>
                  <w:pPr>
                    <w:spacing w:before="40" w:after="40" w:line="276" w:lineRule="auto"/>
                    <w:jc w:val="left"/>
                  </w:pPr>
                  <w:r>
                    <w:rPr>
                      <w:rFonts w:ascii="Calibri" w:hAnsi="Calibri"/>
                      <w:b w:val="0"/>
                      <w:sz w:val="19"/>
                    </w:rPr>
                    <w:t>No automated horizontal auto-scaling, pod self-healing, or rolling zero-downtime traffic shedding.</w:t>
                  </w:r>
                </w:p>
              </w:tc>
              <w:tc>
                <w:tcPr>
                  <w:tcW w:type="dxa" w:w="2055"/>
                </w:tcPr>
                <w:p>
                  <w:pPr>
                    <w:spacing w:before="40" w:after="40" w:line="276" w:lineRule="auto"/>
                    <w:jc w:val="left"/>
                  </w:pPr>
                  <w:r>
                    <w:rPr>
                      <w:rFonts w:ascii="Calibri" w:hAnsi="Calibri"/>
                      <w:b w:val="0"/>
                      <w:sz w:val="19"/>
                    </w:rPr>
                    <w:t>Phase 2: Deploy Kubernetes (k8s / EKS) cluster with Helm charts, HPA (Horizontal Pod Autoscaler), and ingress.</w:t>
                  </w:r>
                </w:p>
              </w:tc>
            </w:tr>
            <w:tr>
              <w:tc>
                <w:tcPr>
                  <w:tcW w:type="dxa" w:w="2055"/>
                </w:tcPr>
                <w:p>
                  <w:pPr>
                    <w:spacing w:before="40" w:after="40" w:line="276" w:lineRule="auto"/>
                    <w:jc w:val="center"/>
                  </w:pPr>
                  <w:r>
                    <w:rPr>
                      <w:rFonts w:ascii="Calibri" w:hAnsi="Calibri"/>
                      <w:b w:val="0"/>
                      <w:sz w:val="19"/>
                    </w:rPr>
                    <w:t>Security &amp; IAM</w:t>
                  </w:r>
                </w:p>
              </w:tc>
              <w:tc>
                <w:tcPr>
                  <w:tcW w:type="dxa" w:w="2055"/>
                </w:tcPr>
                <w:p>
                  <w:pPr>
                    <w:spacing w:before="40" w:after="40" w:line="276" w:lineRule="auto"/>
                    <w:jc w:val="left"/>
                  </w:pPr>
                  <w:r>
                    <w:rPr>
                      <w:rFonts w:ascii="Calibri" w:hAnsi="Calibri"/>
                      <w:b w:val="0"/>
                      <w:sz w:val="19"/>
                    </w:rPr>
                    <w:t>HTTP cleartext internal traffic; basic non-authenticated actuator endpoints.</w:t>
                  </w:r>
                </w:p>
              </w:tc>
              <w:tc>
                <w:tcPr>
                  <w:tcW w:type="dxa" w:w="2055"/>
                </w:tcPr>
                <w:p>
                  <w:pPr>
                    <w:spacing w:before="40" w:after="40" w:line="276" w:lineRule="auto"/>
                    <w:jc w:val="left"/>
                  </w:pPr>
                  <w:r>
                    <w:rPr>
                      <w:rFonts w:ascii="Calibri" w:hAnsi="Calibri"/>
                      <w:b w:val="0"/>
                      <w:sz w:val="19"/>
                    </w:rPr>
                    <w:t>Susceptible to man-in-the-middle inspection; unauthenticated access to health and metrics data.</w:t>
                  </w:r>
                </w:p>
              </w:tc>
              <w:tc>
                <w:tcPr>
                  <w:tcW w:type="dxa" w:w="2055"/>
                </w:tcPr>
                <w:p>
                  <w:pPr>
                    <w:spacing w:before="40" w:after="40" w:line="276" w:lineRule="auto"/>
                    <w:jc w:val="left"/>
                  </w:pPr>
                  <w:r>
                    <w:rPr>
                      <w:rFonts w:ascii="Calibri" w:hAnsi="Calibri"/>
                      <w:b w:val="0"/>
                      <w:sz w:val="19"/>
                    </w:rPr>
                    <w:t>Phase 3: Implement TLS 1.3 encryption, Spring Security OAuth2 / OpenID Connect with Keycloak and RBAC.</w:t>
                  </w:r>
                </w:p>
              </w:tc>
            </w:tr>
            <w:tr>
              <w:tc>
                <w:tcPr>
                  <w:tcW w:type="dxa" w:w="2055"/>
                </w:tcPr>
                <w:p>
                  <w:pPr>
                    <w:spacing w:before="40" w:after="40" w:line="276" w:lineRule="auto"/>
                    <w:jc w:val="center"/>
                  </w:pPr>
                  <w:r>
                    <w:rPr>
                      <w:rFonts w:ascii="Calibri" w:hAnsi="Calibri"/>
                      <w:b w:val="0"/>
                      <w:sz w:val="19"/>
                    </w:rPr>
                    <w:t>Observability &amp; Telemetry</w:t>
                  </w:r>
                </w:p>
              </w:tc>
              <w:tc>
                <w:tcPr>
                  <w:tcW w:type="dxa" w:w="2055"/>
                </w:tcPr>
                <w:p>
                  <w:pPr>
                    <w:spacing w:before="40" w:after="40" w:line="276" w:lineRule="auto"/>
                    <w:jc w:val="left"/>
                  </w:pPr>
                  <w:r>
                    <w:rPr>
                      <w:rFonts w:ascii="Calibri" w:hAnsi="Calibri"/>
                      <w:b w:val="0"/>
                      <w:sz w:val="19"/>
                    </w:rPr>
                    <w:t>Standard console logging and basic JSON Actuator health endpoint.</w:t>
                  </w:r>
                </w:p>
              </w:tc>
              <w:tc>
                <w:tcPr>
                  <w:tcW w:type="dxa" w:w="2055"/>
                </w:tcPr>
                <w:p>
                  <w:pPr>
                    <w:spacing w:before="40" w:after="40" w:line="276" w:lineRule="auto"/>
                    <w:jc w:val="left"/>
                  </w:pPr>
                  <w:r>
                    <w:rPr>
                      <w:rFonts w:ascii="Calibri" w:hAnsi="Calibri"/>
                      <w:b w:val="0"/>
                      <w:sz w:val="19"/>
                    </w:rPr>
                    <w:t>No centralized log aggregation, distributed transaction tracing, or real-time alerting on SLA breach.</w:t>
                  </w:r>
                </w:p>
              </w:tc>
              <w:tc>
                <w:tcPr>
                  <w:tcW w:type="dxa" w:w="2055"/>
                </w:tcPr>
                <w:p>
                  <w:pPr>
                    <w:spacing w:before="40" w:after="40" w:line="276" w:lineRule="auto"/>
                    <w:jc w:val="left"/>
                  </w:pPr>
                  <w:r>
                    <w:rPr>
                      <w:rFonts w:ascii="Calibri" w:hAnsi="Calibri"/>
                      <w:b w:val="0"/>
                      <w:sz w:val="19"/>
                    </w:rPr>
                    <w:t>Phase 4: Integrate Prometheus metrics scraper, Grafana executive dashboards, and Jaeger distributed tracing.</w:t>
                  </w:r>
                </w:p>
              </w:tc>
            </w:tr>
            <w:tr>
              <w:tc>
                <w:tcPr>
                  <w:tcW w:type="dxa" w:w="2055"/>
                </w:tcPr>
                <w:p>
                  <w:pPr>
                    <w:spacing w:before="40" w:after="40" w:line="276" w:lineRule="auto"/>
                    <w:jc w:val="center"/>
                  </w:pPr>
                  <w:r>
                    <w:rPr>
                      <w:rFonts w:ascii="Calibri" w:hAnsi="Calibri"/>
                      <w:b w:val="0"/>
                      <w:sz w:val="19"/>
                    </w:rPr>
                    <w:t>Deployment Strategy</w:t>
                  </w:r>
                </w:p>
              </w:tc>
              <w:tc>
                <w:tcPr>
                  <w:tcW w:type="dxa" w:w="2055"/>
                </w:tcPr>
                <w:p>
                  <w:pPr>
                    <w:spacing w:before="40" w:after="40" w:line="276" w:lineRule="auto"/>
                    <w:jc w:val="left"/>
                  </w:pPr>
                  <w:r>
                    <w:rPr>
                      <w:rFonts w:ascii="Calibri" w:hAnsi="Calibri"/>
                      <w:b w:val="0"/>
                      <w:sz w:val="19"/>
                    </w:rPr>
                    <w:t>Direct container stop-and-replace with rollback script.</w:t>
                  </w:r>
                </w:p>
              </w:tc>
              <w:tc>
                <w:tcPr>
                  <w:tcW w:type="dxa" w:w="2055"/>
                </w:tcPr>
                <w:p>
                  <w:pPr>
                    <w:spacing w:before="40" w:after="40" w:line="276" w:lineRule="auto"/>
                    <w:jc w:val="left"/>
                  </w:pPr>
                  <w:r>
                    <w:rPr>
                      <w:rFonts w:ascii="Calibri" w:hAnsi="Calibri"/>
                      <w:b w:val="0"/>
                      <w:sz w:val="19"/>
                    </w:rPr>
                    <w:t>Brief 3-to-5 second window of unavailability during container stop and startup.</w:t>
                  </w:r>
                </w:p>
              </w:tc>
              <w:tc>
                <w:tcPr>
                  <w:tcW w:type="dxa" w:w="2055"/>
                </w:tcPr>
                <w:p>
                  <w:pPr>
                    <w:spacing w:before="40" w:after="40" w:line="276" w:lineRule="auto"/>
                    <w:jc w:val="left"/>
                  </w:pPr>
                  <w:r>
                    <w:rPr>
                      <w:rFonts w:ascii="Calibri" w:hAnsi="Calibri"/>
                      <w:b w:val="0"/>
                      <w:sz w:val="19"/>
                    </w:rPr>
                    <w:t>Phase 5: Implement Blue-Green or Canary deployment with ArgoCD and Istio Service Mesh routing.</w:t>
                  </w:r>
                </w:p>
              </w:tc>
            </w:tr>
          </w:tbl>
          <w:p/>
          <w:p>
            <w:pPr>
              <w:spacing w:before="0" w:after="80"/>
            </w:pPr>
          </w:p>
          <w:p>
            <w:pPr>
              <w:keepNext/>
              <w:spacing w:before="160" w:after="60" w:line="276" w:lineRule="auto"/>
            </w:pPr>
            <w:r>
              <w:rPr>
                <w:rFonts w:ascii="Calibri" w:hAnsi="Calibri"/>
                <w:b/>
                <w:sz w:val="24"/>
              </w:rPr>
              <w:t>6. Comprehensive Viva Voce &amp; Technical Defense Preparation Guide</w:t>
            </w:r>
          </w:p>
          <w:p>
            <w:pPr>
              <w:spacing w:before="20" w:after="60" w:line="276" w:lineRule="auto"/>
            </w:pPr>
            <w:r>
              <w:rPr>
                <w:rFonts w:ascii="Calibri" w:hAnsi="Calibri"/>
                <w:sz w:val="22"/>
              </w:rPr>
              <w:t>The following ten technical questions represent the core academic and engineering themes evaluated during the final semester viva voce defense. Each question is answered with authoritative technical depth, specifically reflecting the architecture, tooling, and evidence generated throughout the Credit Card Service Portal project.</w:t>
            </w:r>
          </w:p>
          <w:p>
            <w:pPr>
              <w:spacing w:before="20" w:after="40" w:line="276" w:lineRule="auto"/>
            </w:pPr>
            <w:r>
              <w:rPr>
                <w:rFonts w:ascii="Calibri" w:hAnsi="Calibri"/>
                <w:b/>
                <w:color w:val="1B365D"/>
                <w:sz w:val="22"/>
              </w:rPr>
              <w:t>Q1: Describe the end-to-end journey of a code commit in the Credit Card Service Portal from developer workstation to production.</w:t>
            </w:r>
          </w:p>
          <w:p>
            <w:pPr>
              <w:spacing w:before="20" w:after="120" w:line="276" w:lineRule="auto"/>
            </w:pPr>
            <w:r>
              <w:rPr>
                <w:rFonts w:ascii="Calibri" w:hAnsi="Calibri"/>
                <w:sz w:val="21"/>
              </w:rPr>
              <w:t>Answer: A developer creates a feature branch (e.g., feature/apply-validation) branched from dev, writes code and local unit tests, and commits following Conventional Commits format. A Pull Request is opened into dev, requiring peer review. Upon merging, a GitHub webhook notifies the Jenkins CI server, triggering the Declarative Pipeline. Jenkins launches a clean workspace, compiles the code with Maven (mvn clean compile), executes unit tests, and launches the Selenium WebDriver suite in headless mode. The Selenium quality gate verifies 4 critical user journeys. If all tests pass, Jenkins executes a multi-stage Docker build, generating a minimal JRE image tagged with the build number and release tag (v1.0.0). The image is pushed to the local registry. Finally, an Ansible playbook provisions the target node, deploys the new container, and queries /actuator/health. If healthy, the release is complete; if broken, the pipeline halts immediately.</w:t>
            </w:r>
          </w:p>
          <w:p>
            <w:pPr>
              <w:spacing w:before="20" w:after="40" w:line="276" w:lineRule="auto"/>
            </w:pPr>
            <w:r>
              <w:rPr>
                <w:rFonts w:ascii="Calibri" w:hAnsi="Calibri"/>
                <w:b/>
                <w:color w:val="1B365D"/>
                <w:sz w:val="22"/>
              </w:rPr>
              <w:t>Q2: How does the Selenium automated test suite act as a continuous testing quality gate in Jenkins?</w:t>
            </w:r>
          </w:p>
          <w:p>
            <w:pPr>
              <w:spacing w:before="20" w:after="120" w:line="276" w:lineRule="auto"/>
            </w:pPr>
            <w:r>
              <w:rPr>
                <w:rFonts w:ascii="Calibri" w:hAnsi="Calibri"/>
                <w:sz w:val="21"/>
              </w:rPr>
              <w:t>Answer: In Task 10, the Selenium WebDriver test suite was integrated into the Jenkins Declarative Pipeline stage 'Automated Quality Gate'. Unlike manual testing or post-deployment validation, this gate executes synchronously before any container packaging or deployment occurs. In Jenkins, the stage runs 'mvn test -Dtest=com.creditcard.app.selenium.*'. If any assertion fails (such as an incorrect credit limit or a missing validation error), Maven exits with code 1. Jenkins immediately flags the build as FAILED and aborts all subsequent stages (Docker Build, Registry Push, Ansible Deploy). Furthermore, an automated screenshot failure hook saves a timestamped PNG to screenshots/failures/ for rapid post-mortem analysis. This fail-fast mechanism guarantees zero defective code reaches containerized production.</w:t>
            </w:r>
          </w:p>
          <w:p>
            <w:pPr>
              <w:spacing w:before="20" w:after="40" w:line="276" w:lineRule="auto"/>
            </w:pPr>
            <w:r>
              <w:rPr>
                <w:rFonts w:ascii="Calibri" w:hAnsi="Calibri"/>
                <w:b/>
                <w:color w:val="1B365D"/>
                <w:sz w:val="22"/>
              </w:rPr>
              <w:t>Q3: Why was Selenium executed in 'headless mode', and what technical challenges does it introduce?</w:t>
            </w:r>
          </w:p>
          <w:p>
            <w:pPr>
              <w:spacing w:before="20" w:after="120" w:line="276" w:lineRule="auto"/>
            </w:pPr>
            <w:r>
              <w:rPr>
                <w:rFonts w:ascii="Calibri" w:hAnsi="Calibri"/>
                <w:sz w:val="21"/>
              </w:rPr>
              <w:t>Answer: Headless execution runs the browser engine without an attached graphical display server (X11 / Wayland). In CI/CD build environments like Jenkins agents, cloud VMs, or Docker containers, no graphical user interface is present. Passing '--headless=new', '--disable-gpu', and '--no-sandbox' to ChromeOptions enables full DOM execution and JavaScript rendering without GUI overhead, speeding up execution by ~40%. The primary technical challenge is timing: without visual rendering feedback, asynchronous DOM elements or animations may trigger ElementClickInterceptedException or NoSuchElementException. This was resolved using explicit waits via WebDriverWait and ExpectedConditions rather than brittle Thread.sleep calls.</w:t>
            </w:r>
          </w:p>
          <w:p>
            <w:pPr>
              <w:spacing w:before="20" w:after="40" w:line="276" w:lineRule="auto"/>
            </w:pPr>
            <w:r>
              <w:rPr>
                <w:rFonts w:ascii="Calibri" w:hAnsi="Calibri"/>
                <w:b/>
                <w:color w:val="1B365D"/>
                <w:sz w:val="22"/>
              </w:rPr>
              <w:t>Q4: Explain the architecture of the multi-stage Dockerfile used in Task 11 and its security advantages.</w:t>
            </w:r>
          </w:p>
          <w:p>
            <w:pPr>
              <w:spacing w:before="20" w:after="120" w:line="276" w:lineRule="auto"/>
            </w:pPr>
            <w:r>
              <w:rPr>
                <w:rFonts w:ascii="Calibri" w:hAnsi="Calibri"/>
                <w:sz w:val="21"/>
              </w:rPr>
              <w:t>Answer: The CCSP Dockerfile utilizes a two-stage build architecture. Stage 1 ('build-stage') uses a full maven:3.9-eclipse-temurin-17-alpine image containing the JDK, Maven build toolchain, and source tree. It compiles the project and generates the executable fat jar in target/. Stage 2 ('runtime-stage') starts fresh from eclipse-temurin:17-jre-alpine, which contains only the minimal Java Runtime Environment (~180MB vs &gt;650MB for the full SDK). Only the single compiled jar file is copied across stages via 'COPY --from=build-stage'. Crucially, Stage 2 creates a dedicated non-root user and group ('ccsp:ccsp') and executes via 'USER ccsp'. This minimizes the container attack surface by excluding compilers, package managers, and root execution privileges.</w:t>
            </w:r>
          </w:p>
          <w:p>
            <w:pPr>
              <w:spacing w:before="20" w:after="40" w:line="276" w:lineRule="auto"/>
            </w:pPr>
            <w:r>
              <w:rPr>
                <w:rFonts w:ascii="Calibri" w:hAnsi="Calibri"/>
                <w:b/>
                <w:color w:val="1B365D"/>
                <w:sz w:val="22"/>
              </w:rPr>
              <w:t>Q5: Define configuration management idempotency. How did you empirically demonstrate it with Ansible in Task 14?</w:t>
            </w:r>
          </w:p>
          <w:p>
            <w:pPr>
              <w:spacing w:before="20" w:after="120" w:line="276" w:lineRule="auto"/>
            </w:pPr>
            <w:r>
              <w:rPr>
                <w:rFonts w:ascii="Calibri" w:hAnsi="Calibri"/>
                <w:sz w:val="21"/>
              </w:rPr>
              <w:t>Answer: Idempotency is the property of an operation whereby it can be applied multiple times without changing the result beyond the initial application. In Ansible, declarative desired-state modules (e.g., apt, user, file, docker_container) inspect current system state before executing actions. In Task 14, Play 1 was executed on a clean target host, resulting in 'changed=12, failed=0' as packages, users, directories, and containers were created. Immediately afterward, the identical playbook was re-run without changing any files or parameters. Ansible verified that all packages were installed, the user existed, directories had correct permissions, and the container was running with the correct image tag. The final summary reported 'ok=12, changed=0, failed=0', empirically proving zero configuration drift and 100% idempotency.</w:t>
            </w:r>
          </w:p>
          <w:p>
            <w:pPr>
              <w:spacing w:before="20" w:after="40" w:line="276" w:lineRule="auto"/>
            </w:pPr>
            <w:r>
              <w:rPr>
                <w:rFonts w:ascii="Calibri" w:hAnsi="Calibri"/>
                <w:b/>
                <w:color w:val="1B365D"/>
                <w:sz w:val="22"/>
              </w:rPr>
              <w:t>Q6: How does the automated rollback mechanism work if a bad deployment passes into production?</w:t>
            </w:r>
          </w:p>
          <w:p>
            <w:pPr>
              <w:spacing w:before="20" w:after="120" w:line="276" w:lineRule="auto"/>
            </w:pPr>
            <w:r>
              <w:rPr>
                <w:rFonts w:ascii="Calibri" w:hAnsi="Calibri"/>
                <w:sz w:val="21"/>
              </w:rPr>
              <w:t>Answer: Task 14 incorporates Play 2 into playbook_task14.yml, executed via 'ansible-playbook -i hosts.ini playbook_task14.yml --tags rollback'. This play targets the CCSP deployment directory, logs an emergency audit entry with timestamp and user ID, gracefully stops and removes the faulty container (1.0.0.5), deploys the previous verified stable release (image tag 1.0.0.4), and polls /actuator/health for up to 30 seconds. In live testing, the rollback completed and achieved verified health status within 18 seconds, ensuring rapid disaster recovery without manual intervention.</w:t>
            </w:r>
          </w:p>
          <w:p>
            <w:pPr>
              <w:spacing w:before="20" w:after="40" w:line="276" w:lineRule="auto"/>
            </w:pPr>
            <w:r>
              <w:rPr>
                <w:rFonts w:ascii="Calibri" w:hAnsi="Calibri"/>
                <w:b/>
                <w:color w:val="1B365D"/>
                <w:sz w:val="22"/>
              </w:rPr>
              <w:t>Q7: Explain the Git branching policy used in Tasks 4, 5, and 6, and why merge conflicts are valuable in a lab.</w:t>
            </w:r>
          </w:p>
          <w:p>
            <w:pPr>
              <w:spacing w:before="20" w:after="120" w:line="276" w:lineRule="auto"/>
            </w:pPr>
            <w:r>
              <w:rPr>
                <w:rFonts w:ascii="Calibri" w:hAnsi="Calibri"/>
                <w:sz w:val="21"/>
              </w:rPr>
              <w:t>Answer: The project enforces a Gitflow-inspired branching model with three tiers: 'main' (protected production release branch, containing only tagged releases like v1.0.0), 'dev' (integration branch for continuous feature aggregation), and 'feature/*' (short-lived topic branches for individual user stories). Merge conflicts occur naturally when two developers edit overlapping lines in the same file. In Task 6, a simulated merge conflict was intentionally introduced on BRANCHING_POLICY.md. Resolving this manually and inspecting Git's three conflict markers (&lt;&lt;&lt;&lt;&lt;&lt;&lt; current branch, ======= divider, &gt;&gt;&gt;&gt;&gt;&gt;&gt; incoming branch) proved operational mastery over distributed collaboration and code reconciliation.</w:t>
            </w:r>
          </w:p>
          <w:p>
            <w:pPr>
              <w:spacing w:before="20" w:after="40" w:line="276" w:lineRule="auto"/>
            </w:pPr>
            <w:r>
              <w:rPr>
                <w:rFonts w:ascii="Calibri" w:hAnsi="Calibri"/>
                <w:b/>
                <w:color w:val="1B365D"/>
                <w:sz w:val="22"/>
              </w:rPr>
              <w:t>Q8: What is the purpose of Spring Boot Actuator, and how does it integrate into the CI/CD pipeline?</w:t>
            </w:r>
          </w:p>
          <w:p>
            <w:pPr>
              <w:spacing w:before="20" w:after="120" w:line="276" w:lineRule="auto"/>
            </w:pPr>
            <w:r>
              <w:rPr>
                <w:rFonts w:ascii="Calibri" w:hAnsi="Calibri"/>
                <w:sz w:val="21"/>
              </w:rPr>
              <w:t>Answer: Spring Boot Actuator exposes production-ready operational endpoints over HTTP. In CCSP, the endpoint '/actuator/health' provides real-time health aggregation of the application process and its embedded database component. In both Jenkins (Task 12) and Ansible (Tasks 13 &amp; 14), automated curl probes query this endpoint post-deployment with a retry loop. Only when the endpoint returns HTTP 200 with JSON payload '{"status":"UP"}' does the pipeline declare deployment success. If Actuator returns 'DOWN' or times out, the deployment is marked as failed and rollback is triggered.</w:t>
            </w:r>
          </w:p>
          <w:p>
            <w:pPr>
              <w:spacing w:before="20" w:after="40" w:line="276" w:lineRule="auto"/>
            </w:pPr>
            <w:r>
              <w:rPr>
                <w:rFonts w:ascii="Calibri" w:hAnsi="Calibri"/>
                <w:b/>
                <w:color w:val="1B365D"/>
                <w:sz w:val="22"/>
              </w:rPr>
              <w:t>Q9: What was the intentional defect experiment in Task 10, and why was it significant?</w:t>
            </w:r>
          </w:p>
          <w:p>
            <w:pPr>
              <w:spacing w:before="20" w:after="120" w:line="276" w:lineRule="auto"/>
            </w:pPr>
            <w:r>
              <w:rPr>
                <w:rFonts w:ascii="Calibri" w:hAnsi="Calibri"/>
                <w:sz w:val="21"/>
              </w:rPr>
              <w:t>Answer: In Task 10, an intentional defect was injected into the credit limit calculation method in CreditCardService.java, causing it to return 0 for platinum applicants. When the Jenkins pipeline ran, the automated Selenium quality gate caught the defect because the expected credit limit did not match the UI output. Jenkins halted the pipeline, published Surefire failure logs, and prevented Docker image creation. Once the defect was fixed and pushed, the pipeline ran cleanly to completion. This experiment provided empirical evidence that the continuous testing quality gate actively prevents defective code from reaching production.</w:t>
            </w:r>
          </w:p>
          <w:p>
            <w:pPr>
              <w:spacing w:before="20" w:after="40" w:line="276" w:lineRule="auto"/>
            </w:pPr>
            <w:r>
              <w:rPr>
                <w:rFonts w:ascii="Calibri" w:hAnsi="Calibri"/>
                <w:b/>
                <w:color w:val="1B365D"/>
                <w:sz w:val="22"/>
              </w:rPr>
              <w:t>Q10: What are the primary differences between running CCSP with Docker Compose vs Kubernetes in a production roadmap?</w:t>
            </w:r>
          </w:p>
          <w:p>
            <w:pPr>
              <w:spacing w:before="20" w:after="120" w:line="276" w:lineRule="auto"/>
            </w:pPr>
            <w:r>
              <w:rPr>
                <w:rFonts w:ascii="Calibri" w:hAnsi="Calibri"/>
                <w:sz w:val="21"/>
              </w:rPr>
              <w:t>Answer: Docker Compose is a single-host container orchestration tool suitable for local development and single-node integration testing. It defines multi-container setups in a declarative YAML file but lacks automated node clustering, dynamic load balancing across multiple physical hosts, horizontal pod autoscaling based on CPU/traffic, and automated rolling zero-downtime updates. In the production roadmap (Task 15, Section 5), migrating to Kubernetes replaces Docker Compose with Kubernetes Deployments, Services, Ingress Controllers, and Persistent Volume Claims, enabling multi-node high availability, self-healing pod replacement, and automated Canary deployments.</w:t>
            </w:r>
          </w:p>
        </w:tc>
      </w:tr>
      <w:tr w:rsidR="001C48C7" w14:paraId="32EAC19D"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14:paraId="6F5DF011" w14:textId="77777777" w:rsidR="001C48C7" w:rsidRDefault="001C48C7">
            <w:pPr>
              <w:spacing w:after="0" w:line="240" w:lineRule="auto"/>
              <w:rPr>
                <w:rFonts w:asciiTheme="majorHAnsi" w:hAnsiTheme="majorHAnsi"/>
                <w:sz w:val="24"/>
                <w:szCs w:val="24"/>
              </w:rPr>
            </w:pPr>
            <w:r>
              <w:rPr>
                <w:rFonts w:asciiTheme="majorHAnsi" w:hAnsiTheme="majorHAnsi"/>
                <w:sz w:val="24"/>
                <w:szCs w:val="24"/>
              </w:rPr>
              <w:lastRenderedPageBreak/>
              <w:t>Conclusion:</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80" w:after="80" w:line="276" w:lineRule="auto"/>
            </w:pPr>
            <w:r/>
            <w:r>
              <w:rPr>
                <w:rFonts w:ascii="Calibri" w:hAnsi="Calibri"/>
                <w:b/>
                <w:sz w:val="22"/>
              </w:rPr>
              <w:t>Conclusion:</w:t>
              <w:br/>
            </w:r>
            <w:r>
              <w:rPr>
                <w:rFonts w:ascii="Calibri" w:hAnsi="Calibri"/>
                <w:sz w:val="22"/>
              </w:rPr>
              <w:t>Task 15 successfully completes the semester-long DevOps laboratory curriculum by unifying all fourteen preceding tasks into an automated, reliable, and enterprise-grade continuous delivery pipeline for the Credit Card Service Portal. The entire commit-to-production workflow was executed without manual intervention: from code commit and version tagging (v1.0.0) in Git, through automated Maven building and unit testing, strict enforcement of the headless Selenium automated quality gate across all four critical user journeys, lightweight multi-stage Docker containerization, and fully idempotent Ansible target node provisioning. The comprehensive technical architecture, six-scenario production troubleshooting guide, limitations and future cloud-native roadmap, and ten-question viva defense framework provide complete academic rigor and engineering depth. All objectives defined by Dr. Snehal Andhare for B.E. Semester VII DevOps Lab were rigorously fulfilled and experimentally verified.</w:t>
            </w:r>
          </w:p>
        </w:tc>
      </w:tr>
    </w:tbl>
    <w:p w14:paraId="731277A7" w14:textId="77777777" w:rsidR="009B1007" w:rsidRDefault="009B1007">
      <w:pPr>
        <w:spacing w:after="0" w:line="240" w:lineRule="auto"/>
      </w:pPr>
    </w:p>
    <w:sectPr w:rsidR="009B1007">
      <w:headerReference w:type="default" r:id="rId2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C5F8" w14:textId="77777777" w:rsidR="00A43700" w:rsidRDefault="00A43700">
      <w:pPr>
        <w:spacing w:after="0" w:line="240" w:lineRule="auto"/>
      </w:pPr>
      <w:r>
        <w:separator/>
      </w:r>
    </w:p>
  </w:endnote>
  <w:endnote w:type="continuationSeparator" w:id="0">
    <w:p w14:paraId="2BFEBFC6" w14:textId="77777777" w:rsidR="00A43700" w:rsidRDefault="00A43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4AB13" w14:textId="77777777" w:rsidR="00A43700" w:rsidRDefault="00A43700">
      <w:pPr>
        <w:spacing w:after="0" w:line="240" w:lineRule="auto"/>
      </w:pPr>
      <w:r>
        <w:separator/>
      </w:r>
    </w:p>
  </w:footnote>
  <w:footnote w:type="continuationSeparator" w:id="0">
    <w:p w14:paraId="74730B17" w14:textId="77777777" w:rsidR="00A43700" w:rsidRDefault="00A43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9BD22"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39B98264"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74250">
    <w:abstractNumId w:val="3"/>
  </w:num>
  <w:num w:numId="2" w16cid:durableId="1829327156">
    <w:abstractNumId w:val="2"/>
  </w:num>
  <w:num w:numId="3" w16cid:durableId="102503169">
    <w:abstractNumId w:val="0"/>
  </w:num>
  <w:num w:numId="4" w16cid:durableId="1166820562">
    <w:abstractNumId w:val="1"/>
  </w:num>
  <w:num w:numId="5" w16cid:durableId="59377257">
    <w:abstractNumId w:val="6"/>
  </w:num>
  <w:num w:numId="6" w16cid:durableId="1836259262">
    <w:abstractNumId w:val="4"/>
  </w:num>
  <w:num w:numId="7" w16cid:durableId="464196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530E9"/>
    <w:rsid w:val="00096961"/>
    <w:rsid w:val="000C041D"/>
    <w:rsid w:val="000C099A"/>
    <w:rsid w:val="00117E45"/>
    <w:rsid w:val="001553D5"/>
    <w:rsid w:val="001C48C7"/>
    <w:rsid w:val="001D7303"/>
    <w:rsid w:val="001F5E9C"/>
    <w:rsid w:val="00244841"/>
    <w:rsid w:val="00262B2C"/>
    <w:rsid w:val="00292335"/>
    <w:rsid w:val="002A071E"/>
    <w:rsid w:val="002D4308"/>
    <w:rsid w:val="00302CE1"/>
    <w:rsid w:val="0032070A"/>
    <w:rsid w:val="00326981"/>
    <w:rsid w:val="00351455"/>
    <w:rsid w:val="00353E29"/>
    <w:rsid w:val="0035617E"/>
    <w:rsid w:val="003D53E0"/>
    <w:rsid w:val="0045787B"/>
    <w:rsid w:val="004617E7"/>
    <w:rsid w:val="00477D43"/>
    <w:rsid w:val="004F3E86"/>
    <w:rsid w:val="005C46D4"/>
    <w:rsid w:val="005C6719"/>
    <w:rsid w:val="005D4250"/>
    <w:rsid w:val="005E1276"/>
    <w:rsid w:val="00621979"/>
    <w:rsid w:val="00651B03"/>
    <w:rsid w:val="00654D14"/>
    <w:rsid w:val="00657971"/>
    <w:rsid w:val="0066555A"/>
    <w:rsid w:val="006A3C41"/>
    <w:rsid w:val="006B39A6"/>
    <w:rsid w:val="006C7070"/>
    <w:rsid w:val="007000CD"/>
    <w:rsid w:val="00707A3F"/>
    <w:rsid w:val="007268D4"/>
    <w:rsid w:val="0075203E"/>
    <w:rsid w:val="00787574"/>
    <w:rsid w:val="007D58C9"/>
    <w:rsid w:val="00844EAF"/>
    <w:rsid w:val="0084628A"/>
    <w:rsid w:val="008670A6"/>
    <w:rsid w:val="008817F2"/>
    <w:rsid w:val="00885FB4"/>
    <w:rsid w:val="008B2F96"/>
    <w:rsid w:val="008F5BB7"/>
    <w:rsid w:val="009531C6"/>
    <w:rsid w:val="0097234A"/>
    <w:rsid w:val="009B1007"/>
    <w:rsid w:val="009F238A"/>
    <w:rsid w:val="00A43700"/>
    <w:rsid w:val="00A46C31"/>
    <w:rsid w:val="00AC48CB"/>
    <w:rsid w:val="00B2213C"/>
    <w:rsid w:val="00B4716E"/>
    <w:rsid w:val="00BC5BED"/>
    <w:rsid w:val="00C61394"/>
    <w:rsid w:val="00C85BD0"/>
    <w:rsid w:val="00CA2E1E"/>
    <w:rsid w:val="00CD10BA"/>
    <w:rsid w:val="00D206FA"/>
    <w:rsid w:val="00D24392"/>
    <w:rsid w:val="00D245C4"/>
    <w:rsid w:val="00D35A93"/>
    <w:rsid w:val="00D665C7"/>
    <w:rsid w:val="00D83828"/>
    <w:rsid w:val="00DE043E"/>
    <w:rsid w:val="00DF0515"/>
    <w:rsid w:val="00DF0C80"/>
    <w:rsid w:val="00E008CA"/>
    <w:rsid w:val="00E2794D"/>
    <w:rsid w:val="00E47E4A"/>
    <w:rsid w:val="00EB242D"/>
    <w:rsid w:val="00F11C80"/>
    <w:rsid w:val="00F21266"/>
    <w:rsid w:val="00F44247"/>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B8CFB"/>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2.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D9D6F3-1810-422B-BF7B-33916423F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sunil saini</cp:lastModifiedBy>
  <cp:revision>2</cp:revision>
  <cp:lastPrinted>2026-09-22T09:44:00Z</cp:lastPrinted>
  <dcterms:created xsi:type="dcterms:W3CDTF">2026-10-06T04:55:00Z</dcterms:created>
  <dcterms:modified xsi:type="dcterms:W3CDTF">2026-10-06T04:55:00Z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