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line="276" w:lineRule="auto"/>
        <w:jc w:val="center"/>
      </w:pPr>
      <w:r>
        <w:rPr>
          <w:rFonts w:ascii="Segoe UI" w:hAnsi="Segoe UI"/>
          <w:b/>
          <w:i w:val="0"/>
          <w:color w:val="57606A"/>
          <w:sz w:val="22"/>
          <w:rFonts w:ascii="Segoe UI" w:hAnsi="Segoe UI" w:cs="Segoe UI"/>
        </w:rPr>
        <w:t>DEPARTMENT OF COMPUTER ENGINEERING</w:t>
      </w:r>
    </w:p>
    <w:p>
      <w:pPr>
        <w:spacing w:before="0" w:after="480" w:line="276" w:lineRule="auto"/>
        <w:jc w:val="center"/>
      </w:pPr>
      <w:r>
        <w:rPr>
          <w:rFonts w:ascii="Segoe UI" w:hAnsi="Segoe UI"/>
          <w:b w:val="0"/>
          <w:i/>
          <w:color w:val="57606A"/>
          <w:sz w:val="20"/>
          <w:rFonts w:ascii="Segoe UI" w:hAnsi="Segoe UI" w:cs="Segoe UI"/>
        </w:rPr>
        <w:t>DevOps Laboratory Course | Individual Technical White Paper Activity</w:t>
      </w:r>
    </w:p>
    <w:p>
      <w:pPr>
        <w:spacing w:before="0" w:after="560"/>
        <w:jc w:val="center"/>
      </w:pPr>
      <w:r>
        <w:rPr>
          <w:rFonts w:ascii="Segoe UI" w:hAnsi="Segoe UI"/>
          <w:b/>
          <w:i w:val="0"/>
          <w:color w:val="0969DA"/>
          <w:sz w:val="24"/>
          <w:rFonts w:ascii="Segoe UI" w:hAnsi="Segoe UI" w:cs="Segoe UI"/>
        </w:rPr>
        <w:t>――――――――――――――――――――――――――――――――――――――――――――――――</w:t>
      </w:r>
    </w:p>
    <w:p>
      <w:pPr>
        <w:spacing w:before="240" w:after="280" w:line="288" w:lineRule="auto"/>
        <w:jc w:val="center"/>
      </w:pPr>
      <w:r>
        <w:rPr>
          <w:rFonts w:ascii="Segoe UI" w:hAnsi="Segoe UI"/>
          <w:b/>
          <w:i w:val="0"/>
          <w:color w:val="0B2545"/>
          <w:sz w:val="32"/>
          <w:rFonts w:ascii="Segoe UI" w:hAnsi="Segoe UI" w:cs="Segoe UI"/>
        </w:rPr>
        <w:t>ENTERPRISE DEVOPS ARCHITECTURE: CONTINUOUS INTEGRATION, DEPLOYMENT PIPELINE, AND AUTOMATED SELENIUM QUALITY GATE FOR A CREDIT CARD SERVICE PORTAL</w:t>
      </w:r>
    </w:p>
    <w:p>
      <w:pPr>
        <w:spacing w:before="120" w:after="720"/>
        <w:jc w:val="center"/>
      </w:pPr>
      <w:r>
        <w:rPr>
          <w:rFonts w:ascii="Segoe UI" w:hAnsi="Segoe UI"/>
          <w:b w:val="0"/>
          <w:i/>
          <w:color w:val="57606A"/>
          <w:sz w:val="22"/>
          <w:rFonts w:ascii="Segoe UI" w:hAnsi="Segoe UI" w:cs="Segoe UI"/>
        </w:rPr>
        <w:t>An Architectural Analysis of Shift-Left Quality Engineering, Multi-Stage Containerization, and Idempotent Infrastructure Automation in Mission-Critical Fintech Systems</w:t>
      </w:r>
    </w:p>
    <w:tbl>
      <w:tblPr>
        <w:tblW w:type="auto" w:w="0"/>
        <w:jc w:val="center"/>
        <w:tblLayout w:type="fixed"/>
        <w:tblLook w:firstColumn="1" w:firstRow="1" w:lastColumn="0" w:lastRow="0" w:noHBand="0" w:noVBand="1" w:val="04A0"/>
      </w:tblPr>
      <w:tblGrid>
        <w:gridCol w:w="4874"/>
        <w:gridCol w:w="4874"/>
      </w:tblGrid>
      <w:tr>
        <w:tc>
          <w:tcPr>
            <w:tcW w:type="dxa" w:w="4032"/>
            <w:shd w:fill="F0F4F8"/>
            <w:tcMar>
              <w:top w:w="110" w:type="dxa"/>
              <w:bottom w:w="110" w:type="dxa"/>
              <w:left w:w="140" w:type="dxa"/>
              <w:right w:w="140" w:type="dxa"/>
            </w:tcMar>
            <w:tcBorders>
              <w:top w:val="single" w:sz="4" w:space="0" w:color="D0D7DE"/>
              <w:bottom w:val="single" w:sz="4" w:space="0" w:color="D0D7DE"/>
              <w:left w:val="single" w:sz="4" w:space="0" w:color="D0D7DE"/>
              <w:right w:val="single" w:sz="4" w:space="0" w:color="D0D7DE"/>
            </w:tcBorders>
          </w:tcPr>
          <w:p>
            <w:pPr>
              <w:spacing w:after="40"/>
              <w:jc w:val="right"/>
            </w:pPr>
            <w:r>
              <w:rPr>
                <w:rFonts w:ascii="Segoe UI" w:hAnsi="Segoe UI"/>
                <w:b/>
                <w:i w:val="0"/>
                <w:color w:val="0B2545"/>
                <w:sz w:val="20"/>
                <w:rFonts w:ascii="Segoe UI" w:hAnsi="Segoe UI" w:cs="Segoe UI"/>
              </w:rPr>
              <w:t>Candidate Name / Student:</w:t>
            </w:r>
          </w:p>
        </w:tc>
        <w:tc>
          <w:tcPr>
            <w:tcW w:type="dxa" w:w="5760"/>
            <w:shd w:fill="FFFFFF"/>
            <w:tcMar>
              <w:top w:w="110" w:type="dxa"/>
              <w:bottom w:w="110" w:type="dxa"/>
              <w:left w:w="140" w:type="dxa"/>
              <w:right w:w="140" w:type="dxa"/>
            </w:tcMar>
            <w:tcBorders>
              <w:top w:val="single" w:sz="4" w:space="0" w:color="D0D7DE"/>
              <w:bottom w:val="single" w:sz="4" w:space="0" w:color="D0D7DE"/>
              <w:left w:val="single" w:sz="4" w:space="0" w:color="D0D7DE"/>
              <w:right w:val="single" w:sz="4" w:space="0" w:color="D0D7DE"/>
            </w:tcBorders>
          </w:tcPr>
          <w:p>
            <w:pPr>
              <w:spacing w:after="40"/>
              <w:jc w:val="left"/>
            </w:pPr>
            <w:r>
              <w:rPr>
                <w:rFonts w:ascii="Segoe UI" w:hAnsi="Segoe UI"/>
                <w:b/>
                <w:i w:val="0"/>
                <w:color w:val="1F2328"/>
                <w:sz w:val="20"/>
                <w:rFonts w:ascii="Segoe UI" w:hAnsi="Segoe UI" w:cs="Segoe UI"/>
              </w:rPr>
              <w:t>Mubina</w:t>
            </w:r>
          </w:p>
        </w:tc>
      </w:tr>
      <w:tr>
        <w:tc>
          <w:tcPr>
            <w:tcW w:type="dxa" w:w="4032"/>
            <w:shd w:fill="F0F4F8"/>
            <w:tcMar>
              <w:top w:w="110" w:type="dxa"/>
              <w:bottom w:w="110" w:type="dxa"/>
              <w:left w:w="140" w:type="dxa"/>
              <w:right w:w="140" w:type="dxa"/>
            </w:tcMar>
            <w:tcBorders>
              <w:top w:val="single" w:sz="4" w:space="0" w:color="D0D7DE"/>
              <w:bottom w:val="single" w:sz="4" w:space="0" w:color="D0D7DE"/>
              <w:left w:val="single" w:sz="4" w:space="0" w:color="D0D7DE"/>
              <w:right w:val="single" w:sz="4" w:space="0" w:color="D0D7DE"/>
            </w:tcBorders>
          </w:tcPr>
          <w:p>
            <w:pPr>
              <w:spacing w:after="40"/>
              <w:jc w:val="right"/>
            </w:pPr>
            <w:r>
              <w:rPr>
                <w:rFonts w:ascii="Segoe UI" w:hAnsi="Segoe UI"/>
                <w:b/>
                <w:i w:val="0"/>
                <w:color w:val="0B2545"/>
                <w:sz w:val="20"/>
                <w:rFonts w:ascii="Segoe UI" w:hAnsi="Segoe UI" w:cs="Segoe UI"/>
              </w:rPr>
              <w:t>Roll Number:</w:t>
            </w:r>
          </w:p>
        </w:tc>
        <w:tc>
          <w:tcPr>
            <w:tcW w:type="dxa" w:w="5760"/>
            <w:shd w:fill="FFFFFF"/>
            <w:tcMar>
              <w:top w:w="110" w:type="dxa"/>
              <w:bottom w:w="110" w:type="dxa"/>
              <w:left w:w="140" w:type="dxa"/>
              <w:right w:w="140" w:type="dxa"/>
            </w:tcMar>
            <w:tcBorders>
              <w:top w:val="single" w:sz="4" w:space="0" w:color="D0D7DE"/>
              <w:bottom w:val="single" w:sz="4" w:space="0" w:color="D0D7DE"/>
              <w:left w:val="single" w:sz="4" w:space="0" w:color="D0D7DE"/>
              <w:right w:val="single" w:sz="4" w:space="0" w:color="D0D7DE"/>
            </w:tcBorders>
          </w:tcPr>
          <w:p>
            <w:pPr>
              <w:spacing w:after="40"/>
              <w:jc w:val="left"/>
            </w:pPr>
            <w:r>
              <w:rPr>
                <w:rFonts w:ascii="Segoe UI" w:hAnsi="Segoe UI"/>
                <w:b w:val="0"/>
                <w:i w:val="0"/>
                <w:color w:val="1F2328"/>
                <w:sz w:val="20"/>
                <w:rFonts w:ascii="Segoe UI" w:hAnsi="Segoe UI" w:cs="Segoe UI"/>
              </w:rPr>
              <w:t>23102A0039</w:t>
            </w:r>
          </w:p>
        </w:tc>
      </w:tr>
      <w:tr>
        <w:tc>
          <w:tcPr>
            <w:tcW w:type="dxa" w:w="4032"/>
            <w:shd w:fill="F0F4F8"/>
            <w:tcMar>
              <w:top w:w="110" w:type="dxa"/>
              <w:bottom w:w="110" w:type="dxa"/>
              <w:left w:w="140" w:type="dxa"/>
              <w:right w:w="140" w:type="dxa"/>
            </w:tcMar>
            <w:tcBorders>
              <w:top w:val="single" w:sz="4" w:space="0" w:color="D0D7DE"/>
              <w:bottom w:val="single" w:sz="4" w:space="0" w:color="D0D7DE"/>
              <w:left w:val="single" w:sz="4" w:space="0" w:color="D0D7DE"/>
              <w:right w:val="single" w:sz="4" w:space="0" w:color="D0D7DE"/>
            </w:tcBorders>
          </w:tcPr>
          <w:p>
            <w:pPr>
              <w:spacing w:after="40"/>
              <w:jc w:val="right"/>
            </w:pPr>
            <w:r>
              <w:rPr>
                <w:rFonts w:ascii="Segoe UI" w:hAnsi="Segoe UI"/>
                <w:b/>
                <w:i w:val="0"/>
                <w:color w:val="0B2545"/>
                <w:sz w:val="20"/>
                <w:rFonts w:ascii="Segoe UI" w:hAnsi="Segoe UI" w:cs="Segoe UI"/>
              </w:rPr>
              <w:t>Academic Program &amp; Semester:</w:t>
            </w:r>
          </w:p>
        </w:tc>
        <w:tc>
          <w:tcPr>
            <w:tcW w:type="dxa" w:w="5760"/>
            <w:shd w:fill="FFFFFF"/>
            <w:tcMar>
              <w:top w:w="110" w:type="dxa"/>
              <w:bottom w:w="110" w:type="dxa"/>
              <w:left w:w="140" w:type="dxa"/>
              <w:right w:w="140" w:type="dxa"/>
            </w:tcMar>
            <w:tcBorders>
              <w:top w:val="single" w:sz="4" w:space="0" w:color="D0D7DE"/>
              <w:bottom w:val="single" w:sz="4" w:space="0" w:color="D0D7DE"/>
              <w:left w:val="single" w:sz="4" w:space="0" w:color="D0D7DE"/>
              <w:right w:val="single" w:sz="4" w:space="0" w:color="D0D7DE"/>
            </w:tcBorders>
          </w:tcPr>
          <w:p>
            <w:pPr>
              <w:spacing w:after="40"/>
              <w:jc w:val="left"/>
            </w:pPr>
            <w:r>
              <w:rPr>
                <w:rFonts w:ascii="Segoe UI" w:hAnsi="Segoe UI"/>
                <w:b w:val="0"/>
                <w:i w:val="0"/>
                <w:color w:val="1F2328"/>
                <w:sz w:val="20"/>
                <w:rFonts w:ascii="Segoe UI" w:hAnsi="Segoe UI" w:cs="Segoe UI"/>
              </w:rPr>
              <w:t>B.E. Semester VII – Computer Engineering</w:t>
            </w:r>
          </w:p>
        </w:tc>
      </w:tr>
      <w:tr>
        <w:tc>
          <w:tcPr>
            <w:tcW w:type="dxa" w:w="4032"/>
            <w:shd w:fill="F0F4F8"/>
            <w:tcMar>
              <w:top w:w="110" w:type="dxa"/>
              <w:bottom w:w="110" w:type="dxa"/>
              <w:left w:w="140" w:type="dxa"/>
              <w:right w:w="140" w:type="dxa"/>
            </w:tcMar>
            <w:tcBorders>
              <w:top w:val="single" w:sz="4" w:space="0" w:color="D0D7DE"/>
              <w:bottom w:val="single" w:sz="4" w:space="0" w:color="D0D7DE"/>
              <w:left w:val="single" w:sz="4" w:space="0" w:color="D0D7DE"/>
              <w:right w:val="single" w:sz="4" w:space="0" w:color="D0D7DE"/>
            </w:tcBorders>
          </w:tcPr>
          <w:p>
            <w:pPr>
              <w:spacing w:after="40"/>
              <w:jc w:val="right"/>
            </w:pPr>
            <w:r>
              <w:rPr>
                <w:rFonts w:ascii="Segoe UI" w:hAnsi="Segoe UI"/>
                <w:b/>
                <w:i w:val="0"/>
                <w:color w:val="0B2545"/>
                <w:sz w:val="20"/>
                <w:rFonts w:ascii="Segoe UI" w:hAnsi="Segoe UI" w:cs="Segoe UI"/>
              </w:rPr>
              <w:t>Course / Subject:</w:t>
            </w:r>
          </w:p>
        </w:tc>
        <w:tc>
          <w:tcPr>
            <w:tcW w:type="dxa" w:w="5760"/>
            <w:shd w:fill="FFFFFF"/>
            <w:tcMar>
              <w:top w:w="110" w:type="dxa"/>
              <w:bottom w:w="110" w:type="dxa"/>
              <w:left w:w="140" w:type="dxa"/>
              <w:right w:w="140" w:type="dxa"/>
            </w:tcMar>
            <w:tcBorders>
              <w:top w:val="single" w:sz="4" w:space="0" w:color="D0D7DE"/>
              <w:bottom w:val="single" w:sz="4" w:space="0" w:color="D0D7DE"/>
              <w:left w:val="single" w:sz="4" w:space="0" w:color="D0D7DE"/>
              <w:right w:val="single" w:sz="4" w:space="0" w:color="D0D7DE"/>
            </w:tcBorders>
          </w:tcPr>
          <w:p>
            <w:pPr>
              <w:spacing w:after="40"/>
              <w:jc w:val="left"/>
            </w:pPr>
            <w:r>
              <w:rPr>
                <w:rFonts w:ascii="Segoe UI" w:hAnsi="Segoe UI"/>
                <w:b w:val="0"/>
                <w:i w:val="0"/>
                <w:color w:val="1F2328"/>
                <w:sz w:val="20"/>
                <w:rFonts w:ascii="Segoe UI" w:hAnsi="Segoe UI" w:cs="Segoe UI"/>
              </w:rPr>
              <w:t>DevOps Lab (Course Code: CSL702)</w:t>
            </w:r>
          </w:p>
        </w:tc>
      </w:tr>
      <w:tr>
        <w:tc>
          <w:tcPr>
            <w:tcW w:type="dxa" w:w="4032"/>
            <w:shd w:fill="F0F4F8"/>
            <w:tcMar>
              <w:top w:w="110" w:type="dxa"/>
              <w:bottom w:w="110" w:type="dxa"/>
              <w:left w:w="140" w:type="dxa"/>
              <w:right w:w="140" w:type="dxa"/>
            </w:tcMar>
            <w:tcBorders>
              <w:top w:val="single" w:sz="4" w:space="0" w:color="D0D7DE"/>
              <w:bottom w:val="single" w:sz="4" w:space="0" w:color="D0D7DE"/>
              <w:left w:val="single" w:sz="4" w:space="0" w:color="D0D7DE"/>
              <w:right w:val="single" w:sz="4" w:space="0" w:color="D0D7DE"/>
            </w:tcBorders>
          </w:tcPr>
          <w:p>
            <w:pPr>
              <w:spacing w:after="40"/>
              <w:jc w:val="right"/>
            </w:pPr>
            <w:r>
              <w:rPr>
                <w:rFonts w:ascii="Segoe UI" w:hAnsi="Segoe UI"/>
                <w:b/>
                <w:i w:val="0"/>
                <w:color w:val="0B2545"/>
                <w:sz w:val="20"/>
                <w:rFonts w:ascii="Segoe UI" w:hAnsi="Segoe UI" w:cs="Segoe UI"/>
              </w:rPr>
              <w:t>Project Guide &amp; Evaluator:</w:t>
            </w:r>
          </w:p>
        </w:tc>
        <w:tc>
          <w:tcPr>
            <w:tcW w:type="dxa" w:w="5760"/>
            <w:shd w:fill="FFFFFF"/>
            <w:tcMar>
              <w:top w:w="110" w:type="dxa"/>
              <w:bottom w:w="110" w:type="dxa"/>
              <w:left w:w="140" w:type="dxa"/>
              <w:right w:w="140" w:type="dxa"/>
            </w:tcMar>
            <w:tcBorders>
              <w:top w:val="single" w:sz="4" w:space="0" w:color="D0D7DE"/>
              <w:bottom w:val="single" w:sz="4" w:space="0" w:color="D0D7DE"/>
              <w:left w:val="single" w:sz="4" w:space="0" w:color="D0D7DE"/>
              <w:right w:val="single" w:sz="4" w:space="0" w:color="D0D7DE"/>
            </w:tcBorders>
          </w:tcPr>
          <w:p>
            <w:pPr>
              <w:spacing w:after="40"/>
              <w:jc w:val="left"/>
            </w:pPr>
            <w:r>
              <w:rPr>
                <w:rFonts w:ascii="Segoe UI" w:hAnsi="Segoe UI"/>
                <w:b/>
                <w:i w:val="0"/>
                <w:color w:val="1F2328"/>
                <w:sz w:val="20"/>
                <w:rFonts w:ascii="Segoe UI" w:hAnsi="Segoe UI" w:cs="Segoe UI"/>
              </w:rPr>
              <w:t>Dr. Snehal Andhare</w:t>
            </w:r>
          </w:p>
        </w:tc>
      </w:tr>
    </w:tbl>
    <w:p>
      <w:pPr>
        <w:spacing w:before="900" w:after="120"/>
        <w:jc w:val="center"/>
      </w:pPr>
      <w:r>
        <w:rPr>
          <w:rFonts w:ascii="Segoe UI" w:hAnsi="Segoe UI"/>
          <w:b/>
          <w:i w:val="0"/>
          <w:color w:val="57606A"/>
          <w:sz w:val="19"/>
          <w:rFonts w:ascii="Segoe UI" w:hAnsi="Segoe UI" w:cs="Segoe UI"/>
        </w:rPr>
        <w:t>ACTIVITY &amp; CURRICULUM SPECIFICATIONS</w:t>
      </w:r>
    </w:p>
    <w:tbl>
      <w:tblPr>
        <w:tblW w:type="auto" w:w="0"/>
        <w:jc w:val="center"/>
        <w:tblLook w:firstColumn="1" w:firstRow="1" w:lastColumn="0" w:lastRow="0" w:noHBand="0" w:noVBand="1" w:val="04A0"/>
      </w:tblPr>
      <w:tblGrid>
        <w:gridCol w:w="2437"/>
        <w:gridCol w:w="2437"/>
        <w:gridCol w:w="2437"/>
        <w:gridCol w:w="2437"/>
      </w:tblGrid>
      <w:tr>
        <w:tc>
          <w:tcPr>
            <w:tcW w:type="dxa" w:w="2448"/>
            <w:shd w:fill="F8FAFC"/>
            <w:tcMar>
              <w:top w:w="90" w:type="dxa"/>
              <w:bottom w:w="9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after="20"/>
              <w:jc w:val="center"/>
            </w:pPr>
            <w:r>
              <w:rPr>
                <w:rFonts w:ascii="Segoe UI" w:hAnsi="Segoe UI"/>
                <w:b/>
                <w:i w:val="0"/>
                <w:color w:val="0969DA"/>
                <w:sz w:val="17"/>
                <w:rFonts w:ascii="Segoe UI" w:hAnsi="Segoe UI" w:cs="Segoe UI"/>
              </w:rPr>
              <w:t>Activity Type</w:t>
              <w:br/>
            </w:r>
            <w:r>
              <w:rPr>
                <w:rFonts w:ascii="Segoe UI" w:hAnsi="Segoe UI"/>
                <w:b w:val="0"/>
                <w:i w:val="0"/>
                <w:color w:val="1F2328"/>
                <w:sz w:val="17"/>
                <w:rFonts w:ascii="Segoe UI" w:hAnsi="Segoe UI" w:cs="Segoe UI"/>
              </w:rPr>
              <w:t>Individual White Paper</w:t>
            </w:r>
          </w:p>
        </w:tc>
        <w:tc>
          <w:tcPr>
            <w:tcW w:type="dxa" w:w="2448"/>
            <w:shd w:fill="F8FAFC"/>
            <w:tcMar>
              <w:top w:w="90" w:type="dxa"/>
              <w:bottom w:w="9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after="20"/>
              <w:jc w:val="center"/>
            </w:pPr>
            <w:r>
              <w:rPr>
                <w:rFonts w:ascii="Segoe UI" w:hAnsi="Segoe UI"/>
                <w:b/>
                <w:i w:val="0"/>
                <w:color w:val="0969DA"/>
                <w:sz w:val="17"/>
                <w:rFonts w:ascii="Segoe UI" w:hAnsi="Segoe UI" w:cs="Segoe UI"/>
              </w:rPr>
              <w:t>Assigned Domain</w:t>
              <w:br/>
            </w:r>
            <w:r>
              <w:rPr>
                <w:rFonts w:ascii="Segoe UI" w:hAnsi="Segoe UI"/>
                <w:b w:val="0"/>
                <w:i w:val="0"/>
                <w:color w:val="1F2328"/>
                <w:sz w:val="17"/>
                <w:rFonts w:ascii="Segoe UI" w:hAnsi="Segoe UI" w:cs="Segoe UI"/>
              </w:rPr>
              <w:t>Fintech / Credit Portal</w:t>
            </w:r>
          </w:p>
        </w:tc>
        <w:tc>
          <w:tcPr>
            <w:tcW w:type="dxa" w:w="2448"/>
            <w:shd w:fill="F8FAFC"/>
            <w:tcMar>
              <w:top w:w="90" w:type="dxa"/>
              <w:bottom w:w="9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after="20"/>
              <w:jc w:val="center"/>
            </w:pPr>
            <w:r>
              <w:rPr>
                <w:rFonts w:ascii="Segoe UI" w:hAnsi="Segoe UI"/>
                <w:b/>
                <w:i w:val="0"/>
                <w:color w:val="0969DA"/>
                <w:sz w:val="17"/>
                <w:rFonts w:ascii="Segoe UI" w:hAnsi="Segoe UI" w:cs="Segoe UI"/>
              </w:rPr>
              <w:t>Maximum Marks</w:t>
              <w:br/>
            </w:r>
            <w:r>
              <w:rPr>
                <w:rFonts w:ascii="Segoe UI" w:hAnsi="Segoe UI"/>
                <w:b w:val="0"/>
                <w:i w:val="0"/>
                <w:color w:val="1F2328"/>
                <w:sz w:val="17"/>
                <w:rFonts w:ascii="Segoe UI" w:hAnsi="Segoe UI" w:cs="Segoe UI"/>
              </w:rPr>
              <w:t>20 Marks</w:t>
            </w:r>
          </w:p>
        </w:tc>
        <w:tc>
          <w:tcPr>
            <w:tcW w:type="dxa" w:w="2448"/>
            <w:shd w:fill="F8FAFC"/>
            <w:tcMar>
              <w:top w:w="90" w:type="dxa"/>
              <w:bottom w:w="9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after="20"/>
              <w:jc w:val="center"/>
            </w:pPr>
            <w:r>
              <w:rPr>
                <w:rFonts w:ascii="Segoe UI" w:hAnsi="Segoe UI"/>
                <w:b/>
                <w:i w:val="0"/>
                <w:color w:val="0969DA"/>
                <w:sz w:val="17"/>
                <w:rFonts w:ascii="Segoe UI" w:hAnsi="Segoe UI" w:cs="Segoe UI"/>
              </w:rPr>
              <w:t>Duration / Session</w:t>
              <w:br/>
            </w:r>
            <w:r>
              <w:rPr>
                <w:rFonts w:ascii="Segoe UI" w:hAnsi="Segoe UI"/>
                <w:b w:val="0"/>
                <w:i w:val="0"/>
                <w:color w:val="1F2328"/>
                <w:sz w:val="17"/>
                <w:rFonts w:ascii="Segoe UI" w:hAnsi="Segoe UI" w:cs="Segoe UI"/>
              </w:rPr>
              <w:t>60 Minutes / Sem VII</w:t>
            </w:r>
          </w:p>
        </w:tc>
      </w:tr>
    </w:tbl>
    <w:p>
      <w:r>
        <w:br w:type="page"/>
      </w:r>
    </w:p>
    <w:p>
      <w:pPr>
        <w:keepNext/>
        <w:spacing w:before="160" w:after="60"/>
        <w:jc w:val="left"/>
      </w:pPr>
      <w:r>
        <w:rPr>
          <w:rFonts w:ascii="Segoe UI" w:hAnsi="Segoe UI"/>
          <w:b/>
          <w:i w:val="0"/>
          <w:color w:val="0B2545"/>
          <w:sz w:val="24"/>
          <w:rFonts w:ascii="Segoe UI" w:hAnsi="Segoe UI" w:cs="Segoe UI"/>
        </w:rPr>
        <w:t>ABSTRACT</w:t>
      </w:r>
    </w:p>
    <w:p>
      <w:pPr>
        <w:spacing w:before="0" w:after="160" w:line="276" w:lineRule="auto"/>
        <w:jc w:val="left"/>
      </w:pPr>
      <w:r>
        <w:rPr>
          <w:rFonts w:ascii="Segoe UI" w:hAnsi="Segoe UI"/>
          <w:b w:val="0"/>
          <w:i w:val="0"/>
          <w:color w:val="1F2328"/>
          <w:sz w:val="20"/>
          <w:rFonts w:ascii="Segoe UI" w:hAnsi="Segoe UI" w:cs="Segoe UI"/>
        </w:rPr>
        <w:t>Modern enterprise financial applications demand continuous, high-velocity software releases while maintaining uncompromised security, transactional integrity, and zero regression tolerance. Traditional software delivery models in banking environments rely heavily on segregated development and operations teams, manual hand-offs, and late-cycle quality assurance—introducing severe release bottlenecks and high failure rates. This technical white paper proposes and analyzes a robust, cloud-native DevOps architecture implemented for an enterprise Credit Card Service Portal (CCSP). The framework establishes a unified Continuous Integration and Continuous Deployment (CI/CD) delivery pipeline utilizing Jenkins Pipeline-as-Code, a fully automated shift-left quality gate powered by headless Selenium WebDriver 4.x, immutable multi-stage Docker containerization, and idempotent server configuration via Ansible. By enforcing automated functional verification and real-time failure interception at the commit stage, the solution eliminates defect leakage, reduces build-to-deployment cycle time from hours to under four minutes, and guarantees deterministic environment parity across the software lifecycle.</w:t>
      </w:r>
    </w:p>
    <w:p>
      <w:pPr>
        <w:keepNext/>
        <w:spacing w:before="160" w:after="60"/>
        <w:jc w:val="left"/>
      </w:pPr>
      <w:r>
        <w:rPr>
          <w:rFonts w:ascii="Segoe UI" w:hAnsi="Segoe UI"/>
          <w:b/>
          <w:i w:val="0"/>
          <w:color w:val="0B2545"/>
          <w:sz w:val="24"/>
          <w:rFonts w:ascii="Segoe UI" w:hAnsi="Segoe UI" w:cs="Segoe UI"/>
        </w:rPr>
        <w:t>1. INTRODUCTION</w:t>
      </w:r>
    </w:p>
    <w:p>
      <w:pPr>
        <w:spacing w:before="0" w:after="80" w:line="276" w:lineRule="auto"/>
        <w:jc w:val="left"/>
      </w:pPr>
      <w:r>
        <w:rPr>
          <w:rFonts w:ascii="Segoe UI" w:hAnsi="Segoe UI"/>
          <w:b w:val="0"/>
          <w:i w:val="0"/>
          <w:color w:val="1F2328"/>
          <w:sz w:val="20"/>
          <w:rFonts w:ascii="Segoe UI" w:hAnsi="Segoe UI" w:cs="Segoe UI"/>
        </w:rPr>
        <w:t>In the digital banking ecosystem, credit card service platforms represent mission-critical infrastructure managing sensitive customer lifecycles, including credit limit applications, automated tier evaluations (Platinum, Gold, Titanium), role-based approval workflows, and emergency card freezes. These operations are subject to stringent regulatory compliance and strict Service Level Agreements (SLAs). Delivering features rapidly without compromising system stability requires replacing fragmented, manual workflows with an automated DevOps paradigm.</w:t>
      </w:r>
    </w:p>
    <w:p>
      <w:pPr>
        <w:spacing w:before="0" w:after="160" w:line="276" w:lineRule="auto"/>
        <w:jc w:val="left"/>
      </w:pPr>
      <w:r>
        <w:rPr>
          <w:rFonts w:ascii="Segoe UI" w:hAnsi="Segoe UI"/>
          <w:b w:val="0"/>
          <w:i w:val="0"/>
          <w:color w:val="1F2328"/>
          <w:sz w:val="20"/>
          <w:rFonts w:ascii="Segoe UI" w:hAnsi="Segoe UI" w:cs="Segoe UI"/>
        </w:rPr>
        <w:t>DevOps bridges development agility and operational stability by establishing automated pipelines, infrastructure as code, and continuous testing. In financial software engineering, defects that escape into staging or production can lead to substantial financial liability, operational downtime, and compliance penalties. Consequently, integrating an automated 'Quality Gate'—wherein software cannot advance to container packaging or host deployment unless every automated end-to-end regression test passes—is imperative. This white paper presents the comprehensive architecture, design rationale, and empirical validation of an end-to-end DevOps framework tailored for the Credit Card Service Portal.</w:t>
      </w:r>
    </w:p>
    <w:p>
      <w:pPr>
        <w:keepNext/>
        <w:spacing w:before="160" w:after="60"/>
        <w:jc w:val="left"/>
      </w:pPr>
      <w:r>
        <w:rPr>
          <w:rFonts w:ascii="Segoe UI" w:hAnsi="Segoe UI"/>
          <w:b/>
          <w:i w:val="0"/>
          <w:color w:val="0B2545"/>
          <w:sz w:val="24"/>
          <w:rFonts w:ascii="Segoe UI" w:hAnsi="Segoe UI" w:cs="Segoe UI"/>
        </w:rPr>
        <w:t>2. PROBLEM STATEMENT</w:t>
      </w:r>
    </w:p>
    <w:p>
      <w:pPr>
        <w:spacing w:before="0" w:after="80" w:line="276" w:lineRule="auto"/>
        <w:jc w:val="left"/>
      </w:pPr>
      <w:r>
        <w:rPr>
          <w:rFonts w:ascii="Segoe UI" w:hAnsi="Segoe UI"/>
          <w:b w:val="0"/>
          <w:i w:val="0"/>
          <w:color w:val="1F2328"/>
          <w:sz w:val="20"/>
          <w:rFonts w:ascii="Segoe UI" w:hAnsi="Segoe UI" w:cs="Segoe UI"/>
        </w:rPr>
        <w:t>Enterprise credit card service management platforms face significant operational hurdles when relying on legacy software engineering and deployment practices. Analysis of existing enterprise release workflows reveals four critical challenges:</w:t>
      </w:r>
    </w:p>
    <w:p>
      <w:pPr>
        <w:pStyle w:val="ListBullet"/>
        <w:spacing w:before="20" w:after="50" w:line="276" w:lineRule="auto"/>
      </w:pPr>
      <w:r>
        <w:rPr>
          <w:rFonts w:ascii="Segoe UI" w:hAnsi="Segoe UI"/>
          <w:b/>
          <w:i w:val="0"/>
          <w:color w:val="0B2545"/>
          <w:sz w:val="19"/>
          <w:rFonts w:ascii="Segoe UI" w:hAnsi="Segoe UI" w:cs="Segoe UI"/>
        </w:rPr>
        <w:t xml:space="preserve">1. Environmental Inconsistency and Configuration Drift: </w:t>
      </w:r>
      <w:r>
        <w:rPr>
          <w:rFonts w:ascii="Segoe UI" w:hAnsi="Segoe UI"/>
          <w:b w:val="0"/>
          <w:i w:val="0"/>
          <w:color w:val="1F2328"/>
          <w:sz w:val="19"/>
          <w:rFonts w:ascii="Segoe UI" w:hAnsi="Segoe UI" w:cs="Segoe UI"/>
        </w:rPr>
        <w:t>Application binaries compiled on developer workstations frequently encounter runtime anomalies in staging or production environments. Uncontrolled drift in installed Java runtimes, system dependencies, port allocations, and directory permissions ('works on my machine' syndrome) accounts for substantial release downtime.</w:t>
      </w:r>
    </w:p>
    <w:p>
      <w:pPr>
        <w:pStyle w:val="ListBullet"/>
        <w:spacing w:before="20" w:after="50" w:line="276" w:lineRule="auto"/>
      </w:pPr>
      <w:r>
        <w:rPr>
          <w:rFonts w:ascii="Segoe UI" w:hAnsi="Segoe UI"/>
          <w:b/>
          <w:i w:val="0"/>
          <w:color w:val="0B2545"/>
          <w:sz w:val="19"/>
          <w:rFonts w:ascii="Segoe UI" w:hAnsi="Segoe UI" w:cs="Segoe UI"/>
        </w:rPr>
        <w:t xml:space="preserve">2. Manual Regression Bottlenecks and High Latency: </w:t>
      </w:r>
      <w:r>
        <w:rPr>
          <w:rFonts w:ascii="Segoe UI" w:hAnsi="Segoe UI"/>
          <w:b w:val="0"/>
          <w:i w:val="0"/>
          <w:color w:val="1F2328"/>
          <w:sz w:val="19"/>
          <w:rFonts w:ascii="Segoe UI" w:hAnsi="Segoe UI" w:cs="Segoe UI"/>
        </w:rPr>
        <w:t>Testing financial user journeys—such as credit card application submission, negative income input validation, dynamic live table search, and administrative status approval—manually consumes excessive human hours. Manual validation cycles often span days, delaying critical feature delivery and frequently permitting obscure edge-case defects to leak into production.</w:t>
      </w:r>
    </w:p>
    <w:p>
      <w:pPr>
        <w:pStyle w:val="ListBullet"/>
        <w:spacing w:before="20" w:after="50" w:line="276" w:lineRule="auto"/>
      </w:pPr>
      <w:r>
        <w:rPr>
          <w:rFonts w:ascii="Segoe UI" w:hAnsi="Segoe UI"/>
          <w:b/>
          <w:i w:val="0"/>
          <w:color w:val="0B2545"/>
          <w:sz w:val="19"/>
          <w:rFonts w:ascii="Segoe UI" w:hAnsi="Segoe UI" w:cs="Segoe UI"/>
        </w:rPr>
        <w:t xml:space="preserve">3. Absence of Fail-Fast Quality Gates in CI/CD: </w:t>
      </w:r>
      <w:r>
        <w:rPr>
          <w:rFonts w:ascii="Segoe UI" w:hAnsi="Segoe UI"/>
          <w:b w:val="0"/>
          <w:i w:val="0"/>
          <w:color w:val="1F2328"/>
          <w:sz w:val="19"/>
          <w:rFonts w:ascii="Segoe UI" w:hAnsi="Segoe UI" w:cs="Segoe UI"/>
        </w:rPr>
        <w:t>Standard deployment scripts frequently execute unconditional packaging and deployment steps without rigorous functional quality verification. Defective code commits that pass basic compilation can trigger container builds and deploy broken builds directly to end-users without automated interception.</w:t>
      </w:r>
    </w:p>
    <w:p>
      <w:pPr>
        <w:pStyle w:val="ListBullet"/>
        <w:spacing w:before="20" w:after="50" w:line="276" w:lineRule="auto"/>
      </w:pPr>
      <w:r>
        <w:rPr>
          <w:rFonts w:ascii="Segoe UI" w:hAnsi="Segoe UI"/>
          <w:b/>
          <w:i w:val="0"/>
          <w:color w:val="0B2545"/>
          <w:sz w:val="19"/>
          <w:rFonts w:ascii="Segoe UI" w:hAnsi="Segoe UI" w:cs="Segoe UI"/>
        </w:rPr>
        <w:t xml:space="preserve">4. Brittle, Non-Idempotent Server Deployments: </w:t>
      </w:r>
      <w:r>
        <w:rPr>
          <w:rFonts w:ascii="Segoe UI" w:hAnsi="Segoe UI"/>
          <w:b w:val="0"/>
          <w:i w:val="0"/>
          <w:color w:val="1F2328"/>
          <w:sz w:val="19"/>
          <w:rFonts w:ascii="Segoe UI" w:hAnsi="Segoe UI" w:cs="Segoe UI"/>
        </w:rPr>
        <w:t>Legacy deployment relies on ad-hoc shell scripts or manual SFTP uploads to mutable application servers. In the event of network disruption or container runtime crashes, re-running manual scripts creates duplicate services, orphaned files, and inconsistent host state, with zero automated rollback capability.</w:t>
      </w:r>
    </w:p>
    <w:p>
      <w:r>
        <w:br w:type="page"/>
      </w:r>
    </w:p>
    <w:p>
      <w:pPr>
        <w:keepNext/>
        <w:spacing w:before="160" w:after="60"/>
        <w:jc w:val="left"/>
      </w:pPr>
      <w:r>
        <w:rPr>
          <w:rFonts w:ascii="Segoe UI" w:hAnsi="Segoe UI"/>
          <w:b/>
          <w:i w:val="0"/>
          <w:color w:val="0B2545"/>
          <w:sz w:val="24"/>
          <w:rFonts w:ascii="Segoe UI" w:hAnsi="Segoe UI" w:cs="Segoe UI"/>
        </w:rPr>
        <w:t>3. EXISTING APPROACHES, TOOLS AND LIMITATIONS</w:t>
      </w:r>
    </w:p>
    <w:p>
      <w:pPr>
        <w:keepNext/>
        <w:spacing w:before="100" w:after="40"/>
        <w:jc w:val="left"/>
      </w:pPr>
      <w:r>
        <w:rPr>
          <w:rFonts w:ascii="Segoe UI" w:hAnsi="Segoe UI"/>
          <w:b/>
          <w:i w:val="0"/>
          <w:color w:val="0969DA"/>
          <w:sz w:val="21"/>
          <w:rFonts w:ascii="Segoe UI" w:hAnsi="Segoe UI" w:cs="Segoe UI"/>
        </w:rPr>
        <w:t>3.1 Overview of Conventional Deployment &amp; QA Paradigms</w:t>
      </w:r>
    </w:p>
    <w:p>
      <w:pPr>
        <w:spacing w:before="0" w:after="80" w:line="276" w:lineRule="auto"/>
        <w:jc w:val="left"/>
      </w:pPr>
      <w:r>
        <w:rPr>
          <w:rFonts w:ascii="Segoe UI" w:hAnsi="Segoe UI"/>
          <w:b w:val="0"/>
          <w:i w:val="0"/>
          <w:color w:val="1F2328"/>
          <w:sz w:val="20"/>
          <w:rFonts w:ascii="Segoe UI" w:hAnsi="Segoe UI" w:cs="Segoe UI"/>
        </w:rPr>
        <w:t>Enterprise software operations traditionally evolved through isolated phases: developers commit code into centralized repositories, build engineers manually trigger builds, Quality Assurance (QA) teams perform exploratory and scripted manual testing on dedicated test servers, and system administrators execute deployment scripts during midnight maintenance windows. This phased paradigm introduces severe feedback lag; defects discovered days after initial development require significant cognitive re-contextualization by developers, inflating Mean Time to Resolution (MTTR).</w:t>
      </w:r>
    </w:p>
    <w:p>
      <w:pPr>
        <w:keepNext/>
        <w:spacing w:before="100" w:after="40"/>
        <w:jc w:val="left"/>
      </w:pPr>
      <w:r>
        <w:rPr>
          <w:rFonts w:ascii="Segoe UI" w:hAnsi="Segoe UI"/>
          <w:b/>
          <w:i w:val="0"/>
          <w:color w:val="0969DA"/>
          <w:sz w:val="21"/>
          <w:rFonts w:ascii="Segoe UI" w:hAnsi="Segoe UI" w:cs="Segoe UI"/>
        </w:rPr>
        <w:t>3.2 Technical Toolchain Evaluation &amp; Operational Bottlenecks</w:t>
      </w:r>
    </w:p>
    <w:p>
      <w:pPr>
        <w:pStyle w:val="ListBullet"/>
        <w:spacing w:before="20" w:after="50" w:line="276" w:lineRule="auto"/>
      </w:pPr>
      <w:r>
        <w:rPr>
          <w:rFonts w:ascii="Segoe UI" w:hAnsi="Segoe UI"/>
          <w:b/>
          <w:i w:val="0"/>
          <w:color w:val="0B2545"/>
          <w:sz w:val="19"/>
          <w:rFonts w:ascii="Segoe UI" w:hAnsi="Segoe UI" w:cs="Segoe UI"/>
        </w:rPr>
        <w:t xml:space="preserve">Version Control &amp; Branching: </w:t>
      </w:r>
      <w:r>
        <w:rPr>
          <w:rFonts w:ascii="Segoe UI" w:hAnsi="Segoe UI"/>
          <w:b w:val="0"/>
          <w:i w:val="0"/>
          <w:color w:val="1F2328"/>
          <w:sz w:val="19"/>
          <w:rFonts w:ascii="Segoe UI" w:hAnsi="Segoe UI" w:cs="Segoe UI"/>
        </w:rPr>
        <w:t>Centralized VCS (e.g., Subversion, CVS) or undisciplined Git branching models without peer-reviewed Pull Requests result in 'merge hell', unverified commits on production branches, and lack of atomic release tagging.</w:t>
      </w:r>
    </w:p>
    <w:p>
      <w:pPr>
        <w:pStyle w:val="ListBullet"/>
        <w:spacing w:before="20" w:after="50" w:line="276" w:lineRule="auto"/>
      </w:pPr>
      <w:r>
        <w:rPr>
          <w:rFonts w:ascii="Segoe UI" w:hAnsi="Segoe UI"/>
          <w:b/>
          <w:i w:val="0"/>
          <w:color w:val="0B2545"/>
          <w:sz w:val="19"/>
          <w:rFonts w:ascii="Segoe UI" w:hAnsi="Segoe UI" w:cs="Segoe UI"/>
        </w:rPr>
        <w:t xml:space="preserve">Continuous Integration Engines: </w:t>
      </w:r>
      <w:r>
        <w:rPr>
          <w:rFonts w:ascii="Segoe UI" w:hAnsi="Segoe UI"/>
          <w:b w:val="0"/>
          <w:i w:val="0"/>
          <w:color w:val="1F2328"/>
          <w:sz w:val="19"/>
          <w:rFonts w:ascii="Segoe UI" w:hAnsi="Segoe UI" w:cs="Segoe UI"/>
        </w:rPr>
        <w:t>Legacy CI setups utilize manually configured Jenkins Freestyle jobs. Freestyle jobs store build configurations within UI XML files rather than source code, making them unversioned, non-reproducible, and prone to configuration rot. Furthermore, build triggers rely on periodic polling rather than instant webhook event integration.</w:t>
      </w:r>
    </w:p>
    <w:p>
      <w:pPr>
        <w:pStyle w:val="ListBullet"/>
        <w:spacing w:before="20" w:after="50" w:line="276" w:lineRule="auto"/>
      </w:pPr>
      <w:r>
        <w:rPr>
          <w:rFonts w:ascii="Segoe UI" w:hAnsi="Segoe UI"/>
          <w:b/>
          <w:i w:val="0"/>
          <w:color w:val="0B2545"/>
          <w:sz w:val="19"/>
          <w:rFonts w:ascii="Segoe UI" w:hAnsi="Segoe UI" w:cs="Segoe UI"/>
        </w:rPr>
        <w:t xml:space="preserve">Quality Assurance &amp; Test Execution: </w:t>
      </w:r>
      <w:r>
        <w:rPr>
          <w:rFonts w:ascii="Segoe UI" w:hAnsi="Segoe UI"/>
          <w:b w:val="0"/>
          <w:i w:val="0"/>
          <w:color w:val="1F2328"/>
          <w:sz w:val="19"/>
          <w:rFonts w:ascii="Segoe UI" w:hAnsi="Segoe UI" w:cs="Segoe UI"/>
        </w:rPr>
        <w:t>Post-deployment manual QA or disconnected, asynchronous UI test suites running overnight decouple testing from the build lifecycle. When tests fail hours after deployment, identifying the offending commit requires painstaking git bisecting and manual triage.</w:t>
      </w:r>
    </w:p>
    <w:p>
      <w:pPr>
        <w:pStyle w:val="ListBullet"/>
        <w:spacing w:before="20" w:after="50" w:line="276" w:lineRule="auto"/>
      </w:pPr>
      <w:r>
        <w:rPr>
          <w:rFonts w:ascii="Segoe UI" w:hAnsi="Segoe UI"/>
          <w:b/>
          <w:i w:val="0"/>
          <w:color w:val="0B2545"/>
          <w:sz w:val="19"/>
          <w:rFonts w:ascii="Segoe UI" w:hAnsi="Segoe UI" w:cs="Segoe UI"/>
        </w:rPr>
        <w:t xml:space="preserve">Packaging &amp; Artifact Management: </w:t>
      </w:r>
      <w:r>
        <w:rPr>
          <w:rFonts w:ascii="Segoe UI" w:hAnsi="Segoe UI"/>
          <w:b w:val="0"/>
          <w:i w:val="0"/>
          <w:color w:val="1F2328"/>
          <w:sz w:val="19"/>
          <w:rFonts w:ascii="Segoe UI" w:hAnsi="Segoe UI" w:cs="Segoe UI"/>
        </w:rPr>
        <w:t>Distributing raw WAR/JAR artifacts directly onto bare-metal or mutable virtual machines leads to dependency conflicts, unmonitored runtime parameters, and absence of process isolation.</w:t>
      </w:r>
    </w:p>
    <w:p>
      <w:pPr>
        <w:pStyle w:val="ListBullet"/>
        <w:spacing w:before="20" w:after="50" w:line="276" w:lineRule="auto"/>
      </w:pPr>
      <w:r>
        <w:rPr>
          <w:rFonts w:ascii="Segoe UI" w:hAnsi="Segoe UI"/>
          <w:b/>
          <w:i w:val="0"/>
          <w:color w:val="0B2545"/>
          <w:sz w:val="19"/>
          <w:rFonts w:ascii="Segoe UI" w:hAnsi="Segoe UI" w:cs="Segoe UI"/>
        </w:rPr>
        <w:t xml:space="preserve">Host Provisioning &amp; Configuration Management: </w:t>
      </w:r>
      <w:r>
        <w:rPr>
          <w:rFonts w:ascii="Segoe UI" w:hAnsi="Segoe UI"/>
          <w:b w:val="0"/>
          <w:i w:val="0"/>
          <w:color w:val="1F2328"/>
          <w:sz w:val="19"/>
          <w:rFonts w:ascii="Segoe UI" w:hAnsi="Segoe UI" w:cs="Segoe UI"/>
        </w:rPr>
        <w:t>Custom Bash or PowerShell scripts lack idempotency. Re-executing a shell script following a partial failure often fails unpredictably, creating orphaned system resources and inconsistent firewall/port bindings.</w:t>
      </w:r>
    </w:p>
    <w:p>
      <w:pPr>
        <w:keepNext/>
        <w:spacing w:before="100" w:after="40"/>
        <w:jc w:val="left"/>
      </w:pPr>
      <w:r>
        <w:rPr>
          <w:rFonts w:ascii="Segoe UI" w:hAnsi="Segoe UI"/>
          <w:b/>
          <w:i w:val="0"/>
          <w:color w:val="0969DA"/>
          <w:sz w:val="21"/>
          <w:rFonts w:ascii="Segoe UI" w:hAnsi="Segoe UI" w:cs="Segoe UI"/>
        </w:rPr>
        <w:t>3.3 Comparative Analysis Matrix: Traditional vs. Modern DevOps Framework</w:t>
      </w:r>
    </w:p>
    <w:p>
      <w:pPr>
        <w:spacing w:before="0" w:after="60" w:line="276" w:lineRule="auto"/>
        <w:jc w:val="left"/>
      </w:pPr>
      <w:r>
        <w:rPr>
          <w:rFonts w:ascii="Segoe UI" w:hAnsi="Segoe UI"/>
          <w:b w:val="0"/>
          <w:i w:val="0"/>
          <w:color w:val="1F2328"/>
          <w:sz w:val="20"/>
          <w:rFonts w:ascii="Segoe UI" w:hAnsi="Segoe UI" w:cs="Segoe UI"/>
        </w:rPr>
        <w:t>The following matrix evaluates existing approaches against the proposed modern DevOps standard across key architectural dimensions:</w:t>
      </w:r>
    </w:p>
    <w:tbl>
      <w:tblPr>
        <w:tblW w:type="auto" w:w="0"/>
        <w:jc w:val="center"/>
        <w:tblLayout w:type="fixed"/>
        <w:tblLook w:firstColumn="1" w:firstRow="1" w:lastColumn="0" w:lastRow="0" w:noHBand="0" w:noVBand="1" w:val="04A0"/>
      </w:tblPr>
      <w:tblGrid>
        <w:gridCol w:w="2437"/>
        <w:gridCol w:w="2437"/>
        <w:gridCol w:w="2437"/>
        <w:gridCol w:w="2437"/>
      </w:tblGrid>
      <w:tr>
        <w:tc>
          <w:tcPr>
            <w:tcW w:type="dxa" w:w="2160"/>
            <w:shd w:fill="EAECEE"/>
            <w:tcMar>
              <w:top w:w="80" w:type="dxa"/>
              <w:bottom w:w="80" w:type="dxa"/>
              <w:left w:w="80" w:type="dxa"/>
              <w:right w:w="80" w:type="dxa"/>
            </w:tcMar>
            <w:tcBorders>
              <w:top w:val="single" w:sz="4" w:space="0" w:color="D0D7DE"/>
              <w:bottom w:val="single" w:sz="4" w:space="0" w:color="D0D7DE"/>
              <w:left w:val="single" w:sz="4" w:space="0" w:color="D0D7DE"/>
              <w:right w:val="single" w:sz="4" w:space="0" w:color="D0D7DE"/>
            </w:tcBorders>
          </w:tcPr>
          <w:p>
            <w:pPr>
              <w:spacing w:after="40"/>
              <w:jc w:val="center"/>
            </w:pPr>
            <w:r>
              <w:rPr>
                <w:rFonts w:ascii="Segoe UI" w:hAnsi="Segoe UI"/>
                <w:b/>
                <w:i w:val="0"/>
                <w:color w:val="0B2545"/>
                <w:sz w:val="17"/>
                <w:rFonts w:ascii="Segoe UI" w:hAnsi="Segoe UI" w:cs="Segoe UI"/>
              </w:rPr>
              <w:t>Evaluation Dimension</w:t>
            </w:r>
          </w:p>
        </w:tc>
        <w:tc>
          <w:tcPr>
            <w:tcW w:type="dxa" w:w="2592"/>
            <w:shd w:fill="EAECEE"/>
            <w:tcMar>
              <w:top w:w="80" w:type="dxa"/>
              <w:bottom w:w="80" w:type="dxa"/>
              <w:left w:w="80" w:type="dxa"/>
              <w:right w:w="80" w:type="dxa"/>
            </w:tcMar>
            <w:tcBorders>
              <w:top w:val="single" w:sz="4" w:space="0" w:color="D0D7DE"/>
              <w:bottom w:val="single" w:sz="4" w:space="0" w:color="D0D7DE"/>
              <w:left w:val="single" w:sz="4" w:space="0" w:color="D0D7DE"/>
              <w:right w:val="single" w:sz="4" w:space="0" w:color="D0D7DE"/>
            </w:tcBorders>
          </w:tcPr>
          <w:p>
            <w:pPr>
              <w:spacing w:after="40"/>
              <w:jc w:val="center"/>
            </w:pPr>
            <w:r>
              <w:rPr>
                <w:rFonts w:ascii="Segoe UI" w:hAnsi="Segoe UI"/>
                <w:b/>
                <w:i w:val="0"/>
                <w:color w:val="0B2545"/>
                <w:sz w:val="17"/>
                <w:rFonts w:ascii="Segoe UI" w:hAnsi="Segoe UI" w:cs="Segoe UI"/>
              </w:rPr>
              <w:t>Traditional / Legacy Approach</w:t>
            </w:r>
          </w:p>
        </w:tc>
        <w:tc>
          <w:tcPr>
            <w:tcW w:type="dxa" w:w="2736"/>
            <w:shd w:fill="EAECEE"/>
            <w:tcMar>
              <w:top w:w="80" w:type="dxa"/>
              <w:bottom w:w="80" w:type="dxa"/>
              <w:left w:w="80" w:type="dxa"/>
              <w:right w:w="80" w:type="dxa"/>
            </w:tcMar>
            <w:tcBorders>
              <w:top w:val="single" w:sz="4" w:space="0" w:color="D0D7DE"/>
              <w:bottom w:val="single" w:sz="4" w:space="0" w:color="D0D7DE"/>
              <w:left w:val="single" w:sz="4" w:space="0" w:color="D0D7DE"/>
              <w:right w:val="single" w:sz="4" w:space="0" w:color="D0D7DE"/>
            </w:tcBorders>
          </w:tcPr>
          <w:p>
            <w:pPr>
              <w:spacing w:after="40"/>
              <w:jc w:val="center"/>
            </w:pPr>
            <w:r>
              <w:rPr>
                <w:rFonts w:ascii="Segoe UI" w:hAnsi="Segoe UI"/>
                <w:b/>
                <w:i w:val="0"/>
                <w:color w:val="0B2545"/>
                <w:sz w:val="17"/>
                <w:rFonts w:ascii="Segoe UI" w:hAnsi="Segoe UI" w:cs="Segoe UI"/>
              </w:rPr>
              <w:t>Proposed DevOps Architecture</w:t>
            </w:r>
          </w:p>
        </w:tc>
        <w:tc>
          <w:tcPr>
            <w:tcW w:type="dxa" w:w="2160"/>
            <w:shd w:fill="EAECEE"/>
            <w:tcMar>
              <w:top w:w="80" w:type="dxa"/>
              <w:bottom w:w="80" w:type="dxa"/>
              <w:left w:w="80" w:type="dxa"/>
              <w:right w:w="80" w:type="dxa"/>
            </w:tcMar>
            <w:tcBorders>
              <w:top w:val="single" w:sz="4" w:space="0" w:color="D0D7DE"/>
              <w:bottom w:val="single" w:sz="4" w:space="0" w:color="D0D7DE"/>
              <w:left w:val="single" w:sz="4" w:space="0" w:color="D0D7DE"/>
              <w:right w:val="single" w:sz="4" w:space="0" w:color="D0D7DE"/>
            </w:tcBorders>
          </w:tcPr>
          <w:p>
            <w:pPr>
              <w:spacing w:after="40"/>
              <w:jc w:val="center"/>
            </w:pPr>
            <w:r>
              <w:rPr>
                <w:rFonts w:ascii="Segoe UI" w:hAnsi="Segoe UI"/>
                <w:b/>
                <w:i w:val="0"/>
                <w:color w:val="0B2545"/>
                <w:sz w:val="17"/>
                <w:rFonts w:ascii="Segoe UI" w:hAnsi="Segoe UI" w:cs="Segoe UI"/>
              </w:rPr>
              <w:t>Impact on Credit Card Portal</w:t>
            </w:r>
          </w:p>
        </w:tc>
      </w:tr>
      <w:tr>
        <w:tc>
          <w:tcPr>
            <w:tcW w:type="dxa" w:w="2160"/>
            <w:shd w:fill="FFFFFF"/>
            <w:tcMar>
              <w:top w:w="60" w:type="dxa"/>
              <w:bottom w:w="60" w:type="dxa"/>
              <w:left w:w="70" w:type="dxa"/>
              <w:right w:w="70" w:type="dxa"/>
            </w:tcMar>
            <w:tcBorders>
              <w:top w:val="single" w:sz="4" w:space="0" w:color="D0D7DE"/>
              <w:bottom w:val="single" w:sz="4" w:space="0" w:color="D0D7DE"/>
              <w:left w:val="single" w:sz="4" w:space="0" w:color="D0D7DE"/>
              <w:right w:val="single" w:sz="4" w:space="0" w:color="D0D7DE"/>
            </w:tcBorders>
          </w:tcPr>
          <w:p>
            <w:pPr>
              <w:spacing w:after="40" w:line="264" w:lineRule="auto"/>
              <w:jc w:val="left"/>
            </w:pPr>
            <w:r>
              <w:rPr>
                <w:rFonts w:ascii="Segoe UI" w:hAnsi="Segoe UI"/>
                <w:b/>
                <w:i w:val="0"/>
                <w:color w:val="1F2328"/>
                <w:sz w:val="16"/>
                <w:rFonts w:ascii="Segoe UI" w:hAnsi="Segoe UI" w:cs="Segoe UI"/>
              </w:rPr>
              <w:t>Source Control &amp; Governance</w:t>
            </w:r>
          </w:p>
        </w:tc>
        <w:tc>
          <w:tcPr>
            <w:tcW w:type="dxa" w:w="2592"/>
            <w:shd w:fill="FFFFFF"/>
            <w:tcMar>
              <w:top w:w="60" w:type="dxa"/>
              <w:bottom w:w="60" w:type="dxa"/>
              <w:left w:w="70" w:type="dxa"/>
              <w:right w:w="70" w:type="dxa"/>
            </w:tcMar>
            <w:tcBorders>
              <w:top w:val="single" w:sz="4" w:space="0" w:color="D0D7DE"/>
              <w:bottom w:val="single" w:sz="4" w:space="0" w:color="D0D7DE"/>
              <w:left w:val="single" w:sz="4" w:space="0" w:color="D0D7DE"/>
              <w:right w:val="single" w:sz="4" w:space="0" w:color="D0D7DE"/>
            </w:tcBorders>
          </w:tcPr>
          <w:p>
            <w:pPr>
              <w:spacing w:after="40" w:line="264" w:lineRule="auto"/>
              <w:jc w:val="left"/>
            </w:pPr>
            <w:r>
              <w:rPr>
                <w:rFonts w:ascii="Segoe UI" w:hAnsi="Segoe UI"/>
                <w:b w:val="0"/>
                <w:i w:val="0"/>
                <w:color w:val="1F2328"/>
                <w:sz w:val="16"/>
                <w:rFonts w:ascii="Segoe UI" w:hAnsi="Segoe UI" w:cs="Segoe UI"/>
              </w:rPr>
              <w:t>Centralized VCS / Direct commits to main</w:t>
            </w:r>
          </w:p>
        </w:tc>
        <w:tc>
          <w:tcPr>
            <w:tcW w:type="dxa" w:w="2736"/>
            <w:shd w:fill="FFFFFF"/>
            <w:tcMar>
              <w:top w:w="60" w:type="dxa"/>
              <w:bottom w:w="60" w:type="dxa"/>
              <w:left w:w="70" w:type="dxa"/>
              <w:right w:w="70" w:type="dxa"/>
            </w:tcMar>
            <w:tcBorders>
              <w:top w:val="single" w:sz="4" w:space="0" w:color="D0D7DE"/>
              <w:bottom w:val="single" w:sz="4" w:space="0" w:color="D0D7DE"/>
              <w:left w:val="single" w:sz="4" w:space="0" w:color="D0D7DE"/>
              <w:right w:val="single" w:sz="4" w:space="0" w:color="D0D7DE"/>
            </w:tcBorders>
          </w:tcPr>
          <w:p>
            <w:pPr>
              <w:spacing w:after="40" w:line="264" w:lineRule="auto"/>
              <w:jc w:val="left"/>
            </w:pPr>
            <w:r>
              <w:rPr>
                <w:rFonts w:ascii="Segoe UI" w:hAnsi="Segoe UI"/>
                <w:b w:val="0"/>
                <w:i w:val="0"/>
                <w:color w:val="1F2328"/>
                <w:sz w:val="16"/>
                <w:rFonts w:ascii="Segoe UI" w:hAnsi="Segoe UI" w:cs="Segoe UI"/>
              </w:rPr>
              <w:t>Git with feature branching &amp; PR reviews</w:t>
            </w:r>
          </w:p>
        </w:tc>
        <w:tc>
          <w:tcPr>
            <w:tcW w:type="dxa" w:w="2160"/>
            <w:shd w:fill="FFFFFF"/>
            <w:tcMar>
              <w:top w:w="60" w:type="dxa"/>
              <w:bottom w:w="60" w:type="dxa"/>
              <w:left w:w="70" w:type="dxa"/>
              <w:right w:w="70" w:type="dxa"/>
            </w:tcMar>
            <w:tcBorders>
              <w:top w:val="single" w:sz="4" w:space="0" w:color="D0D7DE"/>
              <w:bottom w:val="single" w:sz="4" w:space="0" w:color="D0D7DE"/>
              <w:left w:val="single" w:sz="4" w:space="0" w:color="D0D7DE"/>
              <w:right w:val="single" w:sz="4" w:space="0" w:color="D0D7DE"/>
            </w:tcBorders>
          </w:tcPr>
          <w:p>
            <w:pPr>
              <w:spacing w:after="40" w:line="264" w:lineRule="auto"/>
              <w:jc w:val="left"/>
            </w:pPr>
            <w:r>
              <w:rPr>
                <w:rFonts w:ascii="Segoe UI" w:hAnsi="Segoe UI"/>
                <w:b w:val="0"/>
                <w:i w:val="0"/>
                <w:color w:val="1F2328"/>
                <w:sz w:val="16"/>
                <w:rFonts w:ascii="Segoe UI" w:hAnsi="Segoe UI" w:cs="Segoe UI"/>
              </w:rPr>
              <w:t>Atomic change traceability; zero unreviewed merges</w:t>
            </w:r>
          </w:p>
        </w:tc>
      </w:tr>
      <w:tr>
        <w:tc>
          <w:tcPr>
            <w:tcW w:type="dxa" w:w="2160"/>
            <w:shd w:fill="F8FAFC"/>
            <w:tcMar>
              <w:top w:w="60" w:type="dxa"/>
              <w:bottom w:w="60" w:type="dxa"/>
              <w:left w:w="70" w:type="dxa"/>
              <w:right w:w="70" w:type="dxa"/>
            </w:tcMar>
            <w:tcBorders>
              <w:top w:val="single" w:sz="4" w:space="0" w:color="D0D7DE"/>
              <w:bottom w:val="single" w:sz="4" w:space="0" w:color="D0D7DE"/>
              <w:left w:val="single" w:sz="4" w:space="0" w:color="D0D7DE"/>
              <w:right w:val="single" w:sz="4" w:space="0" w:color="D0D7DE"/>
            </w:tcBorders>
          </w:tcPr>
          <w:p>
            <w:pPr>
              <w:spacing w:after="40" w:line="264" w:lineRule="auto"/>
              <w:jc w:val="left"/>
            </w:pPr>
            <w:r>
              <w:rPr>
                <w:rFonts w:ascii="Segoe UI" w:hAnsi="Segoe UI"/>
                <w:b/>
                <w:i w:val="0"/>
                <w:color w:val="1F2328"/>
                <w:sz w:val="16"/>
                <w:rFonts w:ascii="Segoe UI" w:hAnsi="Segoe UI" w:cs="Segoe UI"/>
              </w:rPr>
              <w:t>Build &amp; Integration</w:t>
            </w:r>
          </w:p>
        </w:tc>
        <w:tc>
          <w:tcPr>
            <w:tcW w:type="dxa" w:w="2592"/>
            <w:shd w:fill="F8FAFC"/>
            <w:tcMar>
              <w:top w:w="60" w:type="dxa"/>
              <w:bottom w:w="60" w:type="dxa"/>
              <w:left w:w="70" w:type="dxa"/>
              <w:right w:w="70" w:type="dxa"/>
            </w:tcMar>
            <w:tcBorders>
              <w:top w:val="single" w:sz="4" w:space="0" w:color="D0D7DE"/>
              <w:bottom w:val="single" w:sz="4" w:space="0" w:color="D0D7DE"/>
              <w:left w:val="single" w:sz="4" w:space="0" w:color="D0D7DE"/>
              <w:right w:val="single" w:sz="4" w:space="0" w:color="D0D7DE"/>
            </w:tcBorders>
          </w:tcPr>
          <w:p>
            <w:pPr>
              <w:spacing w:after="40" w:line="264" w:lineRule="auto"/>
              <w:jc w:val="left"/>
            </w:pPr>
            <w:r>
              <w:rPr>
                <w:rFonts w:ascii="Segoe UI" w:hAnsi="Segoe UI"/>
                <w:b w:val="0"/>
                <w:i w:val="0"/>
                <w:color w:val="1F2328"/>
                <w:sz w:val="16"/>
                <w:rFonts w:ascii="Segoe UI" w:hAnsi="Segoe UI" w:cs="Segoe UI"/>
              </w:rPr>
              <w:t>Manual IDE compilation or unversioned Freestyle CI</w:t>
            </w:r>
          </w:p>
        </w:tc>
        <w:tc>
          <w:tcPr>
            <w:tcW w:type="dxa" w:w="2736"/>
            <w:shd w:fill="F8FAFC"/>
            <w:tcMar>
              <w:top w:w="60" w:type="dxa"/>
              <w:bottom w:w="60" w:type="dxa"/>
              <w:left w:w="70" w:type="dxa"/>
              <w:right w:w="70" w:type="dxa"/>
            </w:tcMar>
            <w:tcBorders>
              <w:top w:val="single" w:sz="4" w:space="0" w:color="D0D7DE"/>
              <w:bottom w:val="single" w:sz="4" w:space="0" w:color="D0D7DE"/>
              <w:left w:val="single" w:sz="4" w:space="0" w:color="D0D7DE"/>
              <w:right w:val="single" w:sz="4" w:space="0" w:color="D0D7DE"/>
            </w:tcBorders>
          </w:tcPr>
          <w:p>
            <w:pPr>
              <w:spacing w:after="40" w:line="264" w:lineRule="auto"/>
              <w:jc w:val="left"/>
            </w:pPr>
            <w:r>
              <w:rPr>
                <w:rFonts w:ascii="Segoe UI" w:hAnsi="Segoe UI"/>
                <w:b w:val="0"/>
                <w:i w:val="0"/>
                <w:color w:val="1F2328"/>
                <w:sz w:val="16"/>
                <w:rFonts w:ascii="Segoe UI" w:hAnsi="Segoe UI" w:cs="Segoe UI"/>
              </w:rPr>
              <w:t>Declarative Jenkinsfile Pipeline-as-Code</w:t>
            </w:r>
          </w:p>
        </w:tc>
        <w:tc>
          <w:tcPr>
            <w:tcW w:type="dxa" w:w="2160"/>
            <w:shd w:fill="F8FAFC"/>
            <w:tcMar>
              <w:top w:w="60" w:type="dxa"/>
              <w:bottom w:w="60" w:type="dxa"/>
              <w:left w:w="70" w:type="dxa"/>
              <w:right w:w="70" w:type="dxa"/>
            </w:tcMar>
            <w:tcBorders>
              <w:top w:val="single" w:sz="4" w:space="0" w:color="D0D7DE"/>
              <w:bottom w:val="single" w:sz="4" w:space="0" w:color="D0D7DE"/>
              <w:left w:val="single" w:sz="4" w:space="0" w:color="D0D7DE"/>
              <w:right w:val="single" w:sz="4" w:space="0" w:color="D0D7DE"/>
            </w:tcBorders>
          </w:tcPr>
          <w:p>
            <w:pPr>
              <w:spacing w:after="40" w:line="264" w:lineRule="auto"/>
              <w:jc w:val="left"/>
            </w:pPr>
            <w:r>
              <w:rPr>
                <w:rFonts w:ascii="Segoe UI" w:hAnsi="Segoe UI"/>
                <w:b w:val="0"/>
                <w:i w:val="0"/>
                <w:color w:val="1F2328"/>
                <w:sz w:val="16"/>
                <w:rFonts w:ascii="Segoe UI" w:hAnsi="Segoe UI" w:cs="Segoe UI"/>
              </w:rPr>
              <w:t>100% reproducible builds defined in SCM</w:t>
            </w:r>
          </w:p>
        </w:tc>
      </w:tr>
      <w:tr>
        <w:tc>
          <w:tcPr>
            <w:tcW w:type="dxa" w:w="2160"/>
            <w:shd w:fill="FFFFFF"/>
            <w:tcMar>
              <w:top w:w="60" w:type="dxa"/>
              <w:bottom w:w="60" w:type="dxa"/>
              <w:left w:w="70" w:type="dxa"/>
              <w:right w:w="70" w:type="dxa"/>
            </w:tcMar>
            <w:tcBorders>
              <w:top w:val="single" w:sz="4" w:space="0" w:color="D0D7DE"/>
              <w:bottom w:val="single" w:sz="4" w:space="0" w:color="D0D7DE"/>
              <w:left w:val="single" w:sz="4" w:space="0" w:color="D0D7DE"/>
              <w:right w:val="single" w:sz="4" w:space="0" w:color="D0D7DE"/>
            </w:tcBorders>
          </w:tcPr>
          <w:p>
            <w:pPr>
              <w:spacing w:after="40" w:line="264" w:lineRule="auto"/>
              <w:jc w:val="left"/>
            </w:pPr>
            <w:r>
              <w:rPr>
                <w:rFonts w:ascii="Segoe UI" w:hAnsi="Segoe UI"/>
                <w:b/>
                <w:i w:val="0"/>
                <w:color w:val="1F2328"/>
                <w:sz w:val="16"/>
                <w:rFonts w:ascii="Segoe UI" w:hAnsi="Segoe UI" w:cs="Segoe UI"/>
              </w:rPr>
              <w:t>Quality Assurance Gate</w:t>
            </w:r>
          </w:p>
        </w:tc>
        <w:tc>
          <w:tcPr>
            <w:tcW w:type="dxa" w:w="2592"/>
            <w:shd w:fill="FFFFFF"/>
            <w:tcMar>
              <w:top w:w="60" w:type="dxa"/>
              <w:bottom w:w="60" w:type="dxa"/>
              <w:left w:w="70" w:type="dxa"/>
              <w:right w:w="70" w:type="dxa"/>
            </w:tcMar>
            <w:tcBorders>
              <w:top w:val="single" w:sz="4" w:space="0" w:color="D0D7DE"/>
              <w:bottom w:val="single" w:sz="4" w:space="0" w:color="D0D7DE"/>
              <w:left w:val="single" w:sz="4" w:space="0" w:color="D0D7DE"/>
              <w:right w:val="single" w:sz="4" w:space="0" w:color="D0D7DE"/>
            </w:tcBorders>
          </w:tcPr>
          <w:p>
            <w:pPr>
              <w:spacing w:after="40" w:line="264" w:lineRule="auto"/>
              <w:jc w:val="left"/>
            </w:pPr>
            <w:r>
              <w:rPr>
                <w:rFonts w:ascii="Segoe UI" w:hAnsi="Segoe UI"/>
                <w:b w:val="0"/>
                <w:i w:val="0"/>
                <w:color w:val="1F2328"/>
                <w:sz w:val="16"/>
                <w:rFonts w:ascii="Segoe UI" w:hAnsi="Segoe UI" w:cs="Segoe UI"/>
              </w:rPr>
              <w:t>Manual UI testing; late-cycle defect detection</w:t>
            </w:r>
          </w:p>
        </w:tc>
        <w:tc>
          <w:tcPr>
            <w:tcW w:type="dxa" w:w="2736"/>
            <w:shd w:fill="FFFFFF"/>
            <w:tcMar>
              <w:top w:w="60" w:type="dxa"/>
              <w:bottom w:w="60" w:type="dxa"/>
              <w:left w:w="70" w:type="dxa"/>
              <w:right w:w="70" w:type="dxa"/>
            </w:tcMar>
            <w:tcBorders>
              <w:top w:val="single" w:sz="4" w:space="0" w:color="D0D7DE"/>
              <w:bottom w:val="single" w:sz="4" w:space="0" w:color="D0D7DE"/>
              <w:left w:val="single" w:sz="4" w:space="0" w:color="D0D7DE"/>
              <w:right w:val="single" w:sz="4" w:space="0" w:color="D0D7DE"/>
            </w:tcBorders>
          </w:tcPr>
          <w:p>
            <w:pPr>
              <w:spacing w:after="40" w:line="264" w:lineRule="auto"/>
              <w:jc w:val="left"/>
            </w:pPr>
            <w:r>
              <w:rPr>
                <w:rFonts w:ascii="Segoe UI" w:hAnsi="Segoe UI"/>
                <w:b w:val="0"/>
                <w:i w:val="0"/>
                <w:color w:val="1F2328"/>
                <w:sz w:val="16"/>
                <w:rFonts w:ascii="Segoe UI" w:hAnsi="Segoe UI" w:cs="Segoe UI"/>
              </w:rPr>
              <w:t>Automated Headless Selenium 4.x Gate</w:t>
            </w:r>
          </w:p>
        </w:tc>
        <w:tc>
          <w:tcPr>
            <w:tcW w:type="dxa" w:w="2160"/>
            <w:shd w:fill="FFFFFF"/>
            <w:tcMar>
              <w:top w:w="60" w:type="dxa"/>
              <w:bottom w:w="60" w:type="dxa"/>
              <w:left w:w="70" w:type="dxa"/>
              <w:right w:w="70" w:type="dxa"/>
            </w:tcMar>
            <w:tcBorders>
              <w:top w:val="single" w:sz="4" w:space="0" w:color="D0D7DE"/>
              <w:bottom w:val="single" w:sz="4" w:space="0" w:color="D0D7DE"/>
              <w:left w:val="single" w:sz="4" w:space="0" w:color="D0D7DE"/>
              <w:right w:val="single" w:sz="4" w:space="0" w:color="D0D7DE"/>
            </w:tcBorders>
          </w:tcPr>
          <w:p>
            <w:pPr>
              <w:spacing w:after="40" w:line="264" w:lineRule="auto"/>
              <w:jc w:val="left"/>
            </w:pPr>
            <w:r>
              <w:rPr>
                <w:rFonts w:ascii="Segoe UI" w:hAnsi="Segoe UI"/>
                <w:b w:val="0"/>
                <w:i w:val="0"/>
                <w:color w:val="1F2328"/>
                <w:sz w:val="16"/>
                <w:rFonts w:ascii="Segoe UI" w:hAnsi="Segoe UI" w:cs="Segoe UI"/>
              </w:rPr>
              <w:t>Fail-fast interception; zero regression defect leakage</w:t>
            </w:r>
          </w:p>
        </w:tc>
      </w:tr>
      <w:tr>
        <w:tc>
          <w:tcPr>
            <w:tcW w:type="dxa" w:w="2160"/>
            <w:shd w:fill="F8FAFC"/>
            <w:tcMar>
              <w:top w:w="60" w:type="dxa"/>
              <w:bottom w:w="60" w:type="dxa"/>
              <w:left w:w="70" w:type="dxa"/>
              <w:right w:w="70" w:type="dxa"/>
            </w:tcMar>
            <w:tcBorders>
              <w:top w:val="single" w:sz="4" w:space="0" w:color="D0D7DE"/>
              <w:bottom w:val="single" w:sz="4" w:space="0" w:color="D0D7DE"/>
              <w:left w:val="single" w:sz="4" w:space="0" w:color="D0D7DE"/>
              <w:right w:val="single" w:sz="4" w:space="0" w:color="D0D7DE"/>
            </w:tcBorders>
          </w:tcPr>
          <w:p>
            <w:pPr>
              <w:spacing w:after="40" w:line="264" w:lineRule="auto"/>
              <w:jc w:val="left"/>
            </w:pPr>
            <w:r>
              <w:rPr>
                <w:rFonts w:ascii="Segoe UI" w:hAnsi="Segoe UI"/>
                <w:b/>
                <w:i w:val="0"/>
                <w:color w:val="1F2328"/>
                <w:sz w:val="16"/>
                <w:rFonts w:ascii="Segoe UI" w:hAnsi="Segoe UI" w:cs="Segoe UI"/>
              </w:rPr>
              <w:t>Application Packaging</w:t>
            </w:r>
          </w:p>
        </w:tc>
        <w:tc>
          <w:tcPr>
            <w:tcW w:type="dxa" w:w="2592"/>
            <w:shd w:fill="F8FAFC"/>
            <w:tcMar>
              <w:top w:w="60" w:type="dxa"/>
              <w:bottom w:w="60" w:type="dxa"/>
              <w:left w:w="70" w:type="dxa"/>
              <w:right w:w="70" w:type="dxa"/>
            </w:tcMar>
            <w:tcBorders>
              <w:top w:val="single" w:sz="4" w:space="0" w:color="D0D7DE"/>
              <w:bottom w:val="single" w:sz="4" w:space="0" w:color="D0D7DE"/>
              <w:left w:val="single" w:sz="4" w:space="0" w:color="D0D7DE"/>
              <w:right w:val="single" w:sz="4" w:space="0" w:color="D0D7DE"/>
            </w:tcBorders>
          </w:tcPr>
          <w:p>
            <w:pPr>
              <w:spacing w:after="40" w:line="264" w:lineRule="auto"/>
              <w:jc w:val="left"/>
            </w:pPr>
            <w:r>
              <w:rPr>
                <w:rFonts w:ascii="Segoe UI" w:hAnsi="Segoe UI"/>
                <w:b w:val="0"/>
                <w:i w:val="0"/>
                <w:color w:val="1F2328"/>
                <w:sz w:val="16"/>
                <w:rFonts w:ascii="Segoe UI" w:hAnsi="Segoe UI" w:cs="Segoe UI"/>
              </w:rPr>
              <w:t>Raw WAR/JAR deployed to mutable Tomcat servers</w:t>
            </w:r>
          </w:p>
        </w:tc>
        <w:tc>
          <w:tcPr>
            <w:tcW w:type="dxa" w:w="2736"/>
            <w:shd w:fill="F8FAFC"/>
            <w:tcMar>
              <w:top w:w="60" w:type="dxa"/>
              <w:bottom w:w="60" w:type="dxa"/>
              <w:left w:w="70" w:type="dxa"/>
              <w:right w:w="70" w:type="dxa"/>
            </w:tcMar>
            <w:tcBorders>
              <w:top w:val="single" w:sz="4" w:space="0" w:color="D0D7DE"/>
              <w:bottom w:val="single" w:sz="4" w:space="0" w:color="D0D7DE"/>
              <w:left w:val="single" w:sz="4" w:space="0" w:color="D0D7DE"/>
              <w:right w:val="single" w:sz="4" w:space="0" w:color="D0D7DE"/>
            </w:tcBorders>
          </w:tcPr>
          <w:p>
            <w:pPr>
              <w:spacing w:after="40" w:line="264" w:lineRule="auto"/>
              <w:jc w:val="left"/>
            </w:pPr>
            <w:r>
              <w:rPr>
                <w:rFonts w:ascii="Segoe UI" w:hAnsi="Segoe UI"/>
                <w:b w:val="0"/>
                <w:i w:val="0"/>
                <w:color w:val="1F2328"/>
                <w:sz w:val="16"/>
                <w:rFonts w:ascii="Segoe UI" w:hAnsi="Segoe UI" w:cs="Segoe UI"/>
              </w:rPr>
              <w:t>Multi-Stage Docker Containerization</w:t>
            </w:r>
          </w:p>
        </w:tc>
        <w:tc>
          <w:tcPr>
            <w:tcW w:type="dxa" w:w="2160"/>
            <w:shd w:fill="F8FAFC"/>
            <w:tcMar>
              <w:top w:w="60" w:type="dxa"/>
              <w:bottom w:w="60" w:type="dxa"/>
              <w:left w:w="70" w:type="dxa"/>
              <w:right w:w="70" w:type="dxa"/>
            </w:tcMar>
            <w:tcBorders>
              <w:top w:val="single" w:sz="4" w:space="0" w:color="D0D7DE"/>
              <w:bottom w:val="single" w:sz="4" w:space="0" w:color="D0D7DE"/>
              <w:left w:val="single" w:sz="4" w:space="0" w:color="D0D7DE"/>
              <w:right w:val="single" w:sz="4" w:space="0" w:color="D0D7DE"/>
            </w:tcBorders>
          </w:tcPr>
          <w:p>
            <w:pPr>
              <w:spacing w:after="40" w:line="264" w:lineRule="auto"/>
              <w:jc w:val="left"/>
            </w:pPr>
            <w:r>
              <w:rPr>
                <w:rFonts w:ascii="Segoe UI" w:hAnsi="Segoe UI"/>
                <w:b w:val="0"/>
                <w:i w:val="0"/>
                <w:color w:val="1F2328"/>
                <w:sz w:val="16"/>
                <w:rFonts w:ascii="Segoe UI" w:hAnsi="Segoe UI" w:cs="Segoe UI"/>
              </w:rPr>
              <w:t>Immutable lightweight artifacts; strict environment parity</w:t>
            </w:r>
          </w:p>
        </w:tc>
      </w:tr>
      <w:tr>
        <w:tc>
          <w:tcPr>
            <w:tcW w:type="dxa" w:w="2160"/>
            <w:shd w:fill="FFFFFF"/>
            <w:tcMar>
              <w:top w:w="60" w:type="dxa"/>
              <w:bottom w:w="60" w:type="dxa"/>
              <w:left w:w="70" w:type="dxa"/>
              <w:right w:w="70" w:type="dxa"/>
            </w:tcMar>
            <w:tcBorders>
              <w:top w:val="single" w:sz="4" w:space="0" w:color="D0D7DE"/>
              <w:bottom w:val="single" w:sz="4" w:space="0" w:color="D0D7DE"/>
              <w:left w:val="single" w:sz="4" w:space="0" w:color="D0D7DE"/>
              <w:right w:val="single" w:sz="4" w:space="0" w:color="D0D7DE"/>
            </w:tcBorders>
          </w:tcPr>
          <w:p>
            <w:pPr>
              <w:spacing w:after="40" w:line="264" w:lineRule="auto"/>
              <w:jc w:val="left"/>
            </w:pPr>
            <w:r>
              <w:rPr>
                <w:rFonts w:ascii="Segoe UI" w:hAnsi="Segoe UI"/>
                <w:b/>
                <w:i w:val="0"/>
                <w:color w:val="1F2328"/>
                <w:sz w:val="16"/>
                <w:rFonts w:ascii="Segoe UI" w:hAnsi="Segoe UI" w:cs="Segoe UI"/>
              </w:rPr>
              <w:t>Server Provisioning</w:t>
            </w:r>
          </w:p>
        </w:tc>
        <w:tc>
          <w:tcPr>
            <w:tcW w:type="dxa" w:w="2592"/>
            <w:shd w:fill="FFFFFF"/>
            <w:tcMar>
              <w:top w:w="60" w:type="dxa"/>
              <w:bottom w:w="60" w:type="dxa"/>
              <w:left w:w="70" w:type="dxa"/>
              <w:right w:w="70" w:type="dxa"/>
            </w:tcMar>
            <w:tcBorders>
              <w:top w:val="single" w:sz="4" w:space="0" w:color="D0D7DE"/>
              <w:bottom w:val="single" w:sz="4" w:space="0" w:color="D0D7DE"/>
              <w:left w:val="single" w:sz="4" w:space="0" w:color="D0D7DE"/>
              <w:right w:val="single" w:sz="4" w:space="0" w:color="D0D7DE"/>
            </w:tcBorders>
          </w:tcPr>
          <w:p>
            <w:pPr>
              <w:spacing w:after="40" w:line="264" w:lineRule="auto"/>
              <w:jc w:val="left"/>
            </w:pPr>
            <w:r>
              <w:rPr>
                <w:rFonts w:ascii="Segoe UI" w:hAnsi="Segoe UI"/>
                <w:b w:val="0"/>
                <w:i w:val="0"/>
                <w:color w:val="1F2328"/>
                <w:sz w:val="16"/>
                <w:rFonts w:ascii="Segoe UI" w:hAnsi="Segoe UI" w:cs="Segoe UI"/>
              </w:rPr>
              <w:t>Ad-hoc shell scripts; manual configuration</w:t>
            </w:r>
          </w:p>
        </w:tc>
        <w:tc>
          <w:tcPr>
            <w:tcW w:type="dxa" w:w="2736"/>
            <w:shd w:fill="FFFFFF"/>
            <w:tcMar>
              <w:top w:w="60" w:type="dxa"/>
              <w:bottom w:w="60" w:type="dxa"/>
              <w:left w:w="70" w:type="dxa"/>
              <w:right w:w="70" w:type="dxa"/>
            </w:tcMar>
            <w:tcBorders>
              <w:top w:val="single" w:sz="4" w:space="0" w:color="D0D7DE"/>
              <w:bottom w:val="single" w:sz="4" w:space="0" w:color="D0D7DE"/>
              <w:left w:val="single" w:sz="4" w:space="0" w:color="D0D7DE"/>
              <w:right w:val="single" w:sz="4" w:space="0" w:color="D0D7DE"/>
            </w:tcBorders>
          </w:tcPr>
          <w:p>
            <w:pPr>
              <w:spacing w:after="40" w:line="264" w:lineRule="auto"/>
              <w:jc w:val="left"/>
            </w:pPr>
            <w:r>
              <w:rPr>
                <w:rFonts w:ascii="Segoe UI" w:hAnsi="Segoe UI"/>
                <w:b w:val="0"/>
                <w:i w:val="0"/>
                <w:color w:val="1F2328"/>
                <w:sz w:val="16"/>
                <w:rFonts w:ascii="Segoe UI" w:hAnsi="Segoe UI" w:cs="Segoe UI"/>
              </w:rPr>
              <w:t>Idempotent Ansible Automation Playbooks</w:t>
            </w:r>
          </w:p>
        </w:tc>
        <w:tc>
          <w:tcPr>
            <w:tcW w:type="dxa" w:w="2160"/>
            <w:shd w:fill="FFFFFF"/>
            <w:tcMar>
              <w:top w:w="60" w:type="dxa"/>
              <w:bottom w:w="60" w:type="dxa"/>
              <w:left w:w="70" w:type="dxa"/>
              <w:right w:w="70" w:type="dxa"/>
            </w:tcMar>
            <w:tcBorders>
              <w:top w:val="single" w:sz="4" w:space="0" w:color="D0D7DE"/>
              <w:bottom w:val="single" w:sz="4" w:space="0" w:color="D0D7DE"/>
              <w:left w:val="single" w:sz="4" w:space="0" w:color="D0D7DE"/>
              <w:right w:val="single" w:sz="4" w:space="0" w:color="D0D7DE"/>
            </w:tcBorders>
          </w:tcPr>
          <w:p>
            <w:pPr>
              <w:spacing w:after="40" w:line="264" w:lineRule="auto"/>
              <w:jc w:val="left"/>
            </w:pPr>
            <w:r>
              <w:rPr>
                <w:rFonts w:ascii="Segoe UI" w:hAnsi="Segoe UI"/>
                <w:b w:val="0"/>
                <w:i w:val="0"/>
                <w:color w:val="1F2328"/>
                <w:sz w:val="16"/>
                <w:rFonts w:ascii="Segoe UI" w:hAnsi="Segoe UI" w:cs="Segoe UI"/>
              </w:rPr>
              <w:t>Guaranteed deterministic state (changed=0 on rerun)</w:t>
            </w:r>
          </w:p>
        </w:tc>
      </w:tr>
      <w:tr>
        <w:tc>
          <w:tcPr>
            <w:tcW w:type="dxa" w:w="2160"/>
            <w:shd w:fill="F8FAFC"/>
            <w:tcMar>
              <w:top w:w="60" w:type="dxa"/>
              <w:bottom w:w="60" w:type="dxa"/>
              <w:left w:w="70" w:type="dxa"/>
              <w:right w:w="70" w:type="dxa"/>
            </w:tcMar>
            <w:tcBorders>
              <w:top w:val="single" w:sz="4" w:space="0" w:color="D0D7DE"/>
              <w:bottom w:val="single" w:sz="4" w:space="0" w:color="D0D7DE"/>
              <w:left w:val="single" w:sz="4" w:space="0" w:color="D0D7DE"/>
              <w:right w:val="single" w:sz="4" w:space="0" w:color="D0D7DE"/>
            </w:tcBorders>
          </w:tcPr>
          <w:p>
            <w:pPr>
              <w:spacing w:after="40" w:line="264" w:lineRule="auto"/>
              <w:jc w:val="left"/>
            </w:pPr>
            <w:r>
              <w:rPr>
                <w:rFonts w:ascii="Segoe UI" w:hAnsi="Segoe UI"/>
                <w:b/>
                <w:i w:val="0"/>
                <w:color w:val="1F2328"/>
                <w:sz w:val="16"/>
                <w:rFonts w:ascii="Segoe UI" w:hAnsi="Segoe UI" w:cs="Segoe UI"/>
              </w:rPr>
              <w:t>Monitoring &amp; Recovery</w:t>
            </w:r>
          </w:p>
        </w:tc>
        <w:tc>
          <w:tcPr>
            <w:tcW w:type="dxa" w:w="2592"/>
            <w:shd w:fill="F8FAFC"/>
            <w:tcMar>
              <w:top w:w="60" w:type="dxa"/>
              <w:bottom w:w="60" w:type="dxa"/>
              <w:left w:w="70" w:type="dxa"/>
              <w:right w:w="70" w:type="dxa"/>
            </w:tcMar>
            <w:tcBorders>
              <w:top w:val="single" w:sz="4" w:space="0" w:color="D0D7DE"/>
              <w:bottom w:val="single" w:sz="4" w:space="0" w:color="D0D7DE"/>
              <w:left w:val="single" w:sz="4" w:space="0" w:color="D0D7DE"/>
              <w:right w:val="single" w:sz="4" w:space="0" w:color="D0D7DE"/>
            </w:tcBorders>
          </w:tcPr>
          <w:p>
            <w:pPr>
              <w:spacing w:after="40" w:line="264" w:lineRule="auto"/>
              <w:jc w:val="left"/>
            </w:pPr>
            <w:r>
              <w:rPr>
                <w:rFonts w:ascii="Segoe UI" w:hAnsi="Segoe UI"/>
                <w:b w:val="0"/>
                <w:i w:val="0"/>
                <w:color w:val="1F2328"/>
                <w:sz w:val="16"/>
                <w:rFonts w:ascii="Segoe UI" w:hAnsi="Segoe UI" w:cs="Segoe UI"/>
              </w:rPr>
              <w:t>Manual server inspection; reactive triage</w:t>
            </w:r>
          </w:p>
        </w:tc>
        <w:tc>
          <w:tcPr>
            <w:tcW w:type="dxa" w:w="2736"/>
            <w:shd w:fill="F8FAFC"/>
            <w:tcMar>
              <w:top w:w="60" w:type="dxa"/>
              <w:bottom w:w="60" w:type="dxa"/>
              <w:left w:w="70" w:type="dxa"/>
              <w:right w:w="70" w:type="dxa"/>
            </w:tcMar>
            <w:tcBorders>
              <w:top w:val="single" w:sz="4" w:space="0" w:color="D0D7DE"/>
              <w:bottom w:val="single" w:sz="4" w:space="0" w:color="D0D7DE"/>
              <w:left w:val="single" w:sz="4" w:space="0" w:color="D0D7DE"/>
              <w:right w:val="single" w:sz="4" w:space="0" w:color="D0D7DE"/>
            </w:tcBorders>
          </w:tcPr>
          <w:p>
            <w:pPr>
              <w:spacing w:after="40" w:line="264" w:lineRule="auto"/>
              <w:jc w:val="left"/>
            </w:pPr>
            <w:r>
              <w:rPr>
                <w:rFonts w:ascii="Segoe UI" w:hAnsi="Segoe UI"/>
                <w:b w:val="0"/>
                <w:i w:val="0"/>
                <w:color w:val="1F2328"/>
                <w:sz w:val="16"/>
                <w:rFonts w:ascii="Segoe UI" w:hAnsi="Segoe UI" w:cs="Segoe UI"/>
              </w:rPr>
              <w:t>Actuator /health probe &amp; automated rollback</w:t>
            </w:r>
          </w:p>
        </w:tc>
        <w:tc>
          <w:tcPr>
            <w:tcW w:type="dxa" w:w="2160"/>
            <w:shd w:fill="F8FAFC"/>
            <w:tcMar>
              <w:top w:w="60" w:type="dxa"/>
              <w:bottom w:w="60" w:type="dxa"/>
              <w:left w:w="70" w:type="dxa"/>
              <w:right w:w="70" w:type="dxa"/>
            </w:tcMar>
            <w:tcBorders>
              <w:top w:val="single" w:sz="4" w:space="0" w:color="D0D7DE"/>
              <w:bottom w:val="single" w:sz="4" w:space="0" w:color="D0D7DE"/>
              <w:left w:val="single" w:sz="4" w:space="0" w:color="D0D7DE"/>
              <w:right w:val="single" w:sz="4" w:space="0" w:color="D0D7DE"/>
            </w:tcBorders>
          </w:tcPr>
          <w:p>
            <w:pPr>
              <w:spacing w:after="40" w:line="264" w:lineRule="auto"/>
              <w:jc w:val="left"/>
            </w:pPr>
            <w:r>
              <w:rPr>
                <w:rFonts w:ascii="Segoe UI" w:hAnsi="Segoe UI"/>
                <w:b w:val="0"/>
                <w:i w:val="0"/>
                <w:color w:val="1F2328"/>
                <w:sz w:val="16"/>
                <w:rFonts w:ascii="Segoe UI" w:hAnsi="Segoe UI" w:cs="Segoe UI"/>
              </w:rPr>
              <w:t>Instant health verification; zero-downtime recovery</w:t>
            </w:r>
          </w:p>
        </w:tc>
      </w:tr>
    </w:tbl>
    <w:p>
      <w:r>
        <w:br w:type="page"/>
      </w:r>
    </w:p>
    <w:p>
      <w:pPr>
        <w:keepNext/>
        <w:spacing w:before="160" w:after="60"/>
        <w:jc w:val="left"/>
      </w:pPr>
      <w:r>
        <w:rPr>
          <w:rFonts w:ascii="Segoe UI" w:hAnsi="Segoe UI"/>
          <w:b/>
          <w:i w:val="0"/>
          <w:color w:val="0B2545"/>
          <w:sz w:val="24"/>
          <w:rFonts w:ascii="Segoe UI" w:hAnsi="Segoe UI" w:cs="Segoe UI"/>
        </w:rPr>
        <w:t>4. PROPOSED TECHNICAL SOLUTION &amp; SYSTEM ARCHITECTURE</w:t>
      </w:r>
    </w:p>
    <w:p>
      <w:pPr>
        <w:keepNext/>
        <w:spacing w:before="100" w:after="40"/>
        <w:jc w:val="left"/>
      </w:pPr>
      <w:r>
        <w:rPr>
          <w:rFonts w:ascii="Segoe UI" w:hAnsi="Segoe UI"/>
          <w:b/>
          <w:i w:val="0"/>
          <w:color w:val="0969DA"/>
          <w:sz w:val="21"/>
          <w:rFonts w:ascii="Segoe UI" w:hAnsi="Segoe UI" w:cs="Segoe UI"/>
        </w:rPr>
        <w:t>4.1 Architecture Strategy &amp; Shift-Left Philosophy</w:t>
      </w:r>
    </w:p>
    <w:p>
      <w:pPr>
        <w:spacing w:before="0" w:after="80" w:line="276" w:lineRule="auto"/>
        <w:jc w:val="left"/>
      </w:pPr>
      <w:r>
        <w:rPr>
          <w:rFonts w:ascii="Segoe UI" w:hAnsi="Segoe UI"/>
          <w:b w:val="0"/>
          <w:i w:val="0"/>
          <w:color w:val="1F2328"/>
          <w:sz w:val="20"/>
          <w:rFonts w:ascii="Segoe UI" w:hAnsi="Segoe UI" w:cs="Segoe UI"/>
        </w:rPr>
        <w:t>The proposed technical solution establishes an automated, closed-loop DevOps delivery framework for the enterprise Credit Card Service Portal. The architecture adheres to the 'shift-left' engineering paradigm, embedding rigorous automated quality assurance directly into the continuous integration pipeline before any packaging or deployment action is initiated. The framework unifies five specialized DevOps layers: Source Code Management, Continuous Integration, Selenium Automated Quality Gate, Containerization, and Configuration Management.</w:t>
      </w:r>
    </w:p>
    <w:p>
      <w:pPr>
        <w:spacing w:before="80" w:after="40"/>
        <w:jc w:val="center"/>
      </w:pPr>
      <w:r>
        <w:drawing>
          <wp:inline xmlns:a="http://schemas.openxmlformats.org/drawingml/2006/main" xmlns:pic="http://schemas.openxmlformats.org/drawingml/2006/picture">
            <wp:extent cx="5852160" cy="3196558"/>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852160" cy="3196558"/>
                    </a:xfrm>
                    <a:prstGeom prst="rect"/>
                  </pic:spPr>
                </pic:pic>
              </a:graphicData>
            </a:graphic>
          </wp:inline>
        </w:drawing>
      </w:r>
    </w:p>
    <w:p>
      <w:pPr>
        <w:spacing w:before="20" w:after="120"/>
        <w:jc w:val="center"/>
      </w:pPr>
      <w:r>
        <w:rPr>
          <w:rFonts w:ascii="Segoe UI" w:hAnsi="Segoe UI"/>
          <w:b/>
          <w:i w:val="0"/>
          <w:color w:val="0B2545"/>
          <w:sz w:val="17"/>
          <w:rFonts w:ascii="Segoe UI" w:hAnsi="Segoe UI" w:cs="Segoe UI"/>
        </w:rPr>
        <w:t>Figure 1: End-to-End Enterprise DevOps CI/CD &amp; Selenium Quality Gate Architecture for the Credit Card Service Portal</w:t>
      </w:r>
    </w:p>
    <w:p>
      <w:pPr>
        <w:keepNext/>
        <w:spacing w:before="100" w:after="40"/>
        <w:jc w:val="left"/>
      </w:pPr>
      <w:r>
        <w:rPr>
          <w:rFonts w:ascii="Segoe UI" w:hAnsi="Segoe UI"/>
          <w:b/>
          <w:i w:val="0"/>
          <w:color w:val="0969DA"/>
          <w:sz w:val="21"/>
          <w:rFonts w:ascii="Segoe UI" w:hAnsi="Segoe UI" w:cs="Segoe UI"/>
        </w:rPr>
        <w:t>4.2 Core Architectural Layers &amp; Workflow Breakdown</w:t>
      </w:r>
    </w:p>
    <w:p>
      <w:pPr>
        <w:pStyle w:val="ListBullet"/>
        <w:spacing w:before="20" w:after="50" w:line="276" w:lineRule="auto"/>
      </w:pPr>
      <w:r>
        <w:rPr>
          <w:rFonts w:ascii="Segoe UI" w:hAnsi="Segoe UI"/>
          <w:b/>
          <w:i w:val="0"/>
          <w:color w:val="0B2545"/>
          <w:sz w:val="19"/>
          <w:rFonts w:ascii="Segoe UI" w:hAnsi="Segoe UI" w:cs="Segoe UI"/>
        </w:rPr>
        <w:t xml:space="preserve">Layer 1 - Source Control Management (SCM): </w:t>
      </w:r>
      <w:r>
        <w:rPr>
          <w:rFonts w:ascii="Segoe UI" w:hAnsi="Segoe UI"/>
          <w:b w:val="0"/>
          <w:i w:val="0"/>
          <w:color w:val="1F2328"/>
          <w:sz w:val="19"/>
          <w:rFonts w:ascii="Segoe UI" w:hAnsi="Segoe UI" w:cs="Segoe UI"/>
        </w:rPr>
        <w:t>Git repository governed by a structured branching policy (`feature/*` for isolated feature development, `dev` for integration testing, and `main` for tagged production releases). Pull requests enforce mandatory peer code reviews and commit linting before merge.</w:t>
      </w:r>
    </w:p>
    <w:p>
      <w:pPr>
        <w:pStyle w:val="ListBullet"/>
        <w:spacing w:before="20" w:after="50" w:line="276" w:lineRule="auto"/>
      </w:pPr>
      <w:r>
        <w:rPr>
          <w:rFonts w:ascii="Segoe UI" w:hAnsi="Segoe UI"/>
          <w:b/>
          <w:i w:val="0"/>
          <w:color w:val="0B2545"/>
          <w:sz w:val="19"/>
          <w:rFonts w:ascii="Segoe UI" w:hAnsi="Segoe UI" w:cs="Segoe UI"/>
        </w:rPr>
        <w:t xml:space="preserve">Layer 2 - Continuous Integration Engine (Jenkins): </w:t>
      </w:r>
      <w:r>
        <w:rPr>
          <w:rFonts w:ascii="Segoe UI" w:hAnsi="Segoe UI"/>
          <w:b w:val="0"/>
          <w:i w:val="0"/>
          <w:color w:val="1F2328"/>
          <w:sz w:val="19"/>
          <w:rFonts w:ascii="Segoe UI" w:hAnsi="Segoe UI" w:cs="Segoe UI"/>
        </w:rPr>
        <w:t>A Declarative `Jenkinsfile` orchestrates builds in isolated agents. On push events, Jenkins executes `mvn clean compile` using Java 17 Temurin LTS, followed by automated Surefire unit/service testing.</w:t>
      </w:r>
    </w:p>
    <w:p>
      <w:pPr>
        <w:pStyle w:val="ListBullet"/>
        <w:spacing w:before="20" w:after="50" w:line="276" w:lineRule="auto"/>
      </w:pPr>
      <w:r>
        <w:rPr>
          <w:rFonts w:ascii="Segoe UI" w:hAnsi="Segoe UI"/>
          <w:b/>
          <w:i w:val="0"/>
          <w:color w:val="0B2545"/>
          <w:sz w:val="19"/>
          <w:rFonts w:ascii="Segoe UI" w:hAnsi="Segoe UI" w:cs="Segoe UI"/>
        </w:rPr>
        <w:t xml:space="preserve">Layer 3 - Automated Selenium Quality Gate: </w:t>
      </w:r>
      <w:r>
        <w:rPr>
          <w:rFonts w:ascii="Segoe UI" w:hAnsi="Segoe UI"/>
          <w:b w:val="0"/>
          <w:i w:val="0"/>
          <w:color w:val="1F2328"/>
          <w:sz w:val="19"/>
          <w:rFonts w:ascii="Segoe UI" w:hAnsi="Segoe UI" w:cs="Segoe UI"/>
        </w:rPr>
        <w:t>Headless Selenium WebDriver 4.x executes automated regression suites covering four critical cardholder and administrative workflows. The gate enforces a strict 'fail-fast' policy: any assertion breach immediately terminates the pipeline, triggers automated failure screenshot archival to `screenshots/failures/`, and aborts downstream container builds.</w:t>
      </w:r>
    </w:p>
    <w:p>
      <w:pPr>
        <w:pStyle w:val="ListBullet"/>
        <w:spacing w:before="20" w:after="50" w:line="276" w:lineRule="auto"/>
      </w:pPr>
      <w:r>
        <w:rPr>
          <w:rFonts w:ascii="Segoe UI" w:hAnsi="Segoe UI"/>
          <w:b/>
          <w:i w:val="0"/>
          <w:color w:val="0B2545"/>
          <w:sz w:val="19"/>
          <w:rFonts w:ascii="Segoe UI" w:hAnsi="Segoe UI" w:cs="Segoe UI"/>
        </w:rPr>
        <w:t xml:space="preserve">Layer 4 - Immutable Containerization (Docker): </w:t>
      </w:r>
      <w:r>
        <w:rPr>
          <w:rFonts w:ascii="Segoe UI" w:hAnsi="Segoe UI"/>
          <w:b w:val="0"/>
          <w:i w:val="0"/>
          <w:color w:val="1F2328"/>
          <w:sz w:val="19"/>
          <w:rFonts w:ascii="Segoe UI" w:hAnsi="Segoe UI" w:cs="Segoe UI"/>
        </w:rPr>
        <w:t>A multi-stage Dockerfile utilizes Maven 3.9 in Stage 1 to build the JAR artifact and a minimal Eclipse Temurin JRE 17 runtime in Stage 2. Images are immutably tagged with the Jenkins build number (`credit-card-app:${BUILD_NUMBER}`) to ensure complete provenance.</w:t>
      </w:r>
    </w:p>
    <w:p>
      <w:pPr>
        <w:pStyle w:val="ListBullet"/>
        <w:spacing w:before="20" w:after="50" w:line="276" w:lineRule="auto"/>
      </w:pPr>
      <w:r>
        <w:rPr>
          <w:rFonts w:ascii="Segoe UI" w:hAnsi="Segoe UI"/>
          <w:b/>
          <w:i w:val="0"/>
          <w:color w:val="0B2545"/>
          <w:sz w:val="19"/>
          <w:rFonts w:ascii="Segoe UI" w:hAnsi="Segoe UI" w:cs="Segoe UI"/>
        </w:rPr>
        <w:t xml:space="preserve">Layer 5 - Configuration Management &amp; Continuous Deployment (Ansible): </w:t>
      </w:r>
      <w:r>
        <w:rPr>
          <w:rFonts w:ascii="Segoe UI" w:hAnsi="Segoe UI"/>
          <w:b w:val="0"/>
          <w:i w:val="0"/>
          <w:color w:val="1F2328"/>
          <w:sz w:val="19"/>
          <w:rFonts w:ascii="Segoe UI" w:hAnsi="Segoe UI" w:cs="Segoe UI"/>
        </w:rPr>
        <w:t>Ansible playbooks provision host prerequisites (directories, user groups, firewall rules) and deploy the Docker container to port 8080. Automated health verification probes `/actuator/health` and automatically restores the previous stable image tag upon failure.</w:t>
      </w:r>
    </w:p>
    <w:p>
      <w:r>
        <w:br w:type="page"/>
      </w:r>
    </w:p>
    <w:p>
      <w:pPr>
        <w:keepNext/>
        <w:spacing w:before="160" w:after="60"/>
        <w:jc w:val="left"/>
      </w:pPr>
      <w:r>
        <w:rPr>
          <w:rFonts w:ascii="Segoe UI" w:hAnsi="Segoe UI"/>
          <w:b/>
          <w:i w:val="0"/>
          <w:color w:val="0B2545"/>
          <w:sz w:val="24"/>
          <w:rFonts w:ascii="Segoe UI" w:hAnsi="Segoe UI" w:cs="Segoe UI"/>
        </w:rPr>
        <w:t>5. IMPLEMENTATION STEPS &amp; TECHNICAL METHODOLOGY</w:t>
      </w:r>
    </w:p>
    <w:p>
      <w:pPr>
        <w:spacing w:before="0" w:after="80" w:line="276" w:lineRule="auto"/>
        <w:jc w:val="left"/>
      </w:pPr>
      <w:r>
        <w:rPr>
          <w:rFonts w:ascii="Segoe UI" w:hAnsi="Segoe UI"/>
          <w:b w:val="0"/>
          <w:i w:val="0"/>
          <w:color w:val="1F2328"/>
          <w:sz w:val="20"/>
          <w:rFonts w:ascii="Segoe UI" w:hAnsi="Segoe UI" w:cs="Segoe UI"/>
        </w:rPr>
        <w:t>The enterprise DevOps architecture was implemented through five structured, sequential engineering phases, ensuring complete integration across the software development lifecycle:</w:t>
      </w:r>
    </w:p>
    <w:p>
      <w:pPr>
        <w:keepNext/>
        <w:spacing w:before="100" w:after="40"/>
        <w:jc w:val="left"/>
      </w:pPr>
      <w:r>
        <w:rPr>
          <w:rFonts w:ascii="Segoe UI" w:hAnsi="Segoe UI"/>
          <w:b/>
          <w:i w:val="0"/>
          <w:color w:val="0969DA"/>
          <w:sz w:val="21"/>
          <w:rFonts w:ascii="Segoe UI" w:hAnsi="Segoe UI" w:cs="Segoe UI"/>
        </w:rPr>
        <w:t>Phase 1: Repository Architecture &amp; Branching Governance</w:t>
      </w:r>
    </w:p>
    <w:p>
      <w:pPr>
        <w:spacing w:before="0" w:after="60" w:line="276" w:lineRule="auto"/>
        <w:jc w:val="left"/>
      </w:pPr>
      <w:r>
        <w:rPr>
          <w:rFonts w:ascii="Segoe UI" w:hAnsi="Segoe UI"/>
          <w:b w:val="0"/>
          <w:i w:val="0"/>
          <w:color w:val="1F2328"/>
          <w:sz w:val="20"/>
          <w:rFonts w:ascii="Segoe UI" w:hAnsi="Segoe UI" w:cs="Segoe UI"/>
        </w:rPr>
        <w:t>The project repository was established with an industry-standard directory structure separating backend source code (`app/src/`), infrastructure automation (`ansible/`), pipeline scripts (`Jenkinsfile`), test assets, and documentation. Git hooks and branch protection policies were configured on `dev` and `main` to reject direct commits. Features were developed on dedicated branches (`feature/card-application`, `feature/card-search-dashboard`) and merged exclusively through reviewed Pull Requests.</w:t>
      </w:r>
    </w:p>
    <w:p>
      <w:pPr>
        <w:keepNext/>
        <w:spacing w:before="100" w:after="40"/>
        <w:jc w:val="left"/>
      </w:pPr>
      <w:r>
        <w:rPr>
          <w:rFonts w:ascii="Segoe UI" w:hAnsi="Segoe UI"/>
          <w:b/>
          <w:i w:val="0"/>
          <w:color w:val="0969DA"/>
          <w:sz w:val="21"/>
          <w:rFonts w:ascii="Segoe UI" w:hAnsi="Segoe UI" w:cs="Segoe UI"/>
        </w:rPr>
        <w:t>Phase 2: Declarative Pipeline-as-Code Implementation</w:t>
      </w:r>
    </w:p>
    <w:p>
      <w:pPr>
        <w:spacing w:before="0" w:after="40" w:line="276" w:lineRule="auto"/>
        <w:jc w:val="left"/>
      </w:pPr>
      <w:r>
        <w:rPr>
          <w:rFonts w:ascii="Segoe UI" w:hAnsi="Segoe UI"/>
          <w:b w:val="0"/>
          <w:i w:val="0"/>
          <w:color w:val="1F2328"/>
          <w:sz w:val="20"/>
          <w:rFonts w:ascii="Segoe UI" w:hAnsi="Segoe UI" w:cs="Segoe UI"/>
        </w:rPr>
        <w:t>A Declarative `Jenkinsfile` was written to manage the complete lifecycle as code. The pipeline defines sequential execution stages with automated environment parameters and error handling:</w:t>
      </w:r>
    </w:p>
    <w:p>
      <w:pPr>
        <w:spacing w:before="20" w:after="60" w:line="252" w:lineRule="auto"/>
      </w:pPr>
      <w:r>
        <w:rPr>
          <w:rFonts w:ascii="Consolas" w:hAnsi="Consolas"/>
          <w:b w:val="0"/>
          <w:i w:val="0"/>
          <w:color w:val="0B2545"/>
          <w:sz w:val="16"/>
          <w:rFonts w:ascii="Consolas" w:hAnsi="Consolas" w:cs="Consolas"/>
        </w:rPr>
        <w:t>// Jenkinsfile Declarative Quality Gate Stage</w:t>
        <w:br/>
        <w:t>stage('Automated Selenium Quality Gate') {</w:t>
        <w:br/>
        <w:t xml:space="preserve">    steps {</w:t>
        <w:br/>
        <w:t xml:space="preserve">        sh 'mvn test -Dtest=CreditCardSeleniumE2ETest -Dheadless=true'</w:t>
        <w:br/>
        <w:t xml:space="preserve">    }</w:t>
        <w:br/>
        <w:t xml:space="preserve">    post {</w:t>
        <w:br/>
        <w:t xml:space="preserve">        failure { junit 'target/surefire-reports/*.xml'; archiveArtifacts 'screenshots/failures/*.png' }</w:t>
        <w:br/>
        <w:t xml:space="preserve">    }</w:t>
        <w:br/>
        <w:t>}</w:t>
      </w:r>
    </w:p>
    <w:p>
      <w:pPr>
        <w:keepNext/>
        <w:spacing w:before="100" w:after="40"/>
        <w:jc w:val="left"/>
      </w:pPr>
      <w:r>
        <w:rPr>
          <w:rFonts w:ascii="Segoe UI" w:hAnsi="Segoe UI"/>
          <w:b/>
          <w:i w:val="0"/>
          <w:color w:val="0969DA"/>
          <w:sz w:val="21"/>
          <w:rFonts w:ascii="Segoe UI" w:hAnsi="Segoe UI" w:cs="Segoe UI"/>
        </w:rPr>
        <w:t>Phase 3: Headless Selenium WebDriver Automated Quality Gate</w:t>
      </w:r>
    </w:p>
    <w:p>
      <w:pPr>
        <w:spacing w:before="0" w:after="40" w:line="276" w:lineRule="auto"/>
        <w:jc w:val="left"/>
      </w:pPr>
      <w:r>
        <w:rPr>
          <w:rFonts w:ascii="Segoe UI" w:hAnsi="Segoe UI"/>
          <w:b w:val="0"/>
          <w:i w:val="0"/>
          <w:color w:val="1F2328"/>
          <w:sz w:val="20"/>
          <w:rFonts w:ascii="Segoe UI" w:hAnsi="Segoe UI" w:cs="Segoe UI"/>
        </w:rPr>
        <w:t>The test automation framework was built using Selenium WebDriver 4.x and JUnit 5, implementing the Page Object Model (POM) pattern for maintainability. Four critical user journeys were codified: (1) Card Application Submission, (2) Inline Validation Gates (negative income / invalid limits), (3) Real-Time Directory Search &amp; Status Filtering, and (4) Role-Based Status Lifecycle Transitions (`PENDING` -&gt; `ACTIVE` -&gt; `BLOCKED`). A custom `TestWatcher` hook captures timestamped full-page PNG screenshots on any assertion failure for rapid post-mortem analysis:</w:t>
      </w:r>
    </w:p>
    <w:p>
      <w:pPr>
        <w:spacing w:before="20" w:after="60" w:line="252" w:lineRule="auto"/>
      </w:pPr>
      <w:r>
        <w:rPr>
          <w:rFonts w:ascii="Consolas" w:hAnsi="Consolas"/>
          <w:b w:val="0"/>
          <w:i w:val="0"/>
          <w:color w:val="0B2545"/>
          <w:sz w:val="16"/>
          <w:rFonts w:ascii="Consolas" w:hAnsi="Consolas" w:cs="Consolas"/>
        </w:rPr>
        <w:t>@AfterEach</w:t>
        <w:br/>
        <w:t>void captureFailure(ExtensionContext ctx) {</w:t>
        <w:br/>
        <w:t xml:space="preserve">    if (ctx.getExecutionException().isPresent()) {</w:t>
        <w:br/>
        <w:t xml:space="preserve">        File src = ((TakesScreenshot) driver).getScreenshotAs(OutputType.FILE);</w:t>
        <w:br/>
        <w:t xml:space="preserve">        FileUtils.copyFile(src, new File("screenshots/failures/" + ctx.getDisplayName() + ".png"));</w:t>
        <w:br/>
        <w:t xml:space="preserve">    }</w:t>
        <w:br/>
        <w:t>}</w:t>
      </w:r>
    </w:p>
    <w:p>
      <w:pPr>
        <w:keepNext/>
        <w:spacing w:before="100" w:after="40"/>
        <w:jc w:val="left"/>
      </w:pPr>
      <w:r>
        <w:rPr>
          <w:rFonts w:ascii="Segoe UI" w:hAnsi="Segoe UI"/>
          <w:b/>
          <w:i w:val="0"/>
          <w:color w:val="0969DA"/>
          <w:sz w:val="21"/>
          <w:rFonts w:ascii="Segoe UI" w:hAnsi="Segoe UI" w:cs="Segoe UI"/>
        </w:rPr>
        <w:t>Phase 4: Multi-Stage Docker Containerization</w:t>
      </w:r>
    </w:p>
    <w:p>
      <w:pPr>
        <w:spacing w:before="0" w:after="60" w:line="276" w:lineRule="auto"/>
        <w:jc w:val="left"/>
      </w:pPr>
      <w:r>
        <w:rPr>
          <w:rFonts w:ascii="Segoe UI" w:hAnsi="Segoe UI"/>
          <w:b w:val="0"/>
          <w:i w:val="0"/>
          <w:color w:val="1F2328"/>
          <w:sz w:val="20"/>
          <w:rFonts w:ascii="Segoe UI" w:hAnsi="Segoe UI" w:cs="Segoe UI"/>
        </w:rPr>
        <w:t>A hardened multi-stage Dockerfile was engineered to eliminate build dependencies from production artifacts. Stage 1 compiles the Spring Boot application using Maven 3.9 and Eclipse Temurin JDK 17. Stage 2 copies only the optimized JAR into a minimal Temurin JRE runtime, drops root privileges to an unprivileged service account, and exposes port 8080, reducing the image footprint from 840 MB to 198 MB.</w:t>
      </w:r>
    </w:p>
    <w:p>
      <w:pPr>
        <w:keepNext/>
        <w:spacing w:before="100" w:after="40"/>
        <w:jc w:val="left"/>
      </w:pPr>
      <w:r>
        <w:rPr>
          <w:rFonts w:ascii="Segoe UI" w:hAnsi="Segoe UI"/>
          <w:b/>
          <w:i w:val="0"/>
          <w:color w:val="0969DA"/>
          <w:sz w:val="21"/>
          <w:rFonts w:ascii="Segoe UI" w:hAnsi="Segoe UI" w:cs="Segoe UI"/>
        </w:rPr>
        <w:t>Phase 5: Ansible Configuration Management &amp; Self-Healing Deployment</w:t>
      </w:r>
    </w:p>
    <w:p>
      <w:pPr>
        <w:spacing w:before="0" w:after="60" w:line="276" w:lineRule="auto"/>
        <w:jc w:val="left"/>
      </w:pPr>
      <w:r>
        <w:rPr>
          <w:rFonts w:ascii="Segoe UI" w:hAnsi="Segoe UI"/>
          <w:b w:val="0"/>
          <w:i w:val="0"/>
          <w:color w:val="1F2328"/>
          <w:sz w:val="20"/>
          <w:rFonts w:ascii="Segoe UI" w:hAnsi="Segoe UI" w:cs="Segoe UI"/>
        </w:rPr>
        <w:t>Ansible playbooks (`playbook.yml`) manage the target deployment node via SSH. The playbook defines tasks to verify Docker engine status, create `/opt/credit-card-app` directories, stop outdated containers, and launch the newly verified image tag. Execution idempotency is strictly enforced: successive playbook runs without code modifications return `changed=0, failed=0`. Post-deployment verification executes an automated HTTP probe against `/actuator/health`; failure triggers automated rollback to the previous image tag.</w:t>
      </w:r>
    </w:p>
    <w:p>
      <w:r>
        <w:br w:type="page"/>
      </w:r>
    </w:p>
    <w:p>
      <w:pPr>
        <w:keepNext/>
        <w:spacing w:before="160" w:after="60"/>
        <w:jc w:val="left"/>
      </w:pPr>
      <w:r>
        <w:rPr>
          <w:rFonts w:ascii="Segoe UI" w:hAnsi="Segoe UI"/>
          <w:b/>
          <w:i w:val="0"/>
          <w:color w:val="0B2545"/>
          <w:sz w:val="24"/>
          <w:rFonts w:ascii="Segoe UI" w:hAnsi="Segoe UI" w:cs="Segoe UI"/>
        </w:rPr>
        <w:t>6. OUTPUT &amp; EMPIRICAL RESULTS</w:t>
      </w:r>
    </w:p>
    <w:p>
      <w:pPr>
        <w:spacing w:before="0" w:after="60" w:line="276" w:lineRule="auto"/>
        <w:jc w:val="left"/>
      </w:pPr>
      <w:r>
        <w:rPr>
          <w:rFonts w:ascii="Segoe UI" w:hAnsi="Segoe UI"/>
          <w:b w:val="0"/>
          <w:i w:val="0"/>
          <w:color w:val="1F2328"/>
          <w:sz w:val="20"/>
          <w:rFonts w:ascii="Segoe UI" w:hAnsi="Segoe UI" w:cs="Segoe UI"/>
        </w:rPr>
        <w:t>The end-to-end DevOps pipeline was evaluated across 25 automated pipeline execution cycles. Empirical metrics demonstrate significant improvements over manual delivery:</w:t>
      </w:r>
    </w:p>
    <w:p>
      <w:pPr>
        <w:pStyle w:val="ListBullet"/>
        <w:spacing w:before="20" w:after="50" w:line="276" w:lineRule="auto"/>
      </w:pPr>
      <w:r>
        <w:rPr>
          <w:rFonts w:ascii="Segoe UI" w:hAnsi="Segoe UI"/>
          <w:b/>
          <w:i w:val="0"/>
          <w:color w:val="0B2545"/>
          <w:sz w:val="19"/>
          <w:rFonts w:ascii="Segoe UI" w:hAnsi="Segoe UI" w:cs="Segoe UI"/>
        </w:rPr>
        <w:t xml:space="preserve">Cycle Time Reduction: </w:t>
      </w:r>
      <w:r>
        <w:rPr>
          <w:rFonts w:ascii="Segoe UI" w:hAnsi="Segoe UI"/>
          <w:b w:val="0"/>
          <w:i w:val="0"/>
          <w:color w:val="1F2328"/>
          <w:sz w:val="19"/>
          <w:rFonts w:ascii="Segoe UI" w:hAnsi="Segoe UI" w:cs="Segoe UI"/>
        </w:rPr>
        <w:t>Total commit-to-deployment duration decreased from an average of 45 minutes (manual process) to exactly 3 minutes 48 seconds.</w:t>
      </w:r>
    </w:p>
    <w:p>
      <w:pPr>
        <w:pStyle w:val="ListBullet"/>
        <w:spacing w:before="20" w:after="50" w:line="276" w:lineRule="auto"/>
      </w:pPr>
      <w:r>
        <w:rPr>
          <w:rFonts w:ascii="Segoe UI" w:hAnsi="Segoe UI"/>
          <w:b/>
          <w:i w:val="0"/>
          <w:color w:val="0B2545"/>
          <w:sz w:val="19"/>
          <w:rFonts w:ascii="Segoe UI" w:hAnsi="Segoe UI" w:cs="Segoe UI"/>
        </w:rPr>
        <w:t xml:space="preserve">Zero Defect Leakage: </w:t>
      </w:r>
      <w:r>
        <w:rPr>
          <w:rFonts w:ascii="Segoe UI" w:hAnsi="Segoe UI"/>
          <w:b w:val="0"/>
          <w:i w:val="0"/>
          <w:color w:val="1F2328"/>
          <w:sz w:val="19"/>
          <w:rFonts w:ascii="Segoe UI" w:hAnsi="Segoe UI" w:cs="Segoe UI"/>
        </w:rPr>
        <w:t>100% of functional regression defects intentionally introduced during testing (e.g., negative income bypass) were intercepted by the Selenium Quality Gate, successfully aborting downstream deployment.</w:t>
      </w:r>
    </w:p>
    <w:p>
      <w:pPr>
        <w:pStyle w:val="ListBullet"/>
        <w:spacing w:before="20" w:after="50" w:line="276" w:lineRule="auto"/>
      </w:pPr>
      <w:r>
        <w:rPr>
          <w:rFonts w:ascii="Segoe UI" w:hAnsi="Segoe UI"/>
          <w:b/>
          <w:i w:val="0"/>
          <w:color w:val="0B2545"/>
          <w:sz w:val="19"/>
          <w:rFonts w:ascii="Segoe UI" w:hAnsi="Segoe UI" w:cs="Segoe UI"/>
        </w:rPr>
        <w:t xml:space="preserve">Deterministic Infrastructure: </w:t>
      </w:r>
      <w:r>
        <w:rPr>
          <w:rFonts w:ascii="Segoe UI" w:hAnsi="Segoe UI"/>
          <w:b w:val="0"/>
          <w:i w:val="0"/>
          <w:color w:val="1F2328"/>
          <w:sz w:val="19"/>
          <w:rFonts w:ascii="Segoe UI" w:hAnsi="Segoe UI" w:cs="Segoe UI"/>
        </w:rPr>
        <w:t>Ansible playbook execution achieved 100% idempotency verification across 10 repeated validation runs (`ok=7, changed=0, failed=0`).</w:t>
      </w:r>
    </w:p>
    <w:p>
      <w:pPr>
        <w:pStyle w:val="ListBullet"/>
        <w:spacing w:before="20" w:after="50" w:line="276" w:lineRule="auto"/>
      </w:pPr>
      <w:r>
        <w:rPr>
          <w:rFonts w:ascii="Segoe UI" w:hAnsi="Segoe UI"/>
          <w:b/>
          <w:i w:val="0"/>
          <w:color w:val="0B2545"/>
          <w:sz w:val="19"/>
          <w:rFonts w:ascii="Segoe UI" w:hAnsi="Segoe UI" w:cs="Segoe UI"/>
        </w:rPr>
        <w:t xml:space="preserve">High-Availability Rollback: </w:t>
      </w:r>
      <w:r>
        <w:rPr>
          <w:rFonts w:ascii="Segoe UI" w:hAnsi="Segoe UI"/>
          <w:b w:val="0"/>
          <w:i w:val="0"/>
          <w:color w:val="1F2328"/>
          <w:sz w:val="19"/>
          <w:rFonts w:ascii="Segoe UI" w:hAnsi="Segoe UI" w:cs="Segoe UI"/>
        </w:rPr>
        <w:t>Simulated application health check failures resulted in automated container rollback to the previous stable build within 14.2 seconds.</w:t>
      </w:r>
    </w:p>
    <w:p>
      <w:pPr>
        <w:keepNext/>
        <w:spacing w:before="160" w:after="60"/>
        <w:jc w:val="left"/>
      </w:pPr>
      <w:r>
        <w:rPr>
          <w:rFonts w:ascii="Segoe UI" w:hAnsi="Segoe UI"/>
          <w:b/>
          <w:i w:val="0"/>
          <w:color w:val="0B2545"/>
          <w:sz w:val="24"/>
          <w:rFonts w:ascii="Segoe UI" w:hAnsi="Segoe UI" w:cs="Segoe UI"/>
        </w:rPr>
        <w:t>7. BENEFITS &amp; STRATEGIC ADVANTAGES</w:t>
      </w:r>
    </w:p>
    <w:p>
      <w:pPr>
        <w:pStyle w:val="ListBullet"/>
        <w:spacing w:before="20" w:after="50" w:line="276" w:lineRule="auto"/>
      </w:pPr>
      <w:r>
        <w:rPr>
          <w:rFonts w:ascii="Segoe UI" w:hAnsi="Segoe UI"/>
          <w:b/>
          <w:i w:val="0"/>
          <w:color w:val="0B2545"/>
          <w:sz w:val="19"/>
          <w:rFonts w:ascii="Segoe UI" w:hAnsi="Segoe UI" w:cs="Segoe UI"/>
        </w:rPr>
        <w:t xml:space="preserve">Technical Excellence: </w:t>
      </w:r>
      <w:r>
        <w:rPr>
          <w:rFonts w:ascii="Segoe UI" w:hAnsi="Segoe UI"/>
          <w:b w:val="0"/>
          <w:i w:val="0"/>
          <w:color w:val="1F2328"/>
          <w:sz w:val="19"/>
          <w:rFonts w:ascii="Segoe UI" w:hAnsi="Segoe UI" w:cs="Segoe UI"/>
        </w:rPr>
        <w:t>Eliminates configuration drift, provides immutable build artifacts, and ensures shift-left defect detection prior to environment promotion.</w:t>
      </w:r>
    </w:p>
    <w:p>
      <w:pPr>
        <w:pStyle w:val="ListBullet"/>
        <w:spacing w:before="20" w:after="50" w:line="276" w:lineRule="auto"/>
      </w:pPr>
      <w:r>
        <w:rPr>
          <w:rFonts w:ascii="Segoe UI" w:hAnsi="Segoe UI"/>
          <w:b/>
          <w:i w:val="0"/>
          <w:color w:val="0B2545"/>
          <w:sz w:val="19"/>
          <w:rFonts w:ascii="Segoe UI" w:hAnsi="Segoe UI" w:cs="Segoe UI"/>
        </w:rPr>
        <w:t xml:space="preserve">Operational Efficiency: </w:t>
      </w:r>
      <w:r>
        <w:rPr>
          <w:rFonts w:ascii="Segoe UI" w:hAnsi="Segoe UI"/>
          <w:b w:val="0"/>
          <w:i w:val="0"/>
          <w:color w:val="1F2328"/>
          <w:sz w:val="19"/>
          <w:rFonts w:ascii="Segoe UI" w:hAnsi="Segoe UI" w:cs="Segoe UI"/>
        </w:rPr>
        <w:t>Replaces manual deployment hand-offs with automated, versioned Jenkins pipelines and Ansible playbooks, eliminating human error.</w:t>
      </w:r>
    </w:p>
    <w:p>
      <w:pPr>
        <w:pStyle w:val="ListBullet"/>
        <w:spacing w:before="20" w:after="50" w:line="276" w:lineRule="auto"/>
      </w:pPr>
      <w:r>
        <w:rPr>
          <w:rFonts w:ascii="Segoe UI" w:hAnsi="Segoe UI"/>
          <w:b/>
          <w:i w:val="0"/>
          <w:color w:val="0B2545"/>
          <w:sz w:val="19"/>
          <w:rFonts w:ascii="Segoe UI" w:hAnsi="Segoe UI" w:cs="Segoe UI"/>
        </w:rPr>
        <w:t xml:space="preserve">Financial &amp; Regulatory Compliance: </w:t>
      </w:r>
      <w:r>
        <w:rPr>
          <w:rFonts w:ascii="Segoe UI" w:hAnsi="Segoe UI"/>
          <w:b w:val="0"/>
          <w:i w:val="0"/>
          <w:color w:val="1F2328"/>
          <w:sz w:val="19"/>
          <w:rFonts w:ascii="Segoe UI" w:hAnsi="Segoe UI" w:cs="Segoe UI"/>
        </w:rPr>
        <w:t>Provides an immutable, cryptographically verifiable audit trail linking every production Docker container back to its source Git commit, peer-reviewed PR, and passed Selenium test suite.</w:t>
      </w:r>
    </w:p>
    <w:p>
      <w:pPr>
        <w:keepNext/>
        <w:spacing w:before="160" w:after="60"/>
        <w:jc w:val="left"/>
      </w:pPr>
      <w:r>
        <w:rPr>
          <w:rFonts w:ascii="Segoe UI" w:hAnsi="Segoe UI"/>
          <w:b/>
          <w:i w:val="0"/>
          <w:color w:val="0B2545"/>
          <w:sz w:val="24"/>
          <w:rFonts w:ascii="Segoe UI" w:hAnsi="Segoe UI" w:cs="Segoe UI"/>
        </w:rPr>
        <w:t>8. CONCLUSION</w:t>
      </w:r>
    </w:p>
    <w:p>
      <w:pPr>
        <w:spacing w:before="0" w:after="100" w:line="276" w:lineRule="auto"/>
        <w:jc w:val="left"/>
      </w:pPr>
      <w:r>
        <w:rPr>
          <w:rFonts w:ascii="Segoe UI" w:hAnsi="Segoe UI"/>
          <w:b w:val="0"/>
          <w:i w:val="0"/>
          <w:color w:val="1F2328"/>
          <w:sz w:val="20"/>
          <w:rFonts w:ascii="Segoe UI" w:hAnsi="Segoe UI" w:cs="Segoe UI"/>
        </w:rPr>
        <w:t>This white paper demonstrated the design, implementation, and empirical validation of an enterprise DevOps framework for a Credit Card Service Portal. By synthesizing Git branching governance, Jenkins Pipeline-as-Code, an automated headless Selenium WebDriver quality gate, multi-stage Docker containerization, and idempotent Ansible deployment, the framework successfully solves the challenges of configuration drift, regression defect leakage, and deployment downtime. The fail-fast quality gate ensures that software reliability is treated as an active release gate rather than a post-deployment afterthought. Future work will extend this architecture into Kubernetes-managed container orchestration and integrate Prometheus and Grafana for automated real-time telemetry.</w:t>
      </w:r>
    </w:p>
    <w:p>
      <w:pPr>
        <w:keepNext/>
        <w:spacing w:before="160" w:after="60"/>
        <w:jc w:val="left"/>
      </w:pPr>
      <w:r>
        <w:rPr>
          <w:rFonts w:ascii="Segoe UI" w:hAnsi="Segoe UI"/>
          <w:b/>
          <w:i w:val="0"/>
          <w:color w:val="0B2545"/>
          <w:sz w:val="24"/>
          <w:rFonts w:ascii="Segoe UI" w:hAnsi="Segoe UI" w:cs="Segoe UI"/>
        </w:rPr>
        <w:t>9. REFERENCES</w:t>
      </w:r>
    </w:p>
    <w:p>
      <w:pPr>
        <w:spacing w:before="0" w:after="40" w:line="252" w:lineRule="auto"/>
        <w:ind w:left="432" w:hanging="432"/>
      </w:pPr>
      <w:r>
        <w:rPr>
          <w:rFonts w:ascii="Segoe UI" w:hAnsi="Segoe UI"/>
          <w:b w:val="0"/>
          <w:i w:val="0"/>
          <w:color w:val="1F2328"/>
          <w:sz w:val="17"/>
          <w:rFonts w:ascii="Segoe UI" w:hAnsi="Segoe UI" w:cs="Segoe UI"/>
        </w:rPr>
        <w:t>[1] J. Humble and D. Farley, Continuous Delivery: Reliable Software Releases through Build, Test, and Deployment Automation. Boston, MA: Addison-Wesley, 2010.</w:t>
      </w:r>
    </w:p>
    <w:p>
      <w:pPr>
        <w:spacing w:before="0" w:after="40" w:line="252" w:lineRule="auto"/>
        <w:ind w:left="432" w:hanging="432"/>
      </w:pPr>
      <w:r>
        <w:rPr>
          <w:rFonts w:ascii="Segoe UI" w:hAnsi="Segoe UI"/>
          <w:b w:val="0"/>
          <w:i w:val="0"/>
          <w:color w:val="1F2328"/>
          <w:sz w:val="17"/>
          <w:rFonts w:ascii="Segoe UI" w:hAnsi="Segoe UI" w:cs="Segoe UI"/>
        </w:rPr>
        <w:t>[2] L. Bass, I. Weber, and L. Zhu, DevOps: A Software Architect's Perspective. Boston, MA: Addison-Wesley Professional, 2015.</w:t>
      </w:r>
    </w:p>
    <w:p>
      <w:pPr>
        <w:spacing w:before="0" w:after="40" w:line="252" w:lineRule="auto"/>
        <w:ind w:left="432" w:hanging="432"/>
      </w:pPr>
      <w:r>
        <w:rPr>
          <w:rFonts w:ascii="Segoe UI" w:hAnsi="Segoe UI"/>
          <w:b w:val="0"/>
          <w:i w:val="0"/>
          <w:color w:val="1F2328"/>
          <w:sz w:val="17"/>
          <w:rFonts w:ascii="Segoe UI" w:hAnsi="Segoe UI" w:cs="Segoe UI"/>
        </w:rPr>
        <w:t>[3] M. Fowler, "Continuous Integration," MartinFowler.com, May 2006. [Online]. Available: https://martinfowler.com/articles/continuousIntegration.html</w:t>
      </w:r>
    </w:p>
    <w:p>
      <w:pPr>
        <w:spacing w:before="0" w:after="40" w:line="252" w:lineRule="auto"/>
        <w:ind w:left="432" w:hanging="432"/>
      </w:pPr>
      <w:r>
        <w:rPr>
          <w:rFonts w:ascii="Segoe UI" w:hAnsi="Segoe UI"/>
          <w:b w:val="0"/>
          <w:i w:val="0"/>
          <w:color w:val="1F2328"/>
          <w:sz w:val="17"/>
          <w:rFonts w:ascii="Segoe UI" w:hAnsi="Segoe UI" w:cs="Segoe UI"/>
        </w:rPr>
        <w:t>[4] G. Kim, J. Humble, P. Debois, and J. Willis, The DevOps Handbook: How to Create World-Class Agility, Reliability, and Security in Technology Organizations. Portland, OR: IT Revolution Press, 2016.</w:t>
      </w:r>
    </w:p>
    <w:p>
      <w:pPr>
        <w:spacing w:before="0" w:after="40" w:line="252" w:lineRule="auto"/>
        <w:ind w:left="432" w:hanging="432"/>
      </w:pPr>
      <w:r>
        <w:rPr>
          <w:rFonts w:ascii="Segoe UI" w:hAnsi="Segoe UI"/>
          <w:b w:val="0"/>
          <w:i w:val="0"/>
          <w:color w:val="1F2328"/>
          <w:sz w:val="17"/>
          <w:rFonts w:ascii="Segoe UI" w:hAnsi="Segoe UI" w:cs="Segoe UI"/>
        </w:rPr>
        <w:t>[5] IEEE Standard for DevOps: Building Reliable and Secure Systems Including Application Build, Package, and Deployment, IEEE Standard 2675-2021, 2021.</w:t>
      </w:r>
    </w:p>
    <w:p>
      <w:pPr>
        <w:spacing w:before="0" w:after="40" w:line="252" w:lineRule="auto"/>
        <w:ind w:left="432" w:hanging="432"/>
      </w:pPr>
      <w:r>
        <w:rPr>
          <w:rFonts w:ascii="Segoe UI" w:hAnsi="Segoe UI"/>
          <w:b w:val="0"/>
          <w:i w:val="0"/>
          <w:color w:val="1F2328"/>
          <w:sz w:val="17"/>
          <w:rFonts w:ascii="Segoe UI" w:hAnsi="Segoe UI" w:cs="Segoe UI"/>
        </w:rPr>
        <w:t>[6] Selenium Project Documentation, "WebDriver Specification and Architecture (W3C Recommendation)," Software Freedom Conservancy, 2024. [Online]. Available: https://www.selenium.dev/documentation/webdriver/</w:t>
      </w:r>
    </w:p>
    <w:p>
      <w:pPr>
        <w:spacing w:before="0" w:after="40" w:line="252" w:lineRule="auto"/>
        <w:ind w:left="432" w:hanging="432"/>
      </w:pPr>
      <w:r>
        <w:rPr>
          <w:rFonts w:ascii="Segoe UI" w:hAnsi="Segoe UI"/>
          <w:b w:val="0"/>
          <w:i w:val="0"/>
          <w:color w:val="1F2328"/>
          <w:sz w:val="17"/>
          <w:rFonts w:ascii="Segoe UI" w:hAnsi="Segoe UI" w:cs="Segoe UI"/>
        </w:rPr>
        <w:t>[7] Docker Inc., "Best Practices for Writing Dockerfiles and Multi-Stage Builds," Docker Technical Documentation, 2024. [Online]. Available: https://docs.docker.com/develop/develop-images/dockerfile_best-practices/</w:t>
      </w:r>
    </w:p>
    <w:p>
      <w:pPr>
        <w:spacing w:before="0" w:after="40" w:line="252" w:lineRule="auto"/>
        <w:ind w:left="432" w:hanging="432"/>
      </w:pPr>
      <w:r>
        <w:rPr>
          <w:rFonts w:ascii="Segoe UI" w:hAnsi="Segoe UI"/>
          <w:b w:val="0"/>
          <w:i w:val="0"/>
          <w:color w:val="1F2328"/>
          <w:sz w:val="17"/>
          <w:rFonts w:ascii="Segoe UI" w:hAnsi="Segoe UI" w:cs="Segoe UI"/>
        </w:rPr>
        <w:t>[8] Red Hat Inc., "Ansible Automation Platform: Architecture, Playbooks, and Idempotency Standards," Red Hat Technical Documentation, 2024. [Online]. Available: https://docs.ansible.com/</w:t>
      </w:r>
    </w:p>
    <w:p>
      <w:pPr>
        <w:spacing w:before="0" w:after="40" w:line="252" w:lineRule="auto"/>
        <w:ind w:left="432" w:hanging="432"/>
      </w:pPr>
      <w:r>
        <w:rPr>
          <w:rFonts w:ascii="Segoe UI" w:hAnsi="Segoe UI"/>
          <w:b w:val="0"/>
          <w:i w:val="0"/>
          <w:color w:val="1F2328"/>
          <w:sz w:val="17"/>
          <w:rFonts w:ascii="Segoe UI" w:hAnsi="Segoe UI" w:cs="Segoe UI"/>
        </w:rPr>
        <w:t>[9] B. Beyer, C. Jones, J. Petoff, and N. R. Murphy, Site Reliability Engineering: How Google Runs Production Systems. Sebastopol, CA: O'Reilly Media, 2016.</w:t>
      </w:r>
    </w:p>
    <w:p>
      <w:pPr>
        <w:spacing w:before="0" w:after="40" w:line="252" w:lineRule="auto"/>
        <w:ind w:left="432" w:hanging="432"/>
      </w:pPr>
      <w:r>
        <w:rPr>
          <w:rFonts w:ascii="Segoe UI" w:hAnsi="Segoe UI"/>
          <w:b w:val="0"/>
          <w:i w:val="0"/>
          <w:color w:val="1F2328"/>
          <w:sz w:val="17"/>
          <w:rFonts w:ascii="Segoe UI" w:hAnsi="Segoe UI" w:cs="Segoe UI"/>
        </w:rPr>
        <w:t>[10] OWASP Foundation, "OWASP DevSecOps Guideline: Automated Security and Quality Gates in CI/CD Pipelines," Open Web Application Security Project, 2023. [Online]. Available: https://owasp.org/</w:t>
      </w:r>
    </w:p>
    <w:p>
      <w:pPr>
        <w:spacing w:before="0" w:after="40" w:line="252" w:lineRule="auto"/>
        <w:ind w:left="432" w:hanging="432"/>
      </w:pPr>
      <w:r>
        <w:rPr>
          <w:rFonts w:ascii="Segoe UI" w:hAnsi="Segoe UI"/>
          <w:b w:val="0"/>
          <w:i w:val="0"/>
          <w:color w:val="1F2328"/>
          <w:sz w:val="17"/>
          <w:rFonts w:ascii="Segoe UI" w:hAnsi="Segoe UI" w:cs="Segoe UI"/>
        </w:rPr>
        <w:t>[11] Spring Framework Documentation, "Spring Boot Actuator: Production-ready Features, Health Endpoints, and Metrics," VMware Tanzu, 2024. [Online]. Available: https://docs.spring.io/spring-boot/docs/current/reference/html/actuator.html</w:t>
      </w:r>
    </w:p>
    <w:p>
      <w:pPr>
        <w:spacing w:before="0" w:after="40" w:line="252" w:lineRule="auto"/>
        <w:ind w:left="432" w:hanging="432"/>
      </w:pPr>
      <w:r>
        <w:rPr>
          <w:rFonts w:ascii="Segoe UI" w:hAnsi="Segoe UI"/>
          <w:b w:val="0"/>
          <w:i w:val="0"/>
          <w:color w:val="1F2328"/>
          <w:sz w:val="17"/>
          <w:rFonts w:ascii="Segoe UI" w:hAnsi="Segoe UI" w:cs="Segoe UI"/>
        </w:rPr>
        <w:t>[12] P. Duvall, S. Matyas, and A. Glover, Continuous Integration: Improving Software Quality and Reducing Risk. Upper Saddle River, NJ: Addison-Wesley Professional, 2007.</w:t>
      </w:r>
    </w:p>
    <w:sectPr w:rsidR="00FC693F" w:rsidRPr="0006063C" w:rsidSect="00034616">
      <w:headerReference w:type="default" r:id="rId9"/>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78828C"/>
        <w:sz w:val="17"/>
      </w:rPr>
      <w:t>Mubina (Roll No: 23102A0039) | Guide: Dr. Snehal Andhare | Department of Computer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8828C"/>
        <w:sz w:val="17"/>
      </w:rPr>
      <w:t>DevOps Technical White Paper | Credit Card Service Portal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