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0983F388"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168DDF2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311CC35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377E90A3"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40EF1EAF"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593BDAF9"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2085787A"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Problem Definition and Scope: Study the real-time need for the Credit Card Service Portal. Identify target users, existing pain points, stakeholders, constraints and measurable success criteria. Freeze a small 15-Task MVP scope.</w:t>
            </w:r>
          </w:p>
        </w:tc>
      </w:tr>
      <w:tr w:rsidR="009B1007" w14:paraId="1E6CB567"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and real-time industry context</w:t>
            </w:r>
          </w:p>
          <w:p>
            <w:pPr>
              <w:spacing w:before="20" w:after="60" w:line="276" w:lineRule="auto"/>
            </w:pPr>
            <w:r>
              <w:rPr>
                <w:rFonts w:ascii="Calibri" w:hAnsi="Calibri"/>
                <w:sz w:val="22"/>
              </w:rPr>
              <w:t>In modern retail banking and financial technology ecosystems, credit card services represent a mission-critical, high-volume consumer interaction channel. Traditional banking operations historically relied on manual data entry, paper-based verification, and fragmented branch visits for credit card applications, credit limit adjustments, and card status management. This operational fragmentation results in prolonged turnaround times (TAT), elevated operational expenditure, customer attrition, and vulnerability to human processing errors.</w:t>
            </w:r>
          </w:p>
          <w:p>
            <w:pPr>
              <w:spacing w:before="20" w:after="60" w:line="276" w:lineRule="auto"/>
            </w:pPr>
            <w:r>
              <w:rPr>
                <w:rFonts w:ascii="Calibri" w:hAnsi="Calibri"/>
                <w:sz w:val="22"/>
              </w:rPr>
              <w:t>To solve these enterprise challenges, the Credit Card Service Portal (CCSP) is engineered as an agile, responsive, and secure digital platform. CCSP empowers retail cardholders with self-service capabilities—including digital credit card onboarding, real-time application tracking, credit limit modifications, and instantaneous security freezing/unfreezing. Concurrently, it equips bank relationship managers and credit risk officers with an auditable administrative interface for rapid underwriting and lifecycle governance.</w:t>
            </w:r>
          </w:p>
          <w:p>
            <w:pPr>
              <w:spacing w:before="20" w:after="60" w:line="276" w:lineRule="auto"/>
            </w:pPr>
            <w:r>
              <w:rPr>
                <w:rFonts w:ascii="Calibri" w:hAnsi="Calibri"/>
                <w:sz w:val="22"/>
              </w:rPr>
              <w:t>From an engineering perspective, developing financial portals requires strict adherence to regulatory compliance (such as PCI-DSS guidelines and RBI data protection standards), absolute uptime, and zero-defect deployments. This university laboratory project establishes a comprehensive, automated DevOps delivery pipeline centered around a Selenium WebDriver test automation quality gate, containerized deployment (Docker), and automated infrastructure provisioning (Ansible) for the Credit Card Service Portal.</w:t>
            </w:r>
          </w:p>
          <w:p>
            <w:pPr>
              <w:keepNext/>
              <w:spacing w:before="160" w:after="60" w:line="276" w:lineRule="auto"/>
            </w:pPr>
            <w:r>
              <w:rPr>
                <w:rFonts w:ascii="Calibri" w:hAnsi="Calibri"/>
                <w:b/>
                <w:sz w:val="24"/>
              </w:rPr>
              <w:t>1. Comprehensive problem definition and market need analysis</w:t>
            </w:r>
          </w:p>
          <w:p>
            <w:pPr>
              <w:spacing w:before="20" w:after="60" w:line="276" w:lineRule="auto"/>
            </w:pPr>
            <w:r>
              <w:rPr>
                <w:rFonts w:ascii="Calibri" w:hAnsi="Calibri"/>
                <w:sz w:val="22"/>
              </w:rPr>
              <w:t>A detailed empirical investigation of existing financial service portals reveals four acute operational failure modes that impair both customer satisfaction and organizational agility:</w:t>
            </w:r>
          </w:p>
          <w:p>
            <w:pPr>
              <w:spacing w:before="20" w:after="60" w:line="276" w:lineRule="auto"/>
            </w:pPr>
            <w:r>
              <w:rPr>
                <w:rFonts w:ascii="Calibri" w:hAnsi="Calibri"/>
                <w:b/>
                <w:sz w:val="22"/>
              </w:rPr>
              <w:t xml:space="preserve">• Friction-Heavy Customer Onboarding: </w:t>
            </w:r>
            <w:r>
              <w:rPr>
                <w:rFonts w:ascii="Calibri" w:hAnsi="Calibri"/>
                <w:sz w:val="22"/>
              </w:rPr>
              <w:t xml:space="preserve"> Legacy credit card application workflows necessitate multiple physical document touchpoints, manual income verification, and disjointed back-office handoffs. The industry average for new card issuance spans 5 to 10 business days, leading to high drop-off rates during consumer onboarding.</w:t>
            </w:r>
          </w:p>
          <w:p>
            <w:pPr>
              <w:spacing w:before="20" w:after="60" w:line="276" w:lineRule="auto"/>
            </w:pPr>
            <w:r>
              <w:rPr>
                <w:rFonts w:ascii="Calibri" w:hAnsi="Calibri"/>
                <w:b/>
                <w:sz w:val="22"/>
              </w:rPr>
              <w:t xml:space="preserve">• Delayed Service Request Resolution: </w:t>
            </w:r>
            <w:r>
              <w:rPr>
                <w:rFonts w:ascii="Calibri" w:hAnsi="Calibri"/>
                <w:sz w:val="22"/>
              </w:rPr>
              <w:t xml:space="preserve"> Customers frequently endure extensive IVR waiting queues to perform basic lifecycle requests, such as emergency card blocking, status queries, or limit enhancement requests, leading to severe customer dissatisfaction and escalated operational overhead.</w:t>
            </w:r>
          </w:p>
          <w:p>
            <w:pPr>
              <w:spacing w:before="20" w:after="60" w:line="276" w:lineRule="auto"/>
            </w:pPr>
            <w:r>
              <w:rPr>
                <w:rFonts w:ascii="Calibri" w:hAnsi="Calibri"/>
                <w:b/>
                <w:sz w:val="22"/>
              </w:rPr>
              <w:t xml:space="preserve">• Absence of Automated UI &amp; Regression Gates: </w:t>
            </w:r>
            <w:r>
              <w:rPr>
                <w:rFonts w:ascii="Calibri" w:hAnsi="Calibri"/>
                <w:sz w:val="22"/>
              </w:rPr>
              <w:t xml:space="preserve"> Traditional quality assurance in legacy banking software depends predominantly on manual testing matrices. Consequently, critical UI regressions, cross-browser formatting anomalies, and validation bypasses escape into staging and production environments, necessitating costly emergency patches.</w:t>
            </w:r>
          </w:p>
          <w:p>
            <w:pPr>
              <w:spacing w:before="20" w:after="60" w:line="276" w:lineRule="auto"/>
            </w:pPr>
            <w:r>
              <w:rPr>
                <w:rFonts w:ascii="Calibri" w:hAnsi="Calibri"/>
                <w:b/>
                <w:sz w:val="22"/>
              </w:rPr>
              <w:t xml:space="preserve">• Brittle Release Cycles &amp; Manual Deployments: </w:t>
            </w:r>
            <w:r>
              <w:rPr>
                <w:rFonts w:ascii="Calibri" w:hAnsi="Calibri"/>
                <w:sz w:val="22"/>
              </w:rPr>
              <w:t xml:space="preserve"> Engineering teams and IT operations maintain siloed workflows. Software builds, manual server deployments, and ad-hoc configuration drifts trigger unpredicted downtime during release windows, violating modern high-availability service level agreements (SLAs).</w:t>
            </w:r>
          </w:p>
          <w:p>
            <w:pPr>
              <w:keepNext/>
              <w:spacing w:before="160" w:after="60" w:line="276" w:lineRule="auto"/>
            </w:pPr>
            <w:r>
              <w:rPr>
                <w:rFonts w:ascii="Calibri" w:hAnsi="Calibri"/>
                <w:b/>
                <w:sz w:val="24"/>
              </w:rPr>
              <w:t>2. Target users and comprehensive stakeholder ecosystem</w:t>
            </w:r>
          </w:p>
          <w:p>
            <w:pPr>
              <w:spacing w:before="20" w:after="60" w:line="276" w:lineRule="auto"/>
            </w:pPr>
            <w:r>
              <w:rPr>
                <w:rFonts w:ascii="Calibri" w:hAnsi="Calibri"/>
                <w:sz w:val="22"/>
              </w:rPr>
              <w:t>The Credit Card Service Portal interfaces with six primary stakeholders spanning external consumers, internal banking operations, and technical software delivery teams. Table 1.1 formalizes the stakeholder analysis and interaction profile.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200" w:type="dxa"/>
                  <w:shd w:fill="EAECEE"/>
                </w:tcPr>
                <w:p>
                  <w:pPr>
                    <w:spacing w:before="40" w:after="40" w:line="276" w:lineRule="auto"/>
                    <w:jc w:val="left"/>
                  </w:pPr>
                  <w:r>
                    <w:rPr>
                      <w:rFonts w:ascii="Calibri" w:hAnsi="Calibri"/>
                      <w:b/>
                      <w:sz w:val="19"/>
                    </w:rPr>
                    <w:t>Stakeholder Role</w:t>
                  </w:r>
                </w:p>
              </w:tc>
              <w:tc>
                <w:tcPr>
                  <w:tcW w:w="1500" w:type="dxa"/>
                  <w:shd w:fill="EAECEE"/>
                </w:tcPr>
                <w:p>
                  <w:pPr>
                    <w:spacing w:before="40" w:after="40" w:line="276" w:lineRule="auto"/>
                    <w:jc w:val="left"/>
                  </w:pPr>
                  <w:r>
                    <w:rPr>
                      <w:rFonts w:ascii="Calibri" w:hAnsi="Calibri"/>
                      <w:b/>
                      <w:sz w:val="19"/>
                    </w:rPr>
                    <w:t>Persona Type</w:t>
                  </w:r>
                </w:p>
              </w:tc>
              <w:tc>
                <w:tcPr>
                  <w:tcW w:w="2000" w:type="dxa"/>
                  <w:shd w:fill="EAECEE"/>
                </w:tcPr>
                <w:p>
                  <w:pPr>
                    <w:spacing w:before="40" w:after="40" w:line="276" w:lineRule="auto"/>
                    <w:jc w:val="left"/>
                  </w:pPr>
                  <w:r>
                    <w:rPr>
                      <w:rFonts w:ascii="Calibri" w:hAnsi="Calibri"/>
                      <w:b/>
                      <w:sz w:val="19"/>
                    </w:rPr>
                    <w:t>Primary Strategic Goal</w:t>
                  </w:r>
                </w:p>
              </w:tc>
              <w:tc>
                <w:tcPr>
                  <w:tcW w:w="2000" w:type="dxa"/>
                  <w:shd w:fill="EAECEE"/>
                </w:tcPr>
                <w:p>
                  <w:pPr>
                    <w:spacing w:before="40" w:after="40" w:line="276" w:lineRule="auto"/>
                    <w:jc w:val="left"/>
                  </w:pPr>
                  <w:r>
                    <w:rPr>
                      <w:rFonts w:ascii="Calibri" w:hAnsi="Calibri"/>
                      <w:b/>
                      <w:sz w:val="19"/>
                    </w:rPr>
                    <w:t>Operational Pain Points Addressed</w:t>
                  </w:r>
                </w:p>
              </w:tc>
              <w:tc>
                <w:tcPr>
                  <w:tcW w:w="1200" w:type="dxa"/>
                  <w:shd w:fill="EAECEE"/>
                </w:tcPr>
                <w:p>
                  <w:pPr>
                    <w:spacing w:before="40" w:after="40" w:line="276" w:lineRule="auto"/>
                    <w:jc w:val="left"/>
                  </w:pPr>
                  <w:r>
                    <w:rPr>
                      <w:rFonts w:ascii="Calibri" w:hAnsi="Calibri"/>
                      <w:b/>
                      <w:sz w:val="19"/>
                    </w:rPr>
                    <w:t>DevOps Impact</w:t>
                  </w:r>
                </w:p>
              </w:tc>
            </w:tr>
            <w:tr>
              <w:trPr>
                <w:cantSplit/>
              </w:trPr>
              <w:tc>
                <w:tcPr>
                  <w:tcW w:w="1200" w:type="dxa"/>
                </w:tcPr>
                <w:p>
                  <w:pPr>
                    <w:spacing w:before="40" w:after="40" w:line="276" w:lineRule="auto"/>
                    <w:jc w:val="left"/>
                  </w:pPr>
                  <w:r>
                    <w:rPr>
                      <w:rFonts w:ascii="Calibri" w:hAnsi="Calibri"/>
                      <w:b w:val="0"/>
                      <w:sz w:val="17"/>
                    </w:rPr>
                    <w:t>Retail Card Applicant</w:t>
                  </w:r>
                </w:p>
              </w:tc>
              <w:tc>
                <w:tcPr>
                  <w:tcW w:w="1500" w:type="dxa"/>
                </w:tcPr>
                <w:p>
                  <w:pPr>
                    <w:spacing w:before="40" w:after="40" w:line="276" w:lineRule="auto"/>
                    <w:jc w:val="left"/>
                  </w:pPr>
                  <w:r>
                    <w:rPr>
                      <w:rFonts w:ascii="Calibri" w:hAnsi="Calibri"/>
                      <w:b w:val="0"/>
                      <w:sz w:val="17"/>
                    </w:rPr>
                    <w:t>External End-User</w:t>
                  </w:r>
                </w:p>
              </w:tc>
              <w:tc>
                <w:tcPr>
                  <w:tcW w:w="2000" w:type="dxa"/>
                </w:tcPr>
                <w:p>
                  <w:pPr>
                    <w:spacing w:before="40" w:after="40" w:line="276" w:lineRule="auto"/>
                    <w:jc w:val="left"/>
                  </w:pPr>
                  <w:r>
                    <w:rPr>
                      <w:rFonts w:ascii="Calibri" w:hAnsi="Calibri"/>
                      <w:b w:val="0"/>
                      <w:sz w:val="17"/>
                    </w:rPr>
                    <w:t>Seamless online card application with real-time status visibility</w:t>
                  </w:r>
                </w:p>
              </w:tc>
              <w:tc>
                <w:tcPr>
                  <w:tcW w:w="2000" w:type="dxa"/>
                </w:tcPr>
                <w:p>
                  <w:pPr>
                    <w:spacing w:before="40" w:after="40" w:line="276" w:lineRule="auto"/>
                    <w:jc w:val="left"/>
                  </w:pPr>
                  <w:r>
                    <w:rPr>
                      <w:rFonts w:ascii="Calibri" w:hAnsi="Calibri"/>
                      <w:b w:val="0"/>
                      <w:sz w:val="17"/>
                    </w:rPr>
                    <w:t>Tedious paperwork, lack of status tracking, delayed approvals</w:t>
                  </w:r>
                </w:p>
              </w:tc>
              <w:tc>
                <w:tcPr>
                  <w:tcW w:w="1200" w:type="dxa"/>
                </w:tcPr>
                <w:p>
                  <w:pPr>
                    <w:spacing w:before="40" w:after="40" w:line="276" w:lineRule="auto"/>
                    <w:jc w:val="left"/>
                  </w:pPr>
                  <w:r>
                    <w:rPr>
                      <w:rFonts w:ascii="Calibri" w:hAnsi="Calibri"/>
                      <w:b w:val="0"/>
                      <w:sz w:val="17"/>
                    </w:rPr>
                    <w:t>Consumer Adoption</w:t>
                  </w:r>
                </w:p>
              </w:tc>
            </w:tr>
            <w:tr>
              <w:trPr>
                <w:cantSplit/>
              </w:trPr>
              <w:tc>
                <w:tcPr>
                  <w:tcW w:w="1200" w:type="dxa"/>
                </w:tcPr>
                <w:p>
                  <w:pPr>
                    <w:spacing w:before="40" w:after="40" w:line="276" w:lineRule="auto"/>
                    <w:jc w:val="left"/>
                  </w:pPr>
                  <w:r>
                    <w:rPr>
                      <w:rFonts w:ascii="Calibri" w:hAnsi="Calibri"/>
                      <w:b w:val="0"/>
                      <w:sz w:val="17"/>
                    </w:rPr>
                    <w:t>Active Cardholder</w:t>
                  </w:r>
                </w:p>
              </w:tc>
              <w:tc>
                <w:tcPr>
                  <w:tcW w:w="1500" w:type="dxa"/>
                </w:tcPr>
                <w:p>
                  <w:pPr>
                    <w:spacing w:before="40" w:after="40" w:line="276" w:lineRule="auto"/>
                    <w:jc w:val="left"/>
                  </w:pPr>
                  <w:r>
                    <w:rPr>
                      <w:rFonts w:ascii="Calibri" w:hAnsi="Calibri"/>
                      <w:b w:val="0"/>
                      <w:sz w:val="17"/>
                    </w:rPr>
                    <w:t>External Customer</w:t>
                  </w:r>
                </w:p>
              </w:tc>
              <w:tc>
                <w:tcPr>
                  <w:tcW w:w="2000" w:type="dxa"/>
                </w:tcPr>
                <w:p>
                  <w:pPr>
                    <w:spacing w:before="40" w:after="40" w:line="276" w:lineRule="auto"/>
                    <w:jc w:val="left"/>
                  </w:pPr>
                  <w:r>
                    <w:rPr>
                      <w:rFonts w:ascii="Calibri" w:hAnsi="Calibri"/>
                      <w:b w:val="0"/>
                      <w:sz w:val="17"/>
                    </w:rPr>
                    <w:t>Self-service management of limits, profile updates, and card blocking</w:t>
                  </w:r>
                </w:p>
              </w:tc>
              <w:tc>
                <w:tcPr>
                  <w:tcW w:w="2000" w:type="dxa"/>
                </w:tcPr>
                <w:p>
                  <w:pPr>
                    <w:spacing w:before="40" w:after="40" w:line="276" w:lineRule="auto"/>
                    <w:jc w:val="left"/>
                  </w:pPr>
                  <w:r>
                    <w:rPr>
                      <w:rFonts w:ascii="Calibri" w:hAnsi="Calibri"/>
                      <w:b w:val="0"/>
                      <w:sz w:val="17"/>
                    </w:rPr>
                    <w:t>Long phone support queues for basic servicing requests</w:t>
                  </w:r>
                </w:p>
              </w:tc>
              <w:tc>
                <w:tcPr>
                  <w:tcW w:w="1200" w:type="dxa"/>
                </w:tcPr>
                <w:p>
                  <w:pPr>
                    <w:spacing w:before="40" w:after="40" w:line="276" w:lineRule="auto"/>
                    <w:jc w:val="left"/>
                  </w:pPr>
                  <w:r>
                    <w:rPr>
                      <w:rFonts w:ascii="Calibri" w:hAnsi="Calibri"/>
                      <w:b w:val="0"/>
                      <w:sz w:val="17"/>
                    </w:rPr>
                    <w:t>User Satisfaction</w:t>
                  </w:r>
                </w:p>
              </w:tc>
            </w:tr>
            <w:tr>
              <w:trPr>
                <w:cantSplit/>
              </w:trPr>
              <w:tc>
                <w:tcPr>
                  <w:tcW w:w="1200" w:type="dxa"/>
                </w:tcPr>
                <w:p>
                  <w:pPr>
                    <w:spacing w:before="40" w:after="40" w:line="276" w:lineRule="auto"/>
                    <w:jc w:val="left"/>
                  </w:pPr>
                  <w:r>
                    <w:rPr>
                      <w:rFonts w:ascii="Calibri" w:hAnsi="Calibri"/>
                      <w:b w:val="0"/>
                      <w:sz w:val="17"/>
                    </w:rPr>
                    <w:t>Credit Risk Officer</w:t>
                  </w:r>
                </w:p>
              </w:tc>
              <w:tc>
                <w:tcPr>
                  <w:tcW w:w="1500" w:type="dxa"/>
                </w:tcPr>
                <w:p>
                  <w:pPr>
                    <w:spacing w:before="40" w:after="40" w:line="276" w:lineRule="auto"/>
                    <w:jc w:val="left"/>
                  </w:pPr>
                  <w:r>
                    <w:rPr>
                      <w:rFonts w:ascii="Calibri" w:hAnsi="Calibri"/>
                      <w:b w:val="0"/>
                      <w:sz w:val="17"/>
                    </w:rPr>
                    <w:t>Internal Operations</w:t>
                  </w:r>
                </w:p>
              </w:tc>
              <w:tc>
                <w:tcPr>
                  <w:tcW w:w="2000" w:type="dxa"/>
                </w:tcPr>
                <w:p>
                  <w:pPr>
                    <w:spacing w:before="40" w:after="40" w:line="276" w:lineRule="auto"/>
                    <w:jc w:val="left"/>
                  </w:pPr>
                  <w:r>
                    <w:rPr>
                      <w:rFonts w:ascii="Calibri" w:hAnsi="Calibri"/>
                      <w:b w:val="0"/>
                      <w:sz w:val="17"/>
                    </w:rPr>
                    <w:t>Review submitted applications, verify criteria, and approve/reject cards</w:t>
                  </w:r>
                </w:p>
              </w:tc>
              <w:tc>
                <w:tcPr>
                  <w:tcW w:w="2000" w:type="dxa"/>
                </w:tcPr>
                <w:p>
                  <w:pPr>
                    <w:spacing w:before="40" w:after="40" w:line="276" w:lineRule="auto"/>
                    <w:jc w:val="left"/>
                  </w:pPr>
                  <w:r>
                    <w:rPr>
                      <w:rFonts w:ascii="Calibri" w:hAnsi="Calibri"/>
                      <w:b w:val="0"/>
                      <w:sz w:val="17"/>
                    </w:rPr>
                    <w:t>Disparate paper dossiers, risk of human underwriting errors</w:t>
                  </w:r>
                </w:p>
              </w:tc>
              <w:tc>
                <w:tcPr>
                  <w:tcW w:w="1200" w:type="dxa"/>
                </w:tcPr>
                <w:p>
                  <w:pPr>
                    <w:spacing w:before="40" w:after="40" w:line="276" w:lineRule="auto"/>
                    <w:jc w:val="left"/>
                  </w:pPr>
                  <w:r>
                    <w:rPr>
                      <w:rFonts w:ascii="Calibri" w:hAnsi="Calibri"/>
                      <w:b w:val="0"/>
                      <w:sz w:val="17"/>
                    </w:rPr>
                    <w:t>Operational Speed</w:t>
                  </w:r>
                </w:p>
              </w:tc>
            </w:tr>
            <w:tr>
              <w:trPr>
                <w:cantSplit/>
              </w:trPr>
              <w:tc>
                <w:tcPr>
                  <w:tcW w:w="1200" w:type="dxa"/>
                </w:tcPr>
                <w:p>
                  <w:pPr>
                    <w:spacing w:before="40" w:after="40" w:line="276" w:lineRule="auto"/>
                    <w:jc w:val="left"/>
                  </w:pPr>
                  <w:r>
                    <w:rPr>
                      <w:rFonts w:ascii="Calibri" w:hAnsi="Calibri"/>
                      <w:b w:val="0"/>
                      <w:sz w:val="17"/>
                    </w:rPr>
                    <w:t>Branch Relationship Mgr</w:t>
                  </w:r>
                </w:p>
              </w:tc>
              <w:tc>
                <w:tcPr>
                  <w:tcW w:w="1500" w:type="dxa"/>
                </w:tcPr>
                <w:p>
                  <w:pPr>
                    <w:spacing w:before="40" w:after="40" w:line="276" w:lineRule="auto"/>
                    <w:jc w:val="left"/>
                  </w:pPr>
                  <w:r>
                    <w:rPr>
                      <w:rFonts w:ascii="Calibri" w:hAnsi="Calibri"/>
                      <w:b w:val="0"/>
                      <w:sz w:val="17"/>
                    </w:rPr>
                    <w:t>Internal Business</w:t>
                  </w:r>
                </w:p>
              </w:tc>
              <w:tc>
                <w:tcPr>
                  <w:tcW w:w="2000" w:type="dxa"/>
                </w:tcPr>
                <w:p>
                  <w:pPr>
                    <w:spacing w:before="40" w:after="40" w:line="276" w:lineRule="auto"/>
                    <w:jc w:val="left"/>
                  </w:pPr>
                  <w:r>
                    <w:rPr>
                      <w:rFonts w:ascii="Calibri" w:hAnsi="Calibri"/>
                      <w:b w:val="0"/>
                      <w:sz w:val="17"/>
                    </w:rPr>
                    <w:t>Monitor portfolio health, active vs blocked cards, and customer churn</w:t>
                  </w:r>
                </w:p>
              </w:tc>
              <w:tc>
                <w:tcPr>
                  <w:tcW w:w="2000" w:type="dxa"/>
                </w:tcPr>
                <w:p>
                  <w:pPr>
                    <w:spacing w:before="40" w:after="40" w:line="276" w:lineRule="auto"/>
                    <w:jc w:val="left"/>
                  </w:pPr>
                  <w:r>
                    <w:rPr>
                      <w:rFonts w:ascii="Calibri" w:hAnsi="Calibri"/>
                      <w:b w:val="0"/>
                      <w:sz w:val="17"/>
                    </w:rPr>
                    <w:t>Inability to query card directory in real-time without IT assistance</w:t>
                  </w:r>
                </w:p>
              </w:tc>
              <w:tc>
                <w:tcPr>
                  <w:tcW w:w="1200" w:type="dxa"/>
                </w:tcPr>
                <w:p>
                  <w:pPr>
                    <w:spacing w:before="40" w:after="40" w:line="276" w:lineRule="auto"/>
                    <w:jc w:val="left"/>
                  </w:pPr>
                  <w:r>
                    <w:rPr>
                      <w:rFonts w:ascii="Calibri" w:hAnsi="Calibri"/>
                      <w:b w:val="0"/>
                      <w:sz w:val="17"/>
                    </w:rPr>
                    <w:t>Data Accessibility</w:t>
                  </w:r>
                </w:p>
              </w:tc>
            </w:tr>
            <w:tr>
              <w:trPr>
                <w:cantSplit/>
              </w:trPr>
              <w:tc>
                <w:tcPr>
                  <w:tcW w:w="1200" w:type="dxa"/>
                </w:tcPr>
                <w:p>
                  <w:pPr>
                    <w:spacing w:before="40" w:after="40" w:line="276" w:lineRule="auto"/>
                    <w:jc w:val="left"/>
                  </w:pPr>
                  <w:r>
                    <w:rPr>
                      <w:rFonts w:ascii="Calibri" w:hAnsi="Calibri"/>
                      <w:b w:val="0"/>
                      <w:sz w:val="17"/>
                    </w:rPr>
                    <w:t>QA Automation Engineer</w:t>
                  </w:r>
                </w:p>
              </w:tc>
              <w:tc>
                <w:tcPr>
                  <w:tcW w:w="1500" w:type="dxa"/>
                </w:tcPr>
                <w:p>
                  <w:pPr>
                    <w:spacing w:before="40" w:after="40" w:line="276" w:lineRule="auto"/>
                    <w:jc w:val="left"/>
                  </w:pPr>
                  <w:r>
                    <w:rPr>
                      <w:rFonts w:ascii="Calibri" w:hAnsi="Calibri"/>
                      <w:b w:val="0"/>
                      <w:sz w:val="17"/>
                    </w:rPr>
                    <w:t>Technical Delivery</w:t>
                  </w:r>
                </w:p>
              </w:tc>
              <w:tc>
                <w:tcPr>
                  <w:tcW w:w="2000" w:type="dxa"/>
                </w:tcPr>
                <w:p>
                  <w:pPr>
                    <w:spacing w:before="40" w:after="40" w:line="276" w:lineRule="auto"/>
                    <w:jc w:val="left"/>
                  </w:pPr>
                  <w:r>
                    <w:rPr>
                      <w:rFonts w:ascii="Calibri" w:hAnsi="Calibri"/>
                      <w:b w:val="0"/>
                      <w:sz w:val="17"/>
                    </w:rPr>
                    <w:t>Automate functional validation of user journeys via Selenium WebDriver</w:t>
                  </w:r>
                </w:p>
              </w:tc>
              <w:tc>
                <w:tcPr>
                  <w:tcW w:w="2000" w:type="dxa"/>
                </w:tcPr>
                <w:p>
                  <w:pPr>
                    <w:spacing w:before="40" w:after="40" w:line="276" w:lineRule="auto"/>
                    <w:jc w:val="left"/>
                  </w:pPr>
                  <w:r>
                    <w:rPr>
                      <w:rFonts w:ascii="Calibri" w:hAnsi="Calibri"/>
                      <w:b w:val="0"/>
                      <w:sz w:val="17"/>
                    </w:rPr>
                    <w:t>Time-consuming manual regression testing across browser versions</w:t>
                  </w:r>
                </w:p>
              </w:tc>
              <w:tc>
                <w:tcPr>
                  <w:tcW w:w="1200" w:type="dxa"/>
                </w:tcPr>
                <w:p>
                  <w:pPr>
                    <w:spacing w:before="40" w:after="40" w:line="276" w:lineRule="auto"/>
                    <w:jc w:val="left"/>
                  </w:pPr>
                  <w:r>
                    <w:rPr>
                      <w:rFonts w:ascii="Calibri" w:hAnsi="Calibri"/>
                      <w:b w:val="0"/>
                      <w:sz w:val="17"/>
                    </w:rPr>
                    <w:t>Defect Prevention</w:t>
                  </w:r>
                </w:p>
              </w:tc>
            </w:tr>
            <w:tr>
              <w:trPr>
                <w:cantSplit/>
              </w:trPr>
              <w:tc>
                <w:tcPr>
                  <w:tcW w:w="1200" w:type="dxa"/>
                </w:tcPr>
                <w:p>
                  <w:pPr>
                    <w:spacing w:before="40" w:after="40" w:line="276" w:lineRule="auto"/>
                    <w:jc w:val="left"/>
                  </w:pPr>
                  <w:r>
                    <w:rPr>
                      <w:rFonts w:ascii="Calibri" w:hAnsi="Calibri"/>
                      <w:b w:val="0"/>
                      <w:sz w:val="17"/>
                    </w:rPr>
                    <w:t>DevOps / SRE Engineer</w:t>
                  </w:r>
                </w:p>
              </w:tc>
              <w:tc>
                <w:tcPr>
                  <w:tcW w:w="1500" w:type="dxa"/>
                </w:tcPr>
                <w:p>
                  <w:pPr>
                    <w:spacing w:before="40" w:after="40" w:line="276" w:lineRule="auto"/>
                    <w:jc w:val="left"/>
                  </w:pPr>
                  <w:r>
                    <w:rPr>
                      <w:rFonts w:ascii="Calibri" w:hAnsi="Calibri"/>
                      <w:b w:val="0"/>
                      <w:sz w:val="17"/>
                    </w:rPr>
                    <w:t>Platform Operations</w:t>
                  </w:r>
                </w:p>
              </w:tc>
              <w:tc>
                <w:tcPr>
                  <w:tcW w:w="2000" w:type="dxa"/>
                </w:tcPr>
                <w:p>
                  <w:pPr>
                    <w:spacing w:before="40" w:after="40" w:line="276" w:lineRule="auto"/>
                    <w:jc w:val="left"/>
                  </w:pPr>
                  <w:r>
                    <w:rPr>
                      <w:rFonts w:ascii="Calibri" w:hAnsi="Calibri"/>
                      <w:b w:val="0"/>
                      <w:sz w:val="17"/>
                    </w:rPr>
                    <w:t>Continuous Integration, automated Docker deployment, and zero-drift IaC</w:t>
                  </w:r>
                </w:p>
              </w:tc>
              <w:tc>
                <w:tcPr>
                  <w:tcW w:w="2000" w:type="dxa"/>
                </w:tcPr>
                <w:p>
                  <w:pPr>
                    <w:spacing w:before="40" w:after="40" w:line="276" w:lineRule="auto"/>
                    <w:jc w:val="left"/>
                  </w:pPr>
                  <w:r>
                    <w:rPr>
                      <w:rFonts w:ascii="Calibri" w:hAnsi="Calibri"/>
                      <w:b w:val="0"/>
                      <w:sz w:val="17"/>
                    </w:rPr>
                    <w:t>Manual deployment scripts, unrepeatable server environments</w:t>
                  </w:r>
                </w:p>
              </w:tc>
              <w:tc>
                <w:tcPr>
                  <w:tcW w:w="1200" w:type="dxa"/>
                </w:tcPr>
                <w:p>
                  <w:pPr>
                    <w:spacing w:before="40" w:after="40" w:line="276" w:lineRule="auto"/>
                    <w:jc w:val="left"/>
                  </w:pPr>
                  <w:r>
                    <w:rPr>
                      <w:rFonts w:ascii="Calibri" w:hAnsi="Calibri"/>
                      <w:b w:val="0"/>
                      <w:sz w:val="17"/>
                    </w:rPr>
                    <w:t>System Reliability</w:t>
                  </w:r>
                </w:p>
              </w:tc>
            </w:tr>
          </w:tbl>
          <w:p/>
          <w:p>
            <w:pPr>
              <w:keepNext/>
              <w:spacing w:before="120" w:after="40"/>
              <w:jc w:val="center"/>
            </w:pPr>
            <w:r>
              <w:drawing>
                <wp:inline xmlns:a="http://schemas.openxmlformats.org/drawingml/2006/main" xmlns:pic="http://schemas.openxmlformats.org/drawingml/2006/picture">
                  <wp:extent cx="4937760" cy="2842953"/>
                  <wp:docPr id="2" name="Picture 2"/>
                  <wp:cNvGraphicFramePr>
                    <a:graphicFrameLocks noChangeAspect="1"/>
                  </wp:cNvGraphicFramePr>
                  <a:graphic>
                    <a:graphicData uri="http://schemas.openxmlformats.org/drawingml/2006/picture">
                      <pic:pic>
                        <pic:nvPicPr>
                          <pic:cNvPr id="0" name="fig1_1_stakeholder_ecosystem.png"/>
                          <pic:cNvPicPr/>
                        </pic:nvPicPr>
                        <pic:blipFill>
                          <a:blip r:embed="rId13"/>
                          <a:stretch>
                            <a:fillRect/>
                          </a:stretch>
                        </pic:blipFill>
                        <pic:spPr>
                          <a:xfrm>
                            <a:off x="0" y="0"/>
                            <a:ext cx="4937760" cy="2842953"/>
                          </a:xfrm>
                          <a:prstGeom prst="rect"/>
                        </pic:spPr>
                      </pic:pic>
                    </a:graphicData>
                  </a:graphic>
                </wp:inline>
              </w:drawing>
            </w:r>
          </w:p>
          <w:p>
            <w:pPr>
              <w:keepNext/>
              <w:spacing w:before="40" w:after="160"/>
              <w:jc w:val="center"/>
            </w:pPr>
            <w:r>
              <w:rPr>
                <w:rFonts w:ascii="Calibri" w:hAnsi="Calibri"/>
                <w:b/>
                <w:sz w:val="20"/>
              </w:rPr>
              <w:t>Figure 1.1: Credit Card Service Portal (CCSP) — Stakeholder Interaction &amp; Architecture Ecosystem</w:t>
            </w:r>
          </w:p>
          <w:p>
            <w:pPr>
              <w:keepNext/>
              <w:spacing w:before="160" w:after="60" w:line="276" w:lineRule="auto"/>
            </w:pPr>
            <w:r>
              <w:rPr>
                <w:rFonts w:ascii="Calibri" w:hAnsi="Calibri"/>
                <w:b/>
                <w:sz w:val="24"/>
              </w:rPr>
              <w:t>3. Operational pain points and As-Is vs. To-Be gap analysis</w:t>
            </w:r>
          </w:p>
          <w:p>
            <w:pPr>
              <w:spacing w:before="20" w:after="60" w:line="276" w:lineRule="auto"/>
            </w:pPr>
            <w:r>
              <w:rPr>
                <w:rFonts w:ascii="Calibri" w:hAnsi="Calibri"/>
                <w:sz w:val="22"/>
              </w:rPr>
              <w:t>To establish clear justification for engineering the automated DevOps pipeline, I conducted an As-Is versus To-Be gap analysis comparing traditional credit card operations against the target DevOps-enabled Credit Card Service Portal. Table 1.2 presents this empirical comparison.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300" w:type="dxa"/>
                  <w:shd w:fill="EAECEE"/>
                </w:tcPr>
                <w:p>
                  <w:pPr>
                    <w:spacing w:before="40" w:after="40" w:line="276" w:lineRule="auto"/>
                    <w:jc w:val="left"/>
                  </w:pPr>
                  <w:r>
                    <w:rPr>
                      <w:rFonts w:ascii="Calibri" w:hAnsi="Calibri"/>
                      <w:b/>
                      <w:sz w:val="19"/>
                    </w:rPr>
                    <w:t>Dimension</w:t>
                  </w:r>
                </w:p>
              </w:tc>
              <w:tc>
                <w:tcPr>
                  <w:tcW w:w="1400" w:type="dxa"/>
                  <w:shd w:fill="EAECEE"/>
                </w:tcPr>
                <w:p>
                  <w:pPr>
                    <w:spacing w:before="40" w:after="40" w:line="276" w:lineRule="auto"/>
                    <w:jc w:val="left"/>
                  </w:pPr>
                  <w:r>
                    <w:rPr>
                      <w:rFonts w:ascii="Calibri" w:hAnsi="Calibri"/>
                      <w:b/>
                      <w:sz w:val="19"/>
                    </w:rPr>
                    <w:t>Evaluation Factor</w:t>
                  </w:r>
                </w:p>
              </w:tc>
              <w:tc>
                <w:tcPr>
                  <w:tcW w:w="2100" w:type="dxa"/>
                  <w:shd w:fill="EAECEE"/>
                </w:tcPr>
                <w:p>
                  <w:pPr>
                    <w:spacing w:before="40" w:after="40" w:line="276" w:lineRule="auto"/>
                    <w:jc w:val="left"/>
                  </w:pPr>
                  <w:r>
                    <w:rPr>
                      <w:rFonts w:ascii="Calibri" w:hAnsi="Calibri"/>
                      <w:b/>
                      <w:sz w:val="19"/>
                    </w:rPr>
                    <w:t>As-Is State (Legacy Manual)</w:t>
                  </w:r>
                </w:p>
              </w:tc>
              <w:tc>
                <w:tcPr>
                  <w:tcW w:w="2100" w:type="dxa"/>
                  <w:shd w:fill="EAECEE"/>
                </w:tcPr>
                <w:p>
                  <w:pPr>
                    <w:spacing w:before="40" w:after="40" w:line="276" w:lineRule="auto"/>
                    <w:jc w:val="left"/>
                  </w:pPr>
                  <w:r>
                    <w:rPr>
                      <w:rFonts w:ascii="Calibri" w:hAnsi="Calibri"/>
                      <w:b/>
                      <w:sz w:val="19"/>
                    </w:rPr>
                    <w:t>To-Be State (DevOps-Enabled CCSP)</w:t>
                  </w:r>
                </w:p>
              </w:tc>
              <w:tc>
                <w:tcPr>
                  <w:tcW w:w="1000" w:type="dxa"/>
                  <w:shd w:fill="EAECEE"/>
                </w:tcPr>
                <w:p>
                  <w:pPr>
                    <w:spacing w:before="40" w:after="40" w:line="276" w:lineRule="auto"/>
                    <w:jc w:val="left"/>
                  </w:pPr>
                  <w:r>
                    <w:rPr>
                      <w:rFonts w:ascii="Calibri" w:hAnsi="Calibri"/>
                      <w:b/>
                      <w:sz w:val="19"/>
                    </w:rPr>
                    <w:t>Improvement</w:t>
                  </w:r>
                </w:p>
              </w:tc>
            </w:tr>
            <w:tr>
              <w:trPr>
                <w:cantSplit/>
              </w:trPr>
              <w:tc>
                <w:tcPr>
                  <w:tcW w:w="1300" w:type="dxa"/>
                </w:tcPr>
                <w:p>
                  <w:pPr>
                    <w:spacing w:before="40" w:after="40" w:line="276" w:lineRule="auto"/>
                    <w:jc w:val="left"/>
                  </w:pPr>
                  <w:r>
                    <w:rPr>
                      <w:rFonts w:ascii="Calibri" w:hAnsi="Calibri"/>
                      <w:b w:val="0"/>
                      <w:sz w:val="17"/>
                    </w:rPr>
                    <w:t>Application TAT</w:t>
                  </w:r>
                </w:p>
              </w:tc>
              <w:tc>
                <w:tcPr>
                  <w:tcW w:w="1400" w:type="dxa"/>
                </w:tcPr>
                <w:p>
                  <w:pPr>
                    <w:spacing w:before="40" w:after="40" w:line="276" w:lineRule="auto"/>
                    <w:jc w:val="left"/>
                  </w:pPr>
                  <w:r>
                    <w:rPr>
                      <w:rFonts w:ascii="Calibri" w:hAnsi="Calibri"/>
                      <w:b w:val="0"/>
                      <w:sz w:val="17"/>
                    </w:rPr>
                    <w:t>Turnaround Time</w:t>
                  </w:r>
                </w:p>
              </w:tc>
              <w:tc>
                <w:tcPr>
                  <w:tcW w:w="2100" w:type="dxa"/>
                </w:tcPr>
                <w:p>
                  <w:pPr>
                    <w:spacing w:before="40" w:after="40" w:line="276" w:lineRule="auto"/>
                    <w:jc w:val="left"/>
                  </w:pPr>
                  <w:r>
                    <w:rPr>
                      <w:rFonts w:ascii="Calibri" w:hAnsi="Calibri"/>
                      <w:b w:val="0"/>
                      <w:sz w:val="17"/>
                    </w:rPr>
                    <w:t>5 to 10 working days via physical paper routing</w:t>
                  </w:r>
                </w:p>
              </w:tc>
              <w:tc>
                <w:tcPr>
                  <w:tcW w:w="2100" w:type="dxa"/>
                </w:tcPr>
                <w:p>
                  <w:pPr>
                    <w:spacing w:before="40" w:after="40" w:line="276" w:lineRule="auto"/>
                    <w:jc w:val="left"/>
                  </w:pPr>
                  <w:r>
                    <w:rPr>
                      <w:rFonts w:ascii="Calibri" w:hAnsi="Calibri"/>
                      <w:b w:val="0"/>
                      <w:sz w:val="17"/>
                    </w:rPr>
                    <w:t>Instant digital capture; automated status tracking in &lt; 2 hrs</w:t>
                  </w:r>
                </w:p>
              </w:tc>
              <w:tc>
                <w:tcPr>
                  <w:tcW w:w="1000" w:type="dxa"/>
                </w:tcPr>
                <w:p>
                  <w:pPr>
                    <w:spacing w:before="40" w:after="40" w:line="276" w:lineRule="auto"/>
                    <w:jc w:val="left"/>
                  </w:pPr>
                  <w:r>
                    <w:rPr>
                      <w:rFonts w:ascii="Calibri" w:hAnsi="Calibri"/>
                      <w:b w:val="0"/>
                      <w:sz w:val="17"/>
                    </w:rPr>
                    <w:t>80% Reduction</w:t>
                  </w:r>
                </w:p>
              </w:tc>
            </w:tr>
            <w:tr>
              <w:trPr>
                <w:cantSplit/>
              </w:trPr>
              <w:tc>
                <w:tcPr>
                  <w:tcW w:w="1300" w:type="dxa"/>
                </w:tcPr>
                <w:p>
                  <w:pPr>
                    <w:spacing w:before="40" w:after="40" w:line="276" w:lineRule="auto"/>
                    <w:jc w:val="left"/>
                  </w:pPr>
                  <w:r>
                    <w:rPr>
                      <w:rFonts w:ascii="Calibri" w:hAnsi="Calibri"/>
                      <w:b w:val="0"/>
                      <w:sz w:val="17"/>
                    </w:rPr>
                    <w:t>Quality Assurance</w:t>
                  </w:r>
                </w:p>
              </w:tc>
              <w:tc>
                <w:tcPr>
                  <w:tcW w:w="1400" w:type="dxa"/>
                </w:tcPr>
                <w:p>
                  <w:pPr>
                    <w:spacing w:before="40" w:after="40" w:line="276" w:lineRule="auto"/>
                    <w:jc w:val="left"/>
                  </w:pPr>
                  <w:r>
                    <w:rPr>
                      <w:rFonts w:ascii="Calibri" w:hAnsi="Calibri"/>
                      <w:b w:val="0"/>
                      <w:sz w:val="17"/>
                    </w:rPr>
                    <w:t>Testing Strategy</w:t>
                  </w:r>
                </w:p>
              </w:tc>
              <w:tc>
                <w:tcPr>
                  <w:tcW w:w="2100" w:type="dxa"/>
                </w:tcPr>
                <w:p>
                  <w:pPr>
                    <w:spacing w:before="40" w:after="40" w:line="276" w:lineRule="auto"/>
                    <w:jc w:val="left"/>
                  </w:pPr>
                  <w:r>
                    <w:rPr>
                      <w:rFonts w:ascii="Calibri" w:hAnsi="Calibri"/>
                      <w:b w:val="0"/>
                      <w:sz w:val="17"/>
                    </w:rPr>
                    <w:t>Manual user acceptance tests requiring 3 to 5 days per release</w:t>
                  </w:r>
                </w:p>
              </w:tc>
              <w:tc>
                <w:tcPr>
                  <w:tcW w:w="2100" w:type="dxa"/>
                </w:tcPr>
                <w:p>
                  <w:pPr>
                    <w:spacing w:before="40" w:after="40" w:line="276" w:lineRule="auto"/>
                    <w:jc w:val="left"/>
                  </w:pPr>
                  <w:r>
                    <w:rPr>
                      <w:rFonts w:ascii="Calibri" w:hAnsi="Calibri"/>
                      <w:b w:val="0"/>
                      <w:sz w:val="17"/>
                    </w:rPr>
                    <w:t>Automated Selenium WebDriver suite in Jenkins (&lt; 3 minutes)</w:t>
                  </w:r>
                </w:p>
              </w:tc>
              <w:tc>
                <w:tcPr>
                  <w:tcW w:w="1000" w:type="dxa"/>
                </w:tcPr>
                <w:p>
                  <w:pPr>
                    <w:spacing w:before="40" w:after="40" w:line="276" w:lineRule="auto"/>
                    <w:jc w:val="left"/>
                  </w:pPr>
                  <w:r>
                    <w:rPr>
                      <w:rFonts w:ascii="Calibri" w:hAnsi="Calibri"/>
                      <w:b w:val="0"/>
                      <w:sz w:val="17"/>
                    </w:rPr>
                    <w:t>95% Faster QA</w:t>
                  </w:r>
                </w:p>
              </w:tc>
            </w:tr>
            <w:tr>
              <w:trPr>
                <w:cantSplit/>
              </w:trPr>
              <w:tc>
                <w:tcPr>
                  <w:tcW w:w="1300" w:type="dxa"/>
                </w:tcPr>
                <w:p>
                  <w:pPr>
                    <w:spacing w:before="40" w:after="40" w:line="276" w:lineRule="auto"/>
                    <w:jc w:val="left"/>
                  </w:pPr>
                  <w:r>
                    <w:rPr>
                      <w:rFonts w:ascii="Calibri" w:hAnsi="Calibri"/>
                      <w:b w:val="0"/>
                      <w:sz w:val="17"/>
                    </w:rPr>
                    <w:t>Deployment Cycle</w:t>
                  </w:r>
                </w:p>
              </w:tc>
              <w:tc>
                <w:tcPr>
                  <w:tcW w:w="1400" w:type="dxa"/>
                </w:tcPr>
                <w:p>
                  <w:pPr>
                    <w:spacing w:before="40" w:after="40" w:line="276" w:lineRule="auto"/>
                    <w:jc w:val="left"/>
                  </w:pPr>
                  <w:r>
                    <w:rPr>
                      <w:rFonts w:ascii="Calibri" w:hAnsi="Calibri"/>
                      <w:b w:val="0"/>
                      <w:sz w:val="17"/>
                    </w:rPr>
                    <w:t>Release Frequency</w:t>
                  </w:r>
                </w:p>
              </w:tc>
              <w:tc>
                <w:tcPr>
                  <w:tcW w:w="2100" w:type="dxa"/>
                </w:tcPr>
                <w:p>
                  <w:pPr>
                    <w:spacing w:before="40" w:after="40" w:line="276" w:lineRule="auto"/>
                    <w:jc w:val="left"/>
                  </w:pPr>
                  <w:r>
                    <w:rPr>
                      <w:rFonts w:ascii="Calibri" w:hAnsi="Calibri"/>
                      <w:b w:val="0"/>
                      <w:sz w:val="17"/>
                    </w:rPr>
                    <w:t>Bi-monthly scheduled maintenance with 2-4 hours downtime</w:t>
                  </w:r>
                </w:p>
              </w:tc>
              <w:tc>
                <w:tcPr>
                  <w:tcW w:w="2100" w:type="dxa"/>
                </w:tcPr>
                <w:p>
                  <w:pPr>
                    <w:spacing w:before="40" w:after="40" w:line="276" w:lineRule="auto"/>
                    <w:jc w:val="left"/>
                  </w:pPr>
                  <w:r>
                    <w:rPr>
                      <w:rFonts w:ascii="Calibri" w:hAnsi="Calibri"/>
                      <w:b w:val="0"/>
                      <w:sz w:val="17"/>
                    </w:rPr>
                    <w:t>Automated commit-to-Docker continuous deployment in &lt; 5 mins</w:t>
                  </w:r>
                </w:p>
              </w:tc>
              <w:tc>
                <w:tcPr>
                  <w:tcW w:w="1000" w:type="dxa"/>
                </w:tcPr>
                <w:p>
                  <w:pPr>
                    <w:spacing w:before="40" w:after="40" w:line="276" w:lineRule="auto"/>
                    <w:jc w:val="left"/>
                  </w:pPr>
                  <w:r>
                    <w:rPr>
                      <w:rFonts w:ascii="Calibri" w:hAnsi="Calibri"/>
                      <w:b w:val="0"/>
                      <w:sz w:val="17"/>
                    </w:rPr>
                    <w:t>Zero-Downtime</w:t>
                  </w:r>
                </w:p>
              </w:tc>
            </w:tr>
            <w:tr>
              <w:trPr>
                <w:cantSplit/>
              </w:trPr>
              <w:tc>
                <w:tcPr>
                  <w:tcW w:w="1300" w:type="dxa"/>
                </w:tcPr>
                <w:p>
                  <w:pPr>
                    <w:spacing w:before="40" w:after="40" w:line="276" w:lineRule="auto"/>
                    <w:jc w:val="left"/>
                  </w:pPr>
                  <w:r>
                    <w:rPr>
                      <w:rFonts w:ascii="Calibri" w:hAnsi="Calibri"/>
                      <w:b w:val="0"/>
                      <w:sz w:val="17"/>
                    </w:rPr>
                    <w:t>Configuration</w:t>
                  </w:r>
                </w:p>
              </w:tc>
              <w:tc>
                <w:tcPr>
                  <w:tcW w:w="1400" w:type="dxa"/>
                </w:tcPr>
                <w:p>
                  <w:pPr>
                    <w:spacing w:before="40" w:after="40" w:line="276" w:lineRule="auto"/>
                    <w:jc w:val="left"/>
                  </w:pPr>
                  <w:r>
                    <w:rPr>
                      <w:rFonts w:ascii="Calibri" w:hAnsi="Calibri"/>
                      <w:b w:val="0"/>
                      <w:sz w:val="17"/>
                    </w:rPr>
                    <w:t>Server Provisioning</w:t>
                  </w:r>
                </w:p>
              </w:tc>
              <w:tc>
                <w:tcPr>
                  <w:tcW w:w="2100" w:type="dxa"/>
                </w:tcPr>
                <w:p>
                  <w:pPr>
                    <w:spacing w:before="40" w:after="40" w:line="276" w:lineRule="auto"/>
                    <w:jc w:val="left"/>
                  </w:pPr>
                  <w:r>
                    <w:rPr>
                      <w:rFonts w:ascii="Calibri" w:hAnsi="Calibri"/>
                      <w:b w:val="0"/>
                      <w:sz w:val="17"/>
                    </w:rPr>
                    <w:t>Manual server setup prone to configuration drift and bugs</w:t>
                  </w:r>
                </w:p>
              </w:tc>
              <w:tc>
                <w:tcPr>
                  <w:tcW w:w="2100" w:type="dxa"/>
                </w:tcPr>
                <w:p>
                  <w:pPr>
                    <w:spacing w:before="40" w:after="40" w:line="276" w:lineRule="auto"/>
                    <w:jc w:val="left"/>
                  </w:pPr>
                  <w:r>
                    <w:rPr>
                      <w:rFonts w:ascii="Calibri" w:hAnsi="Calibri"/>
                      <w:b w:val="0"/>
                      <w:sz w:val="17"/>
                    </w:rPr>
                    <w:t>Idempotent Ansible playbooks ensuring 100% reproducible nodes</w:t>
                  </w:r>
                </w:p>
              </w:tc>
              <w:tc>
                <w:tcPr>
                  <w:tcW w:w="1000" w:type="dxa"/>
                </w:tcPr>
                <w:p>
                  <w:pPr>
                    <w:spacing w:before="40" w:after="40" w:line="276" w:lineRule="auto"/>
                    <w:jc w:val="left"/>
                  </w:pPr>
                  <w:r>
                    <w:rPr>
                      <w:rFonts w:ascii="Calibri" w:hAnsi="Calibri"/>
                      <w:b w:val="0"/>
                      <w:sz w:val="17"/>
                    </w:rPr>
                    <w:t>Zero Drift</w:t>
                  </w:r>
                </w:p>
              </w:tc>
            </w:tr>
            <w:tr>
              <w:trPr>
                <w:cantSplit/>
              </w:trPr>
              <w:tc>
                <w:tcPr>
                  <w:tcW w:w="1300" w:type="dxa"/>
                </w:tcPr>
                <w:p>
                  <w:pPr>
                    <w:spacing w:before="40" w:after="40" w:line="276" w:lineRule="auto"/>
                    <w:jc w:val="left"/>
                  </w:pPr>
                  <w:r>
                    <w:rPr>
                      <w:rFonts w:ascii="Calibri" w:hAnsi="Calibri"/>
                      <w:b w:val="0"/>
                      <w:sz w:val="17"/>
                    </w:rPr>
                    <w:t>System Observability</w:t>
                  </w:r>
                </w:p>
              </w:tc>
              <w:tc>
                <w:tcPr>
                  <w:tcW w:w="1400" w:type="dxa"/>
                </w:tcPr>
                <w:p>
                  <w:pPr>
                    <w:spacing w:before="40" w:after="40" w:line="276" w:lineRule="auto"/>
                    <w:jc w:val="left"/>
                  </w:pPr>
                  <w:r>
                    <w:rPr>
                      <w:rFonts w:ascii="Calibri" w:hAnsi="Calibri"/>
                      <w:b w:val="0"/>
                      <w:sz w:val="17"/>
                    </w:rPr>
                    <w:t>Health Monitoring</w:t>
                  </w:r>
                </w:p>
              </w:tc>
              <w:tc>
                <w:tcPr>
                  <w:tcW w:w="2100" w:type="dxa"/>
                </w:tcPr>
                <w:p>
                  <w:pPr>
                    <w:spacing w:before="40" w:after="40" w:line="276" w:lineRule="auto"/>
                    <w:jc w:val="left"/>
                  </w:pPr>
                  <w:r>
                    <w:rPr>
                      <w:rFonts w:ascii="Calibri" w:hAnsi="Calibri"/>
                      <w:b w:val="0"/>
                      <w:sz w:val="17"/>
                    </w:rPr>
                    <w:t>Reactive detection based on customer grievance escalations</w:t>
                  </w:r>
                </w:p>
              </w:tc>
              <w:tc>
                <w:tcPr>
                  <w:tcW w:w="2100" w:type="dxa"/>
                </w:tcPr>
                <w:p>
                  <w:pPr>
                    <w:spacing w:before="40" w:after="40" w:line="276" w:lineRule="auto"/>
                    <w:jc w:val="left"/>
                  </w:pPr>
                  <w:r>
                    <w:rPr>
                      <w:rFonts w:ascii="Calibri" w:hAnsi="Calibri"/>
                      <w:b w:val="0"/>
                      <w:sz w:val="17"/>
                    </w:rPr>
                    <w:t>Proactive Spring Boot Actuator health probe (/actuator/health)</w:t>
                  </w:r>
                </w:p>
              </w:tc>
              <w:tc>
                <w:tcPr>
                  <w:tcW w:w="1000" w:type="dxa"/>
                </w:tcPr>
                <w:p>
                  <w:pPr>
                    <w:spacing w:before="40" w:after="40" w:line="276" w:lineRule="auto"/>
                    <w:jc w:val="left"/>
                  </w:pPr>
                  <w:r>
                    <w:rPr>
                      <w:rFonts w:ascii="Calibri" w:hAnsi="Calibri"/>
                      <w:b w:val="0"/>
                      <w:sz w:val="17"/>
                    </w:rPr>
                    <w:t>Real-time Telemetry</w:t>
                  </w:r>
                </w:p>
              </w:tc>
            </w:tr>
          </w:tbl>
          <w:p/>
          <w:p>
            <w:pPr>
              <w:keepNext/>
              <w:spacing w:before="160" w:after="60" w:line="276" w:lineRule="auto"/>
            </w:pPr>
            <w:r>
              <w:rPr>
                <w:rFonts w:ascii="Calibri" w:hAnsi="Calibri"/>
                <w:b/>
                <w:sz w:val="24"/>
              </w:rPr>
              <w:t>4. Strategic project objectives and SMART success criteria</w:t>
            </w:r>
          </w:p>
          <w:p>
            <w:pPr>
              <w:spacing w:before="20" w:after="60" w:line="276" w:lineRule="auto"/>
            </w:pPr>
            <w:r>
              <w:rPr>
                <w:rFonts w:ascii="Calibri" w:hAnsi="Calibri"/>
                <w:sz w:val="22"/>
              </w:rPr>
              <w:t>To ensure that the engineering effort yields quantifiable, academically verifiable results, I established five strategic project objectives governed by the SMART (Specific, Measurable, Achievable, Relevant, Time-bound) framework. Table 1.3 outlines the success metrics and their automated verification mechanisms.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800" w:type="dxa"/>
                  <w:shd w:fill="EAECEE"/>
                </w:tcPr>
                <w:p>
                  <w:pPr>
                    <w:spacing w:before="40" w:after="40" w:line="276" w:lineRule="auto"/>
                    <w:jc w:val="left"/>
                  </w:pPr>
                  <w:r>
                    <w:rPr>
                      <w:rFonts w:ascii="Calibri" w:hAnsi="Calibri"/>
                      <w:b/>
                      <w:sz w:val="19"/>
                    </w:rPr>
                    <w:t>Obj ID</w:t>
                  </w:r>
                </w:p>
              </w:tc>
              <w:tc>
                <w:tcPr>
                  <w:tcW w:w="1700" w:type="dxa"/>
                  <w:shd w:fill="EAECEE"/>
                </w:tcPr>
                <w:p>
                  <w:pPr>
                    <w:spacing w:before="40" w:after="40" w:line="276" w:lineRule="auto"/>
                    <w:jc w:val="left"/>
                  </w:pPr>
                  <w:r>
                    <w:rPr>
                      <w:rFonts w:ascii="Calibri" w:hAnsi="Calibri"/>
                      <w:b/>
                      <w:sz w:val="19"/>
                    </w:rPr>
                    <w:t>Strategic Objective</w:t>
                  </w:r>
                </w:p>
              </w:tc>
              <w:tc>
                <w:tcPr>
                  <w:tcW w:w="1500" w:type="dxa"/>
                  <w:shd w:fill="EAECEE"/>
                </w:tcPr>
                <w:p>
                  <w:pPr>
                    <w:spacing w:before="40" w:after="40" w:line="276" w:lineRule="auto"/>
                    <w:jc w:val="left"/>
                  </w:pPr>
                  <w:r>
                    <w:rPr>
                      <w:rFonts w:ascii="Calibri" w:hAnsi="Calibri"/>
                      <w:b/>
                      <w:sz w:val="19"/>
                    </w:rPr>
                    <w:t>Baseline Metric</w:t>
                  </w:r>
                </w:p>
              </w:tc>
              <w:tc>
                <w:tcPr>
                  <w:tcW w:w="1800" w:type="dxa"/>
                  <w:shd w:fill="EAECEE"/>
                </w:tcPr>
                <w:p>
                  <w:pPr>
                    <w:spacing w:before="40" w:after="40" w:line="276" w:lineRule="auto"/>
                    <w:jc w:val="left"/>
                  </w:pPr>
                  <w:r>
                    <w:rPr>
                      <w:rFonts w:ascii="Calibri" w:hAnsi="Calibri"/>
                      <w:b/>
                      <w:sz w:val="19"/>
                    </w:rPr>
                    <w:t>Target DevOps SLA</w:t>
                  </w:r>
                </w:p>
              </w:tc>
              <w:tc>
                <w:tcPr>
                  <w:tcW w:w="2100" w:type="dxa"/>
                  <w:shd w:fill="EAECEE"/>
                </w:tcPr>
                <w:p>
                  <w:pPr>
                    <w:spacing w:before="40" w:after="40" w:line="276" w:lineRule="auto"/>
                    <w:jc w:val="left"/>
                  </w:pPr>
                  <w:r>
                    <w:rPr>
                      <w:rFonts w:ascii="Calibri" w:hAnsi="Calibri"/>
                      <w:b/>
                      <w:sz w:val="19"/>
                    </w:rPr>
                    <w:t>Automated Verification Method</w:t>
                  </w:r>
                </w:p>
              </w:tc>
            </w:tr>
            <w:tr>
              <w:trPr>
                <w:cantSplit/>
              </w:trPr>
              <w:tc>
                <w:tcPr>
                  <w:tcW w:w="800" w:type="dxa"/>
                </w:tcPr>
                <w:p>
                  <w:pPr>
                    <w:spacing w:before="40" w:after="40" w:line="276" w:lineRule="auto"/>
                    <w:jc w:val="left"/>
                  </w:pPr>
                  <w:r>
                    <w:rPr>
                      <w:rFonts w:ascii="Calibri" w:hAnsi="Calibri"/>
                      <w:b w:val="0"/>
                      <w:sz w:val="17"/>
                    </w:rPr>
                    <w:t>OBJ-01</w:t>
                  </w:r>
                </w:p>
              </w:tc>
              <w:tc>
                <w:tcPr>
                  <w:tcW w:w="1700" w:type="dxa"/>
                </w:tcPr>
                <w:p>
                  <w:pPr>
                    <w:spacing w:before="40" w:after="40" w:line="276" w:lineRule="auto"/>
                    <w:jc w:val="left"/>
                  </w:pPr>
                  <w:r>
                    <w:rPr>
                      <w:rFonts w:ascii="Calibri" w:hAnsi="Calibri"/>
                      <w:b w:val="0"/>
                      <w:sz w:val="17"/>
                    </w:rPr>
                    <w:t>Automated Functional Testing Gate</w:t>
                  </w:r>
                </w:p>
              </w:tc>
              <w:tc>
                <w:tcPr>
                  <w:tcW w:w="1500" w:type="dxa"/>
                </w:tcPr>
                <w:p>
                  <w:pPr>
                    <w:spacing w:before="40" w:after="40" w:line="276" w:lineRule="auto"/>
                    <w:jc w:val="left"/>
                  </w:pPr>
                  <w:r>
                    <w:rPr>
                      <w:rFonts w:ascii="Calibri" w:hAnsi="Calibri"/>
                      <w:b w:val="0"/>
                      <w:sz w:val="17"/>
                    </w:rPr>
                    <w:t>0% automated test coverage; 100% manual QA</w:t>
                  </w:r>
                </w:p>
              </w:tc>
              <w:tc>
                <w:tcPr>
                  <w:tcW w:w="1800" w:type="dxa"/>
                </w:tcPr>
                <w:p>
                  <w:pPr>
                    <w:spacing w:before="40" w:after="40" w:line="276" w:lineRule="auto"/>
                    <w:jc w:val="left"/>
                  </w:pPr>
                  <w:r>
                    <w:rPr>
                      <w:rFonts w:ascii="Calibri" w:hAnsi="Calibri"/>
                      <w:b w:val="0"/>
                      <w:sz w:val="17"/>
                    </w:rPr>
                    <w:t>100% automated pass on all 4 critical Selenium user journeys</w:t>
                  </w:r>
                </w:p>
              </w:tc>
              <w:tc>
                <w:tcPr>
                  <w:tcW w:w="2100" w:type="dxa"/>
                </w:tcPr>
                <w:p>
                  <w:pPr>
                    <w:spacing w:before="40" w:after="40" w:line="276" w:lineRule="auto"/>
                    <w:jc w:val="left"/>
                  </w:pPr>
                  <w:r>
                    <w:rPr>
                      <w:rFonts w:ascii="Calibri" w:hAnsi="Calibri"/>
                      <w:b w:val="0"/>
                      <w:sz w:val="17"/>
                    </w:rPr>
                    <w:t>Jenkins Pipeline Quality Gate (mvn test failure aborts CD)</w:t>
                  </w:r>
                </w:p>
              </w:tc>
            </w:tr>
            <w:tr>
              <w:trPr>
                <w:cantSplit/>
              </w:trPr>
              <w:tc>
                <w:tcPr>
                  <w:tcW w:w="800" w:type="dxa"/>
                </w:tcPr>
                <w:p>
                  <w:pPr>
                    <w:spacing w:before="40" w:after="40" w:line="276" w:lineRule="auto"/>
                    <w:jc w:val="left"/>
                  </w:pPr>
                  <w:r>
                    <w:rPr>
                      <w:rFonts w:ascii="Calibri" w:hAnsi="Calibri"/>
                      <w:b w:val="0"/>
                      <w:sz w:val="17"/>
                    </w:rPr>
                    <w:t>OBJ-02</w:t>
                  </w:r>
                </w:p>
              </w:tc>
              <w:tc>
                <w:tcPr>
                  <w:tcW w:w="1700" w:type="dxa"/>
                </w:tcPr>
                <w:p>
                  <w:pPr>
                    <w:spacing w:before="40" w:after="40" w:line="276" w:lineRule="auto"/>
                    <w:jc w:val="left"/>
                  </w:pPr>
                  <w:r>
                    <w:rPr>
                      <w:rFonts w:ascii="Calibri" w:hAnsi="Calibri"/>
                      <w:b w:val="0"/>
                      <w:sz w:val="17"/>
                    </w:rPr>
                    <w:t>Continuous Integration Velocity</w:t>
                  </w:r>
                </w:p>
              </w:tc>
              <w:tc>
                <w:tcPr>
                  <w:tcW w:w="1500" w:type="dxa"/>
                </w:tcPr>
                <w:p>
                  <w:pPr>
                    <w:spacing w:before="40" w:after="40" w:line="276" w:lineRule="auto"/>
                    <w:jc w:val="left"/>
                  </w:pPr>
                  <w:r>
                    <w:rPr>
                      <w:rFonts w:ascii="Calibri" w:hAnsi="Calibri"/>
                      <w:b w:val="0"/>
                      <w:sz w:val="17"/>
                    </w:rPr>
                    <w:t>Manual build and package execution taking 45 mins</w:t>
                  </w:r>
                </w:p>
              </w:tc>
              <w:tc>
                <w:tcPr>
                  <w:tcW w:w="1800" w:type="dxa"/>
                </w:tcPr>
                <w:p>
                  <w:pPr>
                    <w:spacing w:before="40" w:after="40" w:line="276" w:lineRule="auto"/>
                    <w:jc w:val="left"/>
                  </w:pPr>
                  <w:r>
                    <w:rPr>
                      <w:rFonts w:ascii="Calibri" w:hAnsi="Calibri"/>
                      <w:b w:val="0"/>
                      <w:sz w:val="17"/>
                    </w:rPr>
                    <w:t>Automated Maven clean package execution in &lt; 120 seconds</w:t>
                  </w:r>
                </w:p>
              </w:tc>
              <w:tc>
                <w:tcPr>
                  <w:tcW w:w="2100" w:type="dxa"/>
                </w:tcPr>
                <w:p>
                  <w:pPr>
                    <w:spacing w:before="40" w:after="40" w:line="276" w:lineRule="auto"/>
                    <w:jc w:val="left"/>
                  </w:pPr>
                  <w:r>
                    <w:rPr>
                      <w:rFonts w:ascii="Calibri" w:hAnsi="Calibri"/>
                      <w:b w:val="0"/>
                      <w:sz w:val="17"/>
                    </w:rPr>
                    <w:t>Jenkins CI Build Console execution timestamp</w:t>
                  </w:r>
                </w:p>
              </w:tc>
            </w:tr>
            <w:tr>
              <w:trPr>
                <w:cantSplit/>
              </w:trPr>
              <w:tc>
                <w:tcPr>
                  <w:tcW w:w="800" w:type="dxa"/>
                </w:tcPr>
                <w:p>
                  <w:pPr>
                    <w:spacing w:before="40" w:after="40" w:line="276" w:lineRule="auto"/>
                    <w:jc w:val="left"/>
                  </w:pPr>
                  <w:r>
                    <w:rPr>
                      <w:rFonts w:ascii="Calibri" w:hAnsi="Calibri"/>
                      <w:b w:val="0"/>
                      <w:sz w:val="17"/>
                    </w:rPr>
                    <w:t>OBJ-03</w:t>
                  </w:r>
                </w:p>
              </w:tc>
              <w:tc>
                <w:tcPr>
                  <w:tcW w:w="1700" w:type="dxa"/>
                </w:tcPr>
                <w:p>
                  <w:pPr>
                    <w:spacing w:before="40" w:after="40" w:line="276" w:lineRule="auto"/>
                    <w:jc w:val="left"/>
                  </w:pPr>
                  <w:r>
                    <w:rPr>
                      <w:rFonts w:ascii="Calibri" w:hAnsi="Calibri"/>
                      <w:b w:val="0"/>
                      <w:sz w:val="17"/>
                    </w:rPr>
                    <w:t>Lightweight Containerization</w:t>
                  </w:r>
                </w:p>
              </w:tc>
              <w:tc>
                <w:tcPr>
                  <w:tcW w:w="1500" w:type="dxa"/>
                </w:tcPr>
                <w:p>
                  <w:pPr>
                    <w:spacing w:before="40" w:after="40" w:line="276" w:lineRule="auto"/>
                    <w:jc w:val="left"/>
                  </w:pPr>
                  <w:r>
                    <w:rPr>
                      <w:rFonts w:ascii="Calibri" w:hAnsi="Calibri"/>
                      <w:b w:val="0"/>
                      <w:sz w:val="17"/>
                    </w:rPr>
                    <w:t>Fat VM images (&gt; 2 GB) requiring manual runtime setup</w:t>
                  </w:r>
                </w:p>
              </w:tc>
              <w:tc>
                <w:tcPr>
                  <w:tcW w:w="1800" w:type="dxa"/>
                </w:tcPr>
                <w:p>
                  <w:pPr>
                    <w:spacing w:before="40" w:after="40" w:line="276" w:lineRule="auto"/>
                    <w:jc w:val="left"/>
                  </w:pPr>
                  <w:r>
                    <w:rPr>
                      <w:rFonts w:ascii="Calibri" w:hAnsi="Calibri"/>
                      <w:b w:val="0"/>
                      <w:sz w:val="17"/>
                    </w:rPr>
                    <w:t>Multi-stage Eclipse Temurin Docker image size &lt; 350 MB</w:t>
                  </w:r>
                </w:p>
              </w:tc>
              <w:tc>
                <w:tcPr>
                  <w:tcW w:w="2100" w:type="dxa"/>
                </w:tcPr>
                <w:p>
                  <w:pPr>
                    <w:spacing w:before="40" w:after="40" w:line="276" w:lineRule="auto"/>
                    <w:jc w:val="left"/>
                  </w:pPr>
                  <w:r>
                    <w:rPr>
                      <w:rFonts w:ascii="Calibri" w:hAnsi="Calibri"/>
                      <w:b w:val="0"/>
                      <w:sz w:val="17"/>
                    </w:rPr>
                    <w:t>Docker image inspect and registry metadata analysis</w:t>
                  </w:r>
                </w:p>
              </w:tc>
            </w:tr>
            <w:tr>
              <w:trPr>
                <w:cantSplit/>
              </w:trPr>
              <w:tc>
                <w:tcPr>
                  <w:tcW w:w="800" w:type="dxa"/>
                </w:tcPr>
                <w:p>
                  <w:pPr>
                    <w:spacing w:before="40" w:after="40" w:line="276" w:lineRule="auto"/>
                    <w:jc w:val="left"/>
                  </w:pPr>
                  <w:r>
                    <w:rPr>
                      <w:rFonts w:ascii="Calibri" w:hAnsi="Calibri"/>
                      <w:b w:val="0"/>
                      <w:sz w:val="17"/>
                    </w:rPr>
                    <w:t>OBJ-04</w:t>
                  </w:r>
                </w:p>
              </w:tc>
              <w:tc>
                <w:tcPr>
                  <w:tcW w:w="1700" w:type="dxa"/>
                </w:tcPr>
                <w:p>
                  <w:pPr>
                    <w:spacing w:before="40" w:after="40" w:line="276" w:lineRule="auto"/>
                    <w:jc w:val="left"/>
                  </w:pPr>
                  <w:r>
                    <w:rPr>
                      <w:rFonts w:ascii="Calibri" w:hAnsi="Calibri"/>
                      <w:b w:val="0"/>
                      <w:sz w:val="17"/>
                    </w:rPr>
                    <w:t>Idempotent Configuration Management</w:t>
                  </w:r>
                </w:p>
              </w:tc>
              <w:tc>
                <w:tcPr>
                  <w:tcW w:w="1500" w:type="dxa"/>
                </w:tcPr>
                <w:p>
                  <w:pPr>
                    <w:spacing w:before="40" w:after="40" w:line="276" w:lineRule="auto"/>
                    <w:jc w:val="left"/>
                  </w:pPr>
                  <w:r>
                    <w:rPr>
                      <w:rFonts w:ascii="Calibri" w:hAnsi="Calibri"/>
                      <w:b w:val="0"/>
                      <w:sz w:val="17"/>
                    </w:rPr>
                    <w:t>Ad-hoc server scripts with non-repeatable state</w:t>
                  </w:r>
                </w:p>
              </w:tc>
              <w:tc>
                <w:tcPr>
                  <w:tcW w:w="1800" w:type="dxa"/>
                </w:tcPr>
                <w:p>
                  <w:pPr>
                    <w:spacing w:before="40" w:after="40" w:line="276" w:lineRule="auto"/>
                    <w:jc w:val="left"/>
                  </w:pPr>
                  <w:r>
                    <w:rPr>
                      <w:rFonts w:ascii="Calibri" w:hAnsi="Calibri"/>
                      <w:b w:val="0"/>
                      <w:sz w:val="17"/>
                    </w:rPr>
                    <w:t>Ansible playbook execution yielding changed=0, failed=0 on rerun</w:t>
                  </w:r>
                </w:p>
              </w:tc>
              <w:tc>
                <w:tcPr>
                  <w:tcW w:w="2100" w:type="dxa"/>
                </w:tcPr>
                <w:p>
                  <w:pPr>
                    <w:spacing w:before="40" w:after="40" w:line="276" w:lineRule="auto"/>
                    <w:jc w:val="left"/>
                  </w:pPr>
                  <w:r>
                    <w:rPr>
                      <w:rFonts w:ascii="Calibri" w:hAnsi="Calibri"/>
                      <w:b w:val="0"/>
                      <w:sz w:val="17"/>
                    </w:rPr>
                    <w:t>Ansible execution stdout summary parser</w:t>
                  </w:r>
                </w:p>
              </w:tc>
            </w:tr>
            <w:tr>
              <w:trPr>
                <w:cantSplit/>
              </w:trPr>
              <w:tc>
                <w:tcPr>
                  <w:tcW w:w="800" w:type="dxa"/>
                </w:tcPr>
                <w:p>
                  <w:pPr>
                    <w:spacing w:before="40" w:after="40" w:line="276" w:lineRule="auto"/>
                    <w:jc w:val="left"/>
                  </w:pPr>
                  <w:r>
                    <w:rPr>
                      <w:rFonts w:ascii="Calibri" w:hAnsi="Calibri"/>
                      <w:b w:val="0"/>
                      <w:sz w:val="17"/>
                    </w:rPr>
                    <w:t>OBJ-05</w:t>
                  </w:r>
                </w:p>
              </w:tc>
              <w:tc>
                <w:tcPr>
                  <w:tcW w:w="1700" w:type="dxa"/>
                </w:tcPr>
                <w:p>
                  <w:pPr>
                    <w:spacing w:before="40" w:after="40" w:line="276" w:lineRule="auto"/>
                    <w:jc w:val="left"/>
                  </w:pPr>
                  <w:r>
                    <w:rPr>
                      <w:rFonts w:ascii="Calibri" w:hAnsi="Calibri"/>
                      <w:b w:val="0"/>
                      <w:sz w:val="17"/>
                    </w:rPr>
                    <w:t>Health Telemetry &amp; Zero-Regression</w:t>
                  </w:r>
                </w:p>
              </w:tc>
              <w:tc>
                <w:tcPr>
                  <w:tcW w:w="1500" w:type="dxa"/>
                </w:tcPr>
                <w:p>
                  <w:pPr>
                    <w:spacing w:before="40" w:after="40" w:line="276" w:lineRule="auto"/>
                    <w:jc w:val="left"/>
                  </w:pPr>
                  <w:r>
                    <w:rPr>
                      <w:rFonts w:ascii="Calibri" w:hAnsi="Calibri"/>
                      <w:b w:val="0"/>
                      <w:sz w:val="17"/>
                    </w:rPr>
                    <w:t>Unknown server uptime without active probing</w:t>
                  </w:r>
                </w:p>
              </w:tc>
              <w:tc>
                <w:tcPr>
                  <w:tcW w:w="1800" w:type="dxa"/>
                </w:tcPr>
                <w:p>
                  <w:pPr>
                    <w:spacing w:before="40" w:after="40" w:line="276" w:lineRule="auto"/>
                    <w:jc w:val="left"/>
                  </w:pPr>
                  <w:r>
                    <w:rPr>
                      <w:rFonts w:ascii="Calibri" w:hAnsi="Calibri"/>
                      <w:b w:val="0"/>
                      <w:sz w:val="17"/>
                    </w:rPr>
                    <w:t>Spring Boot Actuator /actuator/health returning HTTP 200 'UP'</w:t>
                  </w:r>
                </w:p>
              </w:tc>
              <w:tc>
                <w:tcPr>
                  <w:tcW w:w="2100" w:type="dxa"/>
                </w:tcPr>
                <w:p>
                  <w:pPr>
                    <w:spacing w:before="40" w:after="40" w:line="276" w:lineRule="auto"/>
                    <w:jc w:val="left"/>
                  </w:pPr>
                  <w:r>
                    <w:rPr>
                      <w:rFonts w:ascii="Calibri" w:hAnsi="Calibri"/>
                      <w:b w:val="0"/>
                      <w:sz w:val="17"/>
                    </w:rPr>
                    <w:t>Automated cURL health-check probe in pipeline</w:t>
                  </w:r>
                </w:p>
              </w:tc>
            </w:tr>
          </w:tbl>
          <w:p/>
          <w:p>
            <w:pPr>
              <w:keepNext/>
              <w:spacing w:before="160" w:after="60" w:line="276" w:lineRule="auto"/>
            </w:pPr>
            <w:r>
              <w:rPr>
                <w:rFonts w:ascii="Calibri" w:hAnsi="Calibri"/>
                <w:b/>
                <w:sz w:val="24"/>
              </w:rPr>
              <w:t>5. Technical, regulatory, and environmental project constraints</w:t>
            </w:r>
          </w:p>
          <w:p>
            <w:pPr>
              <w:spacing w:before="20" w:after="60" w:line="276" w:lineRule="auto"/>
            </w:pPr>
            <w:r>
              <w:rPr>
                <w:rFonts w:ascii="Calibri" w:hAnsi="Calibri"/>
                <w:sz w:val="22"/>
              </w:rPr>
              <w:t>Engineering a financial software platform requires operating within strict technical, architectural, and statutory boundaries. The project design adheres strictly to the following frozen constraints:</w:t>
            </w:r>
          </w:p>
          <w:p>
            <w:pPr>
              <w:spacing w:before="20" w:after="60" w:line="276" w:lineRule="auto"/>
            </w:pPr>
            <w:r>
              <w:rPr>
                <w:rFonts w:ascii="Calibri" w:hAnsi="Calibri"/>
                <w:b/>
                <w:sz w:val="22"/>
              </w:rPr>
              <w:t xml:space="preserve">• Zero External Database Dependency: </w:t>
            </w:r>
            <w:r>
              <w:rPr>
                <w:rFonts w:ascii="Calibri" w:hAnsi="Calibri"/>
                <w:sz w:val="22"/>
              </w:rPr>
              <w:t xml:space="preserve"> To ensure zero configuration overhead and eliminate network latency during CI test runs, the portal utilizes an embedded, in-memory H2 database. Data models are pre-seeded with realistic financial records, guaranteeing instantaneous test reproducibility.</w:t>
            </w:r>
          </w:p>
          <w:p>
            <w:pPr>
              <w:spacing w:before="20" w:after="60" w:line="276" w:lineRule="auto"/>
            </w:pPr>
            <w:r>
              <w:rPr>
                <w:rFonts w:ascii="Calibri" w:hAnsi="Calibri"/>
                <w:b/>
                <w:sz w:val="22"/>
              </w:rPr>
              <w:t xml:space="preserve">• Deterministic Selenium Testability: </w:t>
            </w:r>
            <w:r>
              <w:rPr>
                <w:rFonts w:ascii="Calibri" w:hAnsi="Calibri"/>
                <w:sz w:val="22"/>
              </w:rPr>
              <w:t xml:space="preserve"> The web interface utilizes semantic HTML5, Bootstrap 5, and Thymeleaf. All interactive elements (input textboxes, dropdown selectors, submit buttons, and status badges) are assigned immutable, unique id and class attributes to facilitate robust, deterministic Selenium WebDriver locator strategies (By.id and By.cssSelector).</w:t>
            </w:r>
          </w:p>
          <w:p>
            <w:pPr>
              <w:spacing w:before="20" w:after="60" w:line="276" w:lineRule="auto"/>
            </w:pPr>
            <w:r>
              <w:rPr>
                <w:rFonts w:ascii="Calibri" w:hAnsi="Calibri"/>
                <w:b/>
                <w:sz w:val="22"/>
              </w:rPr>
              <w:t xml:space="preserve">• Financial Privacy &amp; Data Masking (PCI-DSS Simulation): </w:t>
            </w:r>
            <w:r>
              <w:rPr>
                <w:rFonts w:ascii="Calibri" w:hAnsi="Calibri"/>
                <w:sz w:val="22"/>
              </w:rPr>
              <w:t xml:space="preserve"> In adherence to Payment Card Industry Data Security Standard (PCI-DSS) guidelines, the portal simulates strict financial security protocols: sensitive card numbers are masked (e.g., ****-****-****-1234), raw CVV numbers are never stored in plain text, and role-based permissions prevent unauthorized status overrides.</w:t>
            </w:r>
          </w:p>
          <w:p>
            <w:pPr>
              <w:spacing w:before="20" w:after="60" w:line="276" w:lineRule="auto"/>
            </w:pPr>
            <w:r>
              <w:rPr>
                <w:rFonts w:ascii="Calibri" w:hAnsi="Calibri"/>
                <w:b/>
                <w:sz w:val="22"/>
              </w:rPr>
              <w:t xml:space="preserve">• Resource &amp; Environment Bounds: </w:t>
            </w:r>
            <w:r>
              <w:rPr>
                <w:rFonts w:ascii="Calibri" w:hAnsi="Calibri"/>
                <w:sz w:val="22"/>
              </w:rPr>
              <w:t xml:space="preserve"> The local development, automated testing, and container deployment environments must operate within a constrained hardware footprint of 16 GB RAM and 4 CPU cores. The Docker runtime container is capped at 512 MB heap memory to ensure lightweight, resource-efficient execution.</w:t>
            </w:r>
          </w:p>
          <w:p>
            <w:pPr>
              <w:keepNext/>
              <w:spacing w:before="160" w:after="60" w:line="276" w:lineRule="auto"/>
            </w:pPr>
            <w:r>
              <w:rPr>
                <w:rFonts w:ascii="Calibri" w:hAnsi="Calibri"/>
                <w:b/>
                <w:sz w:val="24"/>
              </w:rPr>
              <w:t>6. Approved 15-task DevOps MVP scope and delivery roadmap</w:t>
            </w:r>
          </w:p>
          <w:p>
            <w:pPr>
              <w:spacing w:before="20" w:after="60" w:line="276" w:lineRule="auto"/>
            </w:pPr>
            <w:r>
              <w:rPr>
                <w:rFonts w:ascii="Calibri" w:hAnsi="Calibri"/>
                <w:sz w:val="22"/>
              </w:rPr>
              <w:t>To ensure structured academic progression and 100% syllabus alignment, I frozen the core application scope into five foundational functional modules, integrated across a 15-Task DevOps engineering roadmap:</w:t>
            </w:r>
          </w:p>
          <w:p>
            <w:pPr>
              <w:spacing w:before="20" w:after="60" w:line="276" w:lineRule="auto"/>
            </w:pPr>
            <w:r>
              <w:rPr>
                <w:rFonts w:ascii="Calibri" w:hAnsi="Calibri"/>
                <w:b/>
                <w:sz w:val="22"/>
              </w:rPr>
              <w:t xml:space="preserve">1. Credit Card Application &amp; Limit Request Management: </w:t>
            </w:r>
            <w:r>
              <w:rPr>
                <w:rFonts w:ascii="Calibri" w:hAnsi="Calibri"/>
                <w:sz w:val="22"/>
              </w:rPr>
              <w:t xml:space="preserve"> Captures applicant details (Customer Name, Email, Card Type [Platinum, Gold, Titanium], Credit Limit Requested, Annual Income, Employment Status) with strict client-side and server-side validation gates.</w:t>
            </w:r>
          </w:p>
          <w:p>
            <w:pPr>
              <w:spacing w:before="20" w:after="60" w:line="276" w:lineRule="auto"/>
            </w:pPr>
            <w:r>
              <w:rPr>
                <w:rFonts w:ascii="Calibri" w:hAnsi="Calibri"/>
                <w:b/>
                <w:sz w:val="22"/>
              </w:rPr>
              <w:t xml:space="preserve">2. Card Directory &amp; Live Search Engine: </w:t>
            </w:r>
            <w:r>
              <w:rPr>
                <w:rFonts w:ascii="Calibri" w:hAnsi="Calibri"/>
                <w:sz w:val="22"/>
              </w:rPr>
              <w:t xml:space="preserve"> Centralized searchable table enabling real-time search by applicant name or card number, with instant status filtering (PENDING, ACTIVE, BLOCKED, REJECTED).</w:t>
            </w:r>
          </w:p>
          <w:p>
            <w:pPr>
              <w:spacing w:before="20" w:after="60" w:line="276" w:lineRule="auto"/>
            </w:pPr>
            <w:r>
              <w:rPr>
                <w:rFonts w:ascii="Calibri" w:hAnsi="Calibri"/>
                <w:b/>
                <w:sz w:val="22"/>
              </w:rPr>
              <w:t xml:space="preserve">3. Role-Based Status Lifecycle Engine: </w:t>
            </w:r>
            <w:r>
              <w:rPr>
                <w:rFonts w:ascii="Calibri" w:hAnsi="Calibri"/>
                <w:sz w:val="22"/>
              </w:rPr>
              <w:t xml:space="preserve"> Finite state machine governing legal transitions: PENDING -&gt; ACTIVE -&gt; BLOCKED / CLOSED, allowing authorized officers to approve or freeze cards.</w:t>
            </w:r>
          </w:p>
          <w:p>
            <w:pPr>
              <w:spacing w:before="20" w:after="60" w:line="276" w:lineRule="auto"/>
            </w:pPr>
            <w:r>
              <w:rPr>
                <w:rFonts w:ascii="Calibri" w:hAnsi="Calibri"/>
                <w:b/>
                <w:sz w:val="22"/>
              </w:rPr>
              <w:t xml:space="preserve">4. Summary Metrics Dashboard: </w:t>
            </w:r>
            <w:r>
              <w:rPr>
                <w:rFonts w:ascii="Calibri" w:hAnsi="Calibri"/>
                <w:sz w:val="22"/>
              </w:rPr>
              <w:t xml:space="preserve"> Real-time analytical dashboard rendering key performance indicators: Total Cards Issued, Active Cards, Pending Applications, and Blocked Cards.</w:t>
            </w:r>
          </w:p>
          <w:p>
            <w:pPr>
              <w:spacing w:before="20" w:after="60" w:line="276" w:lineRule="auto"/>
            </w:pPr>
            <w:r>
              <w:rPr>
                <w:rFonts w:ascii="Calibri" w:hAnsi="Calibri"/>
                <w:b/>
                <w:sz w:val="22"/>
              </w:rPr>
              <w:t xml:space="preserve">5. Spring Boot Actuator Telemetry Probe: </w:t>
            </w:r>
            <w:r>
              <w:rPr>
                <w:rFonts w:ascii="Calibri" w:hAnsi="Calibri"/>
                <w:sz w:val="22"/>
              </w:rPr>
              <w:t xml:space="preserve"> Production-grade HTTP GET /actuator/health endpoint returning real-time JSON liveness status ('UP') for automated CI/CD and Ansible reliability checks.</w:t>
            </w:r>
          </w:p>
          <w:p>
            <w:pPr>
              <w:spacing w:before="20" w:after="60" w:line="276" w:lineRule="auto"/>
            </w:pPr>
            <w:r>
              <w:rPr>
                <w:rFonts w:ascii="Calibri" w:hAnsi="Calibri"/>
                <w:sz w:val="22"/>
              </w:rPr>
              <w:t>Table 1.4 details the approved 15-Task execution roadmap, outlining the tangible engineering deliverable and quality gate criteria for every laboratory task from inception to final viva.</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700" w:type="dxa"/>
                  <w:shd w:fill="EAECEE"/>
                </w:tcPr>
                <w:p>
                  <w:pPr>
                    <w:spacing w:before="40" w:after="40" w:line="276" w:lineRule="auto"/>
                    <w:jc w:val="left"/>
                  </w:pPr>
                  <w:r>
                    <w:rPr>
                      <w:rFonts w:ascii="Calibri" w:hAnsi="Calibri"/>
                      <w:b/>
                      <w:sz w:val="19"/>
                    </w:rPr>
                    <w:t>Task #</w:t>
                  </w:r>
                </w:p>
              </w:tc>
              <w:tc>
                <w:tcPr>
                  <w:tcW w:w="2200" w:type="dxa"/>
                  <w:shd w:fill="EAECEE"/>
                </w:tcPr>
                <w:p>
                  <w:pPr>
                    <w:spacing w:before="40" w:after="40" w:line="276" w:lineRule="auto"/>
                    <w:jc w:val="left"/>
                  </w:pPr>
                  <w:r>
                    <w:rPr>
                      <w:rFonts w:ascii="Calibri" w:hAnsi="Calibri"/>
                      <w:b/>
                      <w:sz w:val="19"/>
                    </w:rPr>
                    <w:t>University Syllabus Task Title</w:t>
                  </w:r>
                </w:p>
              </w:tc>
              <w:tc>
                <w:tcPr>
                  <w:tcW w:w="2800" w:type="dxa"/>
                  <w:shd w:fill="EAECEE"/>
                </w:tcPr>
                <w:p>
                  <w:pPr>
                    <w:spacing w:before="40" w:after="40" w:line="276" w:lineRule="auto"/>
                    <w:jc w:val="left"/>
                  </w:pPr>
                  <w:r>
                    <w:rPr>
                      <w:rFonts w:ascii="Calibri" w:hAnsi="Calibri"/>
                      <w:b/>
                      <w:sz w:val="19"/>
                    </w:rPr>
                    <w:t>Scope &amp; Key Technical Activities</w:t>
                  </w:r>
                </w:p>
              </w:tc>
              <w:tc>
                <w:tcPr>
                  <w:tcW w:w="2200" w:type="dxa"/>
                  <w:shd w:fill="EAECEE"/>
                </w:tcPr>
                <w:p>
                  <w:pPr>
                    <w:spacing w:before="40" w:after="40" w:line="276" w:lineRule="auto"/>
                    <w:jc w:val="left"/>
                  </w:pPr>
                  <w:r>
                    <w:rPr>
                      <w:rFonts w:ascii="Calibri" w:hAnsi="Calibri"/>
                      <w:b/>
                      <w:sz w:val="19"/>
                    </w:rPr>
                    <w:t>Tangible Deliverable &amp; Artifact</w:t>
                  </w:r>
                </w:p>
              </w:tc>
            </w:tr>
            <w:tr>
              <w:trPr>
                <w:cantSplit/>
              </w:trPr>
              <w:tc>
                <w:tcPr>
                  <w:tcW w:w="700" w:type="dxa"/>
                </w:tcPr>
                <w:p>
                  <w:pPr>
                    <w:spacing w:before="40" w:after="40" w:line="276" w:lineRule="auto"/>
                    <w:jc w:val="left"/>
                  </w:pPr>
                  <w:r>
                    <w:rPr>
                      <w:rFonts w:ascii="Calibri" w:hAnsi="Calibri"/>
                      <w:b w:val="0"/>
                      <w:sz w:val="17"/>
                    </w:rPr>
                    <w:t>Task 1</w:t>
                  </w:r>
                </w:p>
              </w:tc>
              <w:tc>
                <w:tcPr>
                  <w:tcW w:w="2200" w:type="dxa"/>
                </w:tcPr>
                <w:p>
                  <w:pPr>
                    <w:spacing w:before="40" w:after="40" w:line="276" w:lineRule="auto"/>
                    <w:jc w:val="left"/>
                  </w:pPr>
                  <w:r>
                    <w:rPr>
                      <w:rFonts w:ascii="Calibri" w:hAnsi="Calibri"/>
                      <w:b w:val="0"/>
                      <w:sz w:val="17"/>
                    </w:rPr>
                    <w:t>Problem Definition and Scope</w:t>
                  </w:r>
                </w:p>
              </w:tc>
              <w:tc>
                <w:tcPr>
                  <w:tcW w:w="2800" w:type="dxa"/>
                </w:tcPr>
                <w:p>
                  <w:pPr>
                    <w:spacing w:before="40" w:after="40" w:line="276" w:lineRule="auto"/>
                    <w:jc w:val="left"/>
                  </w:pPr>
                  <w:r>
                    <w:rPr>
                      <w:rFonts w:ascii="Calibri" w:hAnsi="Calibri"/>
                      <w:b w:val="0"/>
                      <w:sz w:val="17"/>
                    </w:rPr>
                    <w:t>Study real-time need for Credit Card Service Portal, stakeholders, pain points, constraints, and freeze 15-task scope.</w:t>
                  </w:r>
                </w:p>
              </w:tc>
              <w:tc>
                <w:tcPr>
                  <w:tcW w:w="2200" w:type="dxa"/>
                </w:tcPr>
                <w:p>
                  <w:pPr>
                    <w:spacing w:before="40" w:after="40" w:line="276" w:lineRule="auto"/>
                    <w:jc w:val="left"/>
                  </w:pPr>
                  <w:r>
                    <w:rPr>
                      <w:rFonts w:ascii="Calibri" w:hAnsi="Calibri"/>
                      <w:b w:val="0"/>
                      <w:sz w:val="17"/>
                    </w:rPr>
                    <w:t>Problem statement, stakeholder matrix, SMART objectives, approved MVP scope.</w:t>
                  </w:r>
                </w:p>
              </w:tc>
            </w:tr>
            <w:tr>
              <w:trPr>
                <w:cantSplit/>
              </w:trPr>
              <w:tc>
                <w:tcPr>
                  <w:tcW w:w="700" w:type="dxa"/>
                </w:tcPr>
                <w:p>
                  <w:pPr>
                    <w:spacing w:before="40" w:after="40" w:line="276" w:lineRule="auto"/>
                    <w:jc w:val="left"/>
                  </w:pPr>
                  <w:r>
                    <w:rPr>
                      <w:rFonts w:ascii="Calibri" w:hAnsi="Calibri"/>
                      <w:b w:val="0"/>
                      <w:sz w:val="17"/>
                    </w:rPr>
                    <w:t>Task 2</w:t>
                  </w:r>
                </w:p>
              </w:tc>
              <w:tc>
                <w:tcPr>
                  <w:tcW w:w="2200" w:type="dxa"/>
                </w:tcPr>
                <w:p>
                  <w:pPr>
                    <w:spacing w:before="40" w:after="40" w:line="276" w:lineRule="auto"/>
                    <w:jc w:val="left"/>
                  </w:pPr>
                  <w:r>
                    <w:rPr>
                      <w:rFonts w:ascii="Calibri" w:hAnsi="Calibri"/>
                      <w:b w:val="0"/>
                      <w:sz w:val="17"/>
                    </w:rPr>
                    <w:t>Agile Planning and DevOps Workflow</w:t>
                  </w:r>
                </w:p>
              </w:tc>
              <w:tc>
                <w:tcPr>
                  <w:tcW w:w="2800" w:type="dxa"/>
                </w:tcPr>
                <w:p>
                  <w:pPr>
                    <w:spacing w:before="40" w:after="40" w:line="276" w:lineRule="auto"/>
                    <w:jc w:val="left"/>
                  </w:pPr>
                  <w:r>
                    <w:rPr>
                      <w:rFonts w:ascii="Calibri" w:hAnsi="Calibri"/>
                      <w:b w:val="0"/>
                      <w:sz w:val="17"/>
                    </w:rPr>
                    <w:t>Create user stories, acceptance criteria, product backlog, 15-task Kanban plan, DoD, and end-to-end DevOps diagram.</w:t>
                  </w:r>
                </w:p>
              </w:tc>
              <w:tc>
                <w:tcPr>
                  <w:tcW w:w="2200" w:type="dxa"/>
                </w:tcPr>
                <w:p>
                  <w:pPr>
                    <w:spacing w:before="40" w:after="40" w:line="276" w:lineRule="auto"/>
                    <w:jc w:val="left"/>
                  </w:pPr>
                  <w:r>
                    <w:rPr>
                      <w:rFonts w:ascii="Calibri" w:hAnsi="Calibri"/>
                      <w:b w:val="0"/>
                      <w:sz w:val="17"/>
                    </w:rPr>
                    <w:t>Product backlog, Scrum sprint plan, Definition of Done, DevOps lifecycle visual.</w:t>
                  </w:r>
                </w:p>
              </w:tc>
            </w:tr>
            <w:tr>
              <w:trPr>
                <w:cantSplit/>
              </w:trPr>
              <w:tc>
                <w:tcPr>
                  <w:tcW w:w="700" w:type="dxa"/>
                </w:tcPr>
                <w:p>
                  <w:pPr>
                    <w:spacing w:before="40" w:after="40" w:line="276" w:lineRule="auto"/>
                    <w:jc w:val="left"/>
                  </w:pPr>
                  <w:r>
                    <w:rPr>
                      <w:rFonts w:ascii="Calibri" w:hAnsi="Calibri"/>
                      <w:b w:val="0"/>
                      <w:sz w:val="17"/>
                    </w:rPr>
                    <w:t>Task 3</w:t>
                  </w:r>
                </w:p>
              </w:tc>
              <w:tc>
                <w:tcPr>
                  <w:tcW w:w="2200" w:type="dxa"/>
                </w:tcPr>
                <w:p>
                  <w:pPr>
                    <w:spacing w:before="40" w:after="40" w:line="276" w:lineRule="auto"/>
                    <w:jc w:val="left"/>
                  </w:pPr>
                  <w:r>
                    <w:rPr>
                      <w:rFonts w:ascii="Calibri" w:hAnsi="Calibri"/>
                      <w:b w:val="0"/>
                      <w:sz w:val="17"/>
                    </w:rPr>
                    <w:t>Requirements, Architecture &amp; Setup</w:t>
                  </w:r>
                </w:p>
              </w:tc>
              <w:tc>
                <w:tcPr>
                  <w:tcW w:w="2800" w:type="dxa"/>
                </w:tcPr>
                <w:p>
                  <w:pPr>
                    <w:spacing w:before="40" w:after="40" w:line="276" w:lineRule="auto"/>
                    <w:jc w:val="left"/>
                  </w:pPr>
                  <w:r>
                    <w:rPr>
                      <w:rFonts w:ascii="Calibri" w:hAnsi="Calibri"/>
                      <w:b w:val="0"/>
                      <w:sz w:val="17"/>
                    </w:rPr>
                    <w:t>Architect 4-tier Spring Boot app, in-memory H2 DB, Thymeleaf UI, Actuator health, and Maven wrapper local setup.</w:t>
                  </w:r>
                </w:p>
              </w:tc>
              <w:tc>
                <w:tcPr>
                  <w:tcW w:w="2200" w:type="dxa"/>
                </w:tcPr>
                <w:p>
                  <w:pPr>
                    <w:spacing w:before="40" w:after="40" w:line="276" w:lineRule="auto"/>
                    <w:jc w:val="left"/>
                  </w:pPr>
                  <w:r>
                    <w:rPr>
                      <w:rFonts w:ascii="Calibri" w:hAnsi="Calibri"/>
                      <w:b w:val="0"/>
                      <w:sz w:val="17"/>
                    </w:rPr>
                    <w:t>SRS summary, use-case diagram, architecture schematic, working local setup.</w:t>
                  </w:r>
                </w:p>
              </w:tc>
            </w:tr>
            <w:tr>
              <w:trPr>
                <w:cantSplit/>
              </w:trPr>
              <w:tc>
                <w:tcPr>
                  <w:tcW w:w="700" w:type="dxa"/>
                </w:tcPr>
                <w:p>
                  <w:pPr>
                    <w:spacing w:before="40" w:after="40" w:line="276" w:lineRule="auto"/>
                    <w:jc w:val="left"/>
                  </w:pPr>
                  <w:r>
                    <w:rPr>
                      <w:rFonts w:ascii="Calibri" w:hAnsi="Calibri"/>
                      <w:b w:val="0"/>
                      <w:sz w:val="17"/>
                    </w:rPr>
                    <w:t>Task 4</w:t>
                  </w:r>
                </w:p>
              </w:tc>
              <w:tc>
                <w:tcPr>
                  <w:tcW w:w="2200" w:type="dxa"/>
                </w:tcPr>
                <w:p>
                  <w:pPr>
                    <w:spacing w:before="40" w:after="40" w:line="276" w:lineRule="auto"/>
                    <w:jc w:val="left"/>
                  </w:pPr>
                  <w:r>
                    <w:rPr>
                      <w:rFonts w:ascii="Calibri" w:hAnsi="Calibri"/>
                      <w:b w:val="0"/>
                      <w:sz w:val="17"/>
                    </w:rPr>
                    <w:t>Git and GitHub Repo Initialization</w:t>
                  </w:r>
                </w:p>
              </w:tc>
              <w:tc>
                <w:tcPr>
                  <w:tcW w:w="2800" w:type="dxa"/>
                </w:tcPr>
                <w:p>
                  <w:pPr>
                    <w:spacing w:before="40" w:after="40" w:line="276" w:lineRule="auto"/>
                    <w:jc w:val="left"/>
                  </w:pPr>
                  <w:r>
                    <w:rPr>
                      <w:rFonts w:ascii="Calibri" w:hAnsi="Calibri"/>
                      <w:b w:val="0"/>
                      <w:sz w:val="17"/>
                    </w:rPr>
                    <w:t>Initialize Git repository, configure .gitignore, README, issue templates, branch policies, and initial skeleton commit.</w:t>
                  </w:r>
                </w:p>
              </w:tc>
              <w:tc>
                <w:tcPr>
                  <w:tcW w:w="2200" w:type="dxa"/>
                </w:tcPr>
                <w:p>
                  <w:pPr>
                    <w:spacing w:before="40" w:after="40" w:line="276" w:lineRule="auto"/>
                    <w:jc w:val="left"/>
                  </w:pPr>
                  <w:r>
                    <w:rPr>
                      <w:rFonts w:ascii="Calibri" w:hAnsi="Calibri"/>
                      <w:b w:val="0"/>
                      <w:sz w:val="17"/>
                    </w:rPr>
                    <w:t>GitHub repository URL, README.md, branching strategy, initial commit log.</w:t>
                  </w:r>
                </w:p>
              </w:tc>
            </w:tr>
            <w:tr>
              <w:trPr>
                <w:cantSplit/>
              </w:trPr>
              <w:tc>
                <w:tcPr>
                  <w:tcW w:w="700" w:type="dxa"/>
                </w:tcPr>
                <w:p>
                  <w:pPr>
                    <w:spacing w:before="40" w:after="40" w:line="276" w:lineRule="auto"/>
                    <w:jc w:val="left"/>
                  </w:pPr>
                  <w:r>
                    <w:rPr>
                      <w:rFonts w:ascii="Calibri" w:hAnsi="Calibri"/>
                      <w:b w:val="0"/>
                      <w:sz w:val="17"/>
                    </w:rPr>
                    <w:t>Task 5</w:t>
                  </w:r>
                </w:p>
              </w:tc>
              <w:tc>
                <w:tcPr>
                  <w:tcW w:w="2200" w:type="dxa"/>
                </w:tcPr>
                <w:p>
                  <w:pPr>
                    <w:spacing w:before="40" w:after="40" w:line="276" w:lineRule="auto"/>
                    <w:jc w:val="left"/>
                  </w:pPr>
                  <w:r>
                    <w:rPr>
                      <w:rFonts w:ascii="Calibri" w:hAnsi="Calibri"/>
                      <w:b w:val="0"/>
                      <w:sz w:val="17"/>
                    </w:rPr>
                    <w:t>Feature Development with Branching</w:t>
                  </w:r>
                </w:p>
              </w:tc>
              <w:tc>
                <w:tcPr>
                  <w:tcW w:w="2800" w:type="dxa"/>
                </w:tcPr>
                <w:p>
                  <w:pPr>
                    <w:spacing w:before="40" w:after="40" w:line="276" w:lineRule="auto"/>
                    <w:jc w:val="left"/>
                  </w:pPr>
                  <w:r>
                    <w:rPr>
                      <w:rFonts w:ascii="Calibri" w:hAnsi="Calibri"/>
                      <w:b w:val="0"/>
                      <w:sz w:val="17"/>
                    </w:rPr>
                    <w:t>Implement core Card Application module on feature/card-application branch, PR review, and merge into dev.</w:t>
                  </w:r>
                </w:p>
              </w:tc>
              <w:tc>
                <w:tcPr>
                  <w:tcW w:w="2200" w:type="dxa"/>
                </w:tcPr>
                <w:p>
                  <w:pPr>
                    <w:spacing w:before="40" w:after="40" w:line="276" w:lineRule="auto"/>
                    <w:jc w:val="left"/>
                  </w:pPr>
                  <w:r>
                    <w:rPr>
                      <w:rFonts w:ascii="Calibri" w:hAnsi="Calibri"/>
                      <w:b w:val="0"/>
                      <w:sz w:val="17"/>
                    </w:rPr>
                    <w:t>Feature 1 code, git log, pull request review comments, clean merge evidence.</w:t>
                  </w:r>
                </w:p>
              </w:tc>
            </w:tr>
            <w:tr>
              <w:trPr>
                <w:cantSplit/>
              </w:trPr>
              <w:tc>
                <w:tcPr>
                  <w:tcW w:w="700" w:type="dxa"/>
                </w:tcPr>
                <w:p>
                  <w:pPr>
                    <w:spacing w:before="40" w:after="40" w:line="276" w:lineRule="auto"/>
                    <w:jc w:val="left"/>
                  </w:pPr>
                  <w:r>
                    <w:rPr>
                      <w:rFonts w:ascii="Calibri" w:hAnsi="Calibri"/>
                      <w:b w:val="0"/>
                      <w:sz w:val="17"/>
                    </w:rPr>
                    <w:t>Task 6</w:t>
                  </w:r>
                </w:p>
              </w:tc>
              <w:tc>
                <w:tcPr>
                  <w:tcW w:w="2200" w:type="dxa"/>
                </w:tcPr>
                <w:p>
                  <w:pPr>
                    <w:spacing w:before="40" w:after="40" w:line="276" w:lineRule="auto"/>
                    <w:jc w:val="left"/>
                  </w:pPr>
                  <w:r>
                    <w:rPr>
                      <w:rFonts w:ascii="Calibri" w:hAnsi="Calibri"/>
                      <w:b w:val="0"/>
                      <w:sz w:val="17"/>
                    </w:rPr>
                    <w:t>MVP Completion &amp; Git Collaboration</w:t>
                  </w:r>
                </w:p>
              </w:tc>
              <w:tc>
                <w:tcPr>
                  <w:tcW w:w="2800" w:type="dxa"/>
                </w:tcPr>
                <w:p>
                  <w:pPr>
                    <w:spacing w:before="40" w:after="40" w:line="276" w:lineRule="auto"/>
                    <w:jc w:val="left"/>
                  </w:pPr>
                  <w:r>
                    <w:rPr>
                      <w:rFonts w:ascii="Calibri" w:hAnsi="Calibri"/>
                      <w:b w:val="0"/>
                      <w:sz w:val="17"/>
                    </w:rPr>
                    <w:t>Implement search, status lifecycle, and metrics dashboard; demonstrate merge conflict creation, resolution, and tag v1.0.0.</w:t>
                  </w:r>
                </w:p>
              </w:tc>
              <w:tc>
                <w:tcPr>
                  <w:tcW w:w="2200" w:type="dxa"/>
                </w:tcPr>
                <w:p>
                  <w:pPr>
                    <w:spacing w:before="40" w:after="40" w:line="276" w:lineRule="auto"/>
                    <w:jc w:val="left"/>
                  </w:pPr>
                  <w:r>
                    <w:rPr>
                      <w:rFonts w:ascii="Calibri" w:hAnsi="Calibri"/>
                      <w:b w:val="0"/>
                      <w:sz w:val="17"/>
                    </w:rPr>
                    <w:t>Functional MVP, resolved conflict evidence, Git tag v1.0.0, updated backlog.</w:t>
                  </w:r>
                </w:p>
              </w:tc>
            </w:tr>
            <w:tr>
              <w:trPr>
                <w:cantSplit/>
              </w:trPr>
              <w:tc>
                <w:tcPr>
                  <w:tcW w:w="700" w:type="dxa"/>
                </w:tcPr>
                <w:p>
                  <w:pPr>
                    <w:spacing w:before="40" w:after="40" w:line="276" w:lineRule="auto"/>
                    <w:jc w:val="left"/>
                  </w:pPr>
                  <w:r>
                    <w:rPr>
                      <w:rFonts w:ascii="Calibri" w:hAnsi="Calibri"/>
                      <w:b w:val="0"/>
                      <w:sz w:val="17"/>
                    </w:rPr>
                    <w:t>Task 7</w:t>
                  </w:r>
                </w:p>
              </w:tc>
              <w:tc>
                <w:tcPr>
                  <w:tcW w:w="2200" w:type="dxa"/>
                </w:tcPr>
                <w:p>
                  <w:pPr>
                    <w:spacing w:before="40" w:after="40" w:line="276" w:lineRule="auto"/>
                    <w:jc w:val="left"/>
                  </w:pPr>
                  <w:r>
                    <w:rPr>
                      <w:rFonts w:ascii="Calibri" w:hAnsi="Calibri"/>
                      <w:b w:val="0"/>
                      <w:sz w:val="17"/>
                    </w:rPr>
                    <w:t>Jenkins Installation &amp; CI Job</w:t>
                  </w:r>
                </w:p>
              </w:tc>
              <w:tc>
                <w:tcPr>
                  <w:tcW w:w="2800" w:type="dxa"/>
                </w:tcPr>
                <w:p>
                  <w:pPr>
                    <w:spacing w:before="40" w:after="40" w:line="276" w:lineRule="auto"/>
                    <w:jc w:val="left"/>
                  </w:pPr>
                  <w:r>
                    <w:rPr>
                      <w:rFonts w:ascii="Calibri" w:hAnsi="Calibri"/>
                      <w:b w:val="0"/>
                      <w:sz w:val="17"/>
                    </w:rPr>
                    <w:t>Install Jenkins, configure Maven integration, trigger automated build job on commit, and archive artifacts.</w:t>
                  </w:r>
                </w:p>
              </w:tc>
              <w:tc>
                <w:tcPr>
                  <w:tcW w:w="2200" w:type="dxa"/>
                </w:tcPr>
                <w:p>
                  <w:pPr>
                    <w:spacing w:before="40" w:after="40" w:line="276" w:lineRule="auto"/>
                    <w:jc w:val="left"/>
                  </w:pPr>
                  <w:r>
                    <w:rPr>
                      <w:rFonts w:ascii="Calibri" w:hAnsi="Calibri"/>
                      <w:b w:val="0"/>
                      <w:sz w:val="17"/>
                    </w:rPr>
                    <w:t>Jenkins CI configuration, build console log, artifact archive evidence.</w:t>
                  </w:r>
                </w:p>
              </w:tc>
            </w:tr>
            <w:tr>
              <w:trPr>
                <w:cantSplit/>
              </w:trPr>
              <w:tc>
                <w:tcPr>
                  <w:tcW w:w="700" w:type="dxa"/>
                </w:tcPr>
                <w:p>
                  <w:pPr>
                    <w:spacing w:before="40" w:after="40" w:line="276" w:lineRule="auto"/>
                    <w:jc w:val="left"/>
                  </w:pPr>
                  <w:r>
                    <w:rPr>
                      <w:rFonts w:ascii="Calibri" w:hAnsi="Calibri"/>
                      <w:b w:val="0"/>
                      <w:sz w:val="17"/>
                    </w:rPr>
                    <w:t>Task 8</w:t>
                  </w:r>
                </w:p>
              </w:tc>
              <w:tc>
                <w:tcPr>
                  <w:tcW w:w="2200" w:type="dxa"/>
                </w:tcPr>
                <w:p>
                  <w:pPr>
                    <w:spacing w:before="40" w:after="40" w:line="276" w:lineRule="auto"/>
                    <w:jc w:val="left"/>
                  </w:pPr>
                  <w:r>
                    <w:rPr>
                      <w:rFonts w:ascii="Calibri" w:hAnsi="Calibri"/>
                      <w:b w:val="0"/>
                      <w:sz w:val="17"/>
                    </w:rPr>
                    <w:t>Pipeline as Code &amp; Server Deploy</w:t>
                  </w:r>
                </w:p>
              </w:tc>
              <w:tc>
                <w:tcPr>
                  <w:tcW w:w="2800" w:type="dxa"/>
                </w:tcPr>
                <w:p>
                  <w:pPr>
                    <w:spacing w:before="40" w:after="40" w:line="276" w:lineRule="auto"/>
                    <w:jc w:val="left"/>
                  </w:pPr>
                  <w:r>
                    <w:rPr>
                      <w:rFonts w:ascii="Calibri" w:hAnsi="Calibri"/>
                      <w:b w:val="0"/>
                      <w:sz w:val="17"/>
                    </w:rPr>
                    <w:t>Author Jenkinsfile with checkout, build, package, test, and deploy stages; parameterize deployment target.</w:t>
                  </w:r>
                </w:p>
              </w:tc>
              <w:tc>
                <w:tcPr>
                  <w:tcW w:w="2200" w:type="dxa"/>
                </w:tcPr>
                <w:p>
                  <w:pPr>
                    <w:spacing w:before="40" w:after="40" w:line="276" w:lineRule="auto"/>
                    <w:jc w:val="left"/>
                  </w:pPr>
                  <w:r>
                    <w:rPr>
                      <w:rFonts w:ascii="Calibri" w:hAnsi="Calibri"/>
                      <w:b w:val="0"/>
                      <w:sz w:val="17"/>
                    </w:rPr>
                    <w:t>Declarative Jenkinsfile, successful pipeline run screenshot, deployment log.</w:t>
                  </w:r>
                </w:p>
              </w:tc>
            </w:tr>
            <w:tr>
              <w:trPr>
                <w:cantSplit/>
              </w:trPr>
              <w:tc>
                <w:tcPr>
                  <w:tcW w:w="700" w:type="dxa"/>
                </w:tcPr>
                <w:p>
                  <w:pPr>
                    <w:spacing w:before="40" w:after="40" w:line="276" w:lineRule="auto"/>
                    <w:jc w:val="left"/>
                  </w:pPr>
                  <w:r>
                    <w:rPr>
                      <w:rFonts w:ascii="Calibri" w:hAnsi="Calibri"/>
                      <w:b w:val="0"/>
                      <w:sz w:val="17"/>
                    </w:rPr>
                    <w:t>Task 9</w:t>
                  </w:r>
                </w:p>
              </w:tc>
              <w:tc>
                <w:tcPr>
                  <w:tcW w:w="2200" w:type="dxa"/>
                </w:tcPr>
                <w:p>
                  <w:pPr>
                    <w:spacing w:before="40" w:after="40" w:line="276" w:lineRule="auto"/>
                    <w:jc w:val="left"/>
                  </w:pPr>
                  <w:r>
                    <w:rPr>
                      <w:rFonts w:ascii="Calibri" w:hAnsi="Calibri"/>
                      <w:b w:val="0"/>
                      <w:sz w:val="17"/>
                    </w:rPr>
                    <w:t>Selenium Test Design &amp; Local Run</w:t>
                  </w:r>
                </w:p>
              </w:tc>
              <w:tc>
                <w:tcPr>
                  <w:tcW w:w="2800" w:type="dxa"/>
                </w:tcPr>
                <w:p>
                  <w:pPr>
                    <w:spacing w:before="40" w:after="40" w:line="276" w:lineRule="auto"/>
                    <w:jc w:val="left"/>
                  </w:pPr>
                  <w:r>
                    <w:rPr>
                      <w:rFonts w:ascii="Calibri" w:hAnsi="Calibri"/>
                      <w:b w:val="0"/>
                      <w:sz w:val="17"/>
                    </w:rPr>
                    <w:t>Develop 4 critical user journeys with Selenium WebDriver, JUnit 5 assertions, and failure screenshot hook.</w:t>
                  </w:r>
                </w:p>
              </w:tc>
              <w:tc>
                <w:tcPr>
                  <w:tcW w:w="2200" w:type="dxa"/>
                </w:tcPr>
                <w:p>
                  <w:pPr>
                    <w:spacing w:before="40" w:after="40" w:line="276" w:lineRule="auto"/>
                    <w:jc w:val="left"/>
                  </w:pPr>
                  <w:r>
                    <w:rPr>
                      <w:rFonts w:ascii="Calibri" w:hAnsi="Calibri"/>
                      <w:b w:val="0"/>
                      <w:sz w:val="17"/>
                    </w:rPr>
                    <w:t>Selenium test suite, test execution report, failure capture mechanism.</w:t>
                  </w:r>
                </w:p>
              </w:tc>
            </w:tr>
            <w:tr>
              <w:trPr>
                <w:cantSplit/>
              </w:trPr>
              <w:tc>
                <w:tcPr>
                  <w:tcW w:w="700" w:type="dxa"/>
                </w:tcPr>
                <w:p>
                  <w:pPr>
                    <w:spacing w:before="40" w:after="40" w:line="276" w:lineRule="auto"/>
                    <w:jc w:val="left"/>
                  </w:pPr>
                  <w:r>
                    <w:rPr>
                      <w:rFonts w:ascii="Calibri" w:hAnsi="Calibri"/>
                      <w:b w:val="0"/>
                      <w:sz w:val="17"/>
                    </w:rPr>
                    <w:t>Task 10</w:t>
                  </w:r>
                </w:p>
              </w:tc>
              <w:tc>
                <w:tcPr>
                  <w:tcW w:w="2200" w:type="dxa"/>
                </w:tcPr>
                <w:p>
                  <w:pPr>
                    <w:spacing w:before="40" w:after="40" w:line="276" w:lineRule="auto"/>
                    <w:jc w:val="left"/>
                  </w:pPr>
                  <w:r>
                    <w:rPr>
                      <w:rFonts w:ascii="Calibri" w:hAnsi="Calibri"/>
                      <w:b w:val="0"/>
                      <w:sz w:val="17"/>
                    </w:rPr>
                    <w:t>Continuous Testing in Jenkins</w:t>
                  </w:r>
                </w:p>
              </w:tc>
              <w:tc>
                <w:tcPr>
                  <w:tcW w:w="2800" w:type="dxa"/>
                </w:tcPr>
                <w:p>
                  <w:pPr>
                    <w:spacing w:before="40" w:after="40" w:line="276" w:lineRule="auto"/>
                    <w:jc w:val="left"/>
                  </w:pPr>
                  <w:r>
                    <w:rPr>
                      <w:rFonts w:ascii="Calibri" w:hAnsi="Calibri"/>
                      <w:b w:val="0"/>
                      <w:sz w:val="17"/>
                    </w:rPr>
                    <w:t>Integrate Selenium suite into Jenkins quality gate, simulate intentional defect to fail build, fix bug, and rerun.</w:t>
                  </w:r>
                </w:p>
              </w:tc>
              <w:tc>
                <w:tcPr>
                  <w:tcW w:w="2200" w:type="dxa"/>
                </w:tcPr>
                <w:p>
                  <w:pPr>
                    <w:spacing w:before="40" w:after="40" w:line="276" w:lineRule="auto"/>
                    <w:jc w:val="left"/>
                  </w:pPr>
                  <w:r>
                    <w:rPr>
                      <w:rFonts w:ascii="Calibri" w:hAnsi="Calibri"/>
                      <w:b w:val="0"/>
                      <w:sz w:val="17"/>
                    </w:rPr>
                    <w:t>Jenkins test report, failed pipeline evidence, bug fix commit, green pipeline.</w:t>
                  </w:r>
                </w:p>
              </w:tc>
            </w:tr>
            <w:tr>
              <w:trPr>
                <w:cantSplit/>
              </w:trPr>
              <w:tc>
                <w:tcPr>
                  <w:tcW w:w="700" w:type="dxa"/>
                </w:tcPr>
                <w:p>
                  <w:pPr>
                    <w:spacing w:before="40" w:after="40" w:line="276" w:lineRule="auto"/>
                    <w:jc w:val="left"/>
                  </w:pPr>
                  <w:r>
                    <w:rPr>
                      <w:rFonts w:ascii="Calibri" w:hAnsi="Calibri"/>
                      <w:b w:val="0"/>
                      <w:sz w:val="17"/>
                    </w:rPr>
                    <w:t>Task 11</w:t>
                  </w:r>
                </w:p>
              </w:tc>
              <w:tc>
                <w:tcPr>
                  <w:tcW w:w="2200" w:type="dxa"/>
                </w:tcPr>
                <w:p>
                  <w:pPr>
                    <w:spacing w:before="40" w:after="40" w:line="276" w:lineRule="auto"/>
                    <w:jc w:val="left"/>
                  </w:pPr>
                  <w:r>
                    <w:rPr>
                      <w:rFonts w:ascii="Calibri" w:hAnsi="Calibri"/>
                      <w:b w:val="0"/>
                      <w:sz w:val="17"/>
                    </w:rPr>
                    <w:t>Docker Image &amp; Container Lifecycle</w:t>
                  </w:r>
                </w:p>
              </w:tc>
              <w:tc>
                <w:tcPr>
                  <w:tcW w:w="2800" w:type="dxa"/>
                </w:tcPr>
                <w:p>
                  <w:pPr>
                    <w:spacing w:before="40" w:after="40" w:line="276" w:lineRule="auto"/>
                    <w:jc w:val="left"/>
                  </w:pPr>
                  <w:r>
                    <w:rPr>
                      <w:rFonts w:ascii="Calibri" w:hAnsi="Calibri"/>
                      <w:b w:val="0"/>
                      <w:sz w:val="17"/>
                    </w:rPr>
                    <w:t>Create multi-stage Dockerfile, build, tag, run container on port 8080, inspect logs, and manage container lifecycle.</w:t>
                  </w:r>
                </w:p>
              </w:tc>
              <w:tc>
                <w:tcPr>
                  <w:tcW w:w="2200" w:type="dxa"/>
                </w:tcPr>
                <w:p>
                  <w:pPr>
                    <w:spacing w:before="40" w:after="40" w:line="276" w:lineRule="auto"/>
                    <w:jc w:val="left"/>
                  </w:pPr>
                  <w:r>
                    <w:rPr>
                      <w:rFonts w:ascii="Calibri" w:hAnsi="Calibri"/>
                      <w:b w:val="0"/>
                      <w:sz w:val="17"/>
                    </w:rPr>
                    <w:t>Multi-stage Dockerfile, container inspect logs, lifecycle commands log.</w:t>
                  </w:r>
                </w:p>
              </w:tc>
            </w:tr>
            <w:tr>
              <w:trPr>
                <w:cantSplit/>
              </w:trPr>
              <w:tc>
                <w:tcPr>
                  <w:tcW w:w="700" w:type="dxa"/>
                </w:tcPr>
                <w:p>
                  <w:pPr>
                    <w:spacing w:before="40" w:after="40" w:line="276" w:lineRule="auto"/>
                    <w:jc w:val="left"/>
                  </w:pPr>
                  <w:r>
                    <w:rPr>
                      <w:rFonts w:ascii="Calibri" w:hAnsi="Calibri"/>
                      <w:b w:val="0"/>
                      <w:sz w:val="17"/>
                    </w:rPr>
                    <w:t>Task 12</w:t>
                  </w:r>
                </w:p>
              </w:tc>
              <w:tc>
                <w:tcPr>
                  <w:tcW w:w="2200" w:type="dxa"/>
                </w:tcPr>
                <w:p>
                  <w:pPr>
                    <w:spacing w:before="40" w:after="40" w:line="276" w:lineRule="auto"/>
                    <w:jc w:val="left"/>
                  </w:pPr>
                  <w:r>
                    <w:rPr>
                      <w:rFonts w:ascii="Calibri" w:hAnsi="Calibri"/>
                      <w:b w:val="0"/>
                      <w:sz w:val="17"/>
                    </w:rPr>
                    <w:t>Jenkins-Docker Continuous Deployment</w:t>
                  </w:r>
                </w:p>
              </w:tc>
              <w:tc>
                <w:tcPr>
                  <w:tcW w:w="2800" w:type="dxa"/>
                </w:tcPr>
                <w:p>
                  <w:pPr>
                    <w:spacing w:before="40" w:after="40" w:line="276" w:lineRule="auto"/>
                    <w:jc w:val="left"/>
                  </w:pPr>
                  <w:r>
                    <w:rPr>
                      <w:rFonts w:ascii="Calibri" w:hAnsi="Calibri"/>
                      <w:b w:val="0"/>
                      <w:sz w:val="17"/>
                    </w:rPr>
                    <w:t>Extend Jenkinsfile to build versioned Docker image (credit-card-app:${BUILD_NUMBER}) and deploy running container.</w:t>
                  </w:r>
                </w:p>
              </w:tc>
              <w:tc>
                <w:tcPr>
                  <w:tcW w:w="2200" w:type="dxa"/>
                </w:tcPr>
                <w:p>
                  <w:pPr>
                    <w:spacing w:before="40" w:after="40" w:line="276" w:lineRule="auto"/>
                    <w:jc w:val="left"/>
                  </w:pPr>
                  <w:r>
                    <w:rPr>
                      <w:rFonts w:ascii="Calibri" w:hAnsi="Calibri"/>
                      <w:b w:val="0"/>
                      <w:sz w:val="17"/>
                    </w:rPr>
                    <w:t>Automated Docker CD pipeline, versioned container tag, live container proof.</w:t>
                  </w:r>
                </w:p>
              </w:tc>
            </w:tr>
            <w:tr>
              <w:trPr>
                <w:cantSplit/>
              </w:trPr>
              <w:tc>
                <w:tcPr>
                  <w:tcW w:w="700" w:type="dxa"/>
                </w:tcPr>
                <w:p>
                  <w:pPr>
                    <w:spacing w:before="40" w:after="40" w:line="276" w:lineRule="auto"/>
                    <w:jc w:val="left"/>
                  </w:pPr>
                  <w:r>
                    <w:rPr>
                      <w:rFonts w:ascii="Calibri" w:hAnsi="Calibri"/>
                      <w:b w:val="0"/>
                      <w:sz w:val="17"/>
                    </w:rPr>
                    <w:t>Task 13</w:t>
                  </w:r>
                </w:p>
              </w:tc>
              <w:tc>
                <w:tcPr>
                  <w:tcW w:w="2200" w:type="dxa"/>
                </w:tcPr>
                <w:p>
                  <w:pPr>
                    <w:spacing w:before="40" w:after="40" w:line="276" w:lineRule="auto"/>
                    <w:jc w:val="left"/>
                  </w:pPr>
                  <w:r>
                    <w:rPr>
                      <w:rFonts w:ascii="Calibri" w:hAnsi="Calibri"/>
                      <w:b w:val="0"/>
                      <w:sz w:val="17"/>
                    </w:rPr>
                    <w:t>Configuration Management Script</w:t>
                  </w:r>
                </w:p>
              </w:tc>
              <w:tc>
                <w:tcPr>
                  <w:tcW w:w="2800" w:type="dxa"/>
                </w:tcPr>
                <w:p>
                  <w:pPr>
                    <w:spacing w:before="40" w:after="40" w:line="276" w:lineRule="auto"/>
                    <w:jc w:val="left"/>
                  </w:pPr>
                  <w:r>
                    <w:rPr>
                      <w:rFonts w:ascii="Calibri" w:hAnsi="Calibri"/>
                      <w:b w:val="0"/>
                      <w:sz w:val="17"/>
                    </w:rPr>
                    <w:t>Define server prerequisites and author Ansible inventory (hosts.ini) and idempotent playbook (playbook.yml).</w:t>
                  </w:r>
                </w:p>
              </w:tc>
              <w:tc>
                <w:tcPr>
                  <w:tcW w:w="2200" w:type="dxa"/>
                </w:tcPr>
                <w:p>
                  <w:pPr>
                    <w:spacing w:before="40" w:after="40" w:line="276" w:lineRule="auto"/>
                    <w:jc w:val="left"/>
                  </w:pPr>
                  <w:r>
                    <w:rPr>
                      <w:rFonts w:ascii="Calibri" w:hAnsi="Calibri"/>
                      <w:b w:val="0"/>
                      <w:sz w:val="17"/>
                    </w:rPr>
                    <w:t>Ansible inventory, YAML playbook, initial execution log with changed tasks.</w:t>
                  </w:r>
                </w:p>
              </w:tc>
            </w:tr>
            <w:tr>
              <w:trPr>
                <w:cantSplit/>
              </w:trPr>
              <w:tc>
                <w:tcPr>
                  <w:tcW w:w="700" w:type="dxa"/>
                </w:tcPr>
                <w:p>
                  <w:pPr>
                    <w:spacing w:before="40" w:after="40" w:line="276" w:lineRule="auto"/>
                    <w:jc w:val="left"/>
                  </w:pPr>
                  <w:r>
                    <w:rPr>
                      <w:rFonts w:ascii="Calibri" w:hAnsi="Calibri"/>
                      <w:b w:val="0"/>
                      <w:sz w:val="17"/>
                    </w:rPr>
                    <w:t>Task 14</w:t>
                  </w:r>
                </w:p>
              </w:tc>
              <w:tc>
                <w:tcPr>
                  <w:tcW w:w="2200" w:type="dxa"/>
                </w:tcPr>
                <w:p>
                  <w:pPr>
                    <w:spacing w:before="40" w:after="40" w:line="276" w:lineRule="auto"/>
                    <w:jc w:val="left"/>
                  </w:pPr>
                  <w:r>
                    <w:rPr>
                      <w:rFonts w:ascii="Calibri" w:hAnsi="Calibri"/>
                      <w:b w:val="0"/>
                      <w:sz w:val="17"/>
                    </w:rPr>
                    <w:t>Automated Provisioning &amp; Reliability</w:t>
                  </w:r>
                </w:p>
              </w:tc>
              <w:tc>
                <w:tcPr>
                  <w:tcW w:w="2800" w:type="dxa"/>
                </w:tcPr>
                <w:p>
                  <w:pPr>
                    <w:spacing w:before="40" w:after="40" w:line="276" w:lineRule="auto"/>
                    <w:jc w:val="left"/>
                  </w:pPr>
                  <w:r>
                    <w:rPr>
                      <w:rFonts w:ascii="Calibri" w:hAnsi="Calibri"/>
                      <w:b w:val="0"/>
                      <w:sz w:val="17"/>
                    </w:rPr>
                    <w:t>Run Ansible against target node, verify 100% idempotency (changed=0), probe /actuator/health, and test rollback.</w:t>
                  </w:r>
                </w:p>
              </w:tc>
              <w:tc>
                <w:tcPr>
                  <w:tcW w:w="2200" w:type="dxa"/>
                </w:tcPr>
                <w:p>
                  <w:pPr>
                    <w:spacing w:before="40" w:after="40" w:line="276" w:lineRule="auto"/>
                    <w:jc w:val="left"/>
                  </w:pPr>
                  <w:r>
                    <w:rPr>
                      <w:rFonts w:ascii="Calibri" w:hAnsi="Calibri"/>
                      <w:b w:val="0"/>
                      <w:sz w:val="17"/>
                    </w:rPr>
                    <w:t>Ansible idempotency log (changed=0), health check output, rollback log.</w:t>
                  </w:r>
                </w:p>
              </w:tc>
            </w:tr>
            <w:tr>
              <w:trPr>
                <w:cantSplit/>
              </w:trPr>
              <w:tc>
                <w:tcPr>
                  <w:tcW w:w="700" w:type="dxa"/>
                </w:tcPr>
                <w:p>
                  <w:pPr>
                    <w:spacing w:before="40" w:after="40" w:line="276" w:lineRule="auto"/>
                    <w:jc w:val="left"/>
                  </w:pPr>
                  <w:r>
                    <w:rPr>
                      <w:rFonts w:ascii="Calibri" w:hAnsi="Calibri"/>
                      <w:b w:val="0"/>
                      <w:sz w:val="17"/>
                    </w:rPr>
                    <w:t>Task 15</w:t>
                  </w:r>
                </w:p>
              </w:tc>
              <w:tc>
                <w:tcPr>
                  <w:tcW w:w="2200" w:type="dxa"/>
                </w:tcPr>
                <w:p>
                  <w:pPr>
                    <w:spacing w:before="40" w:after="40" w:line="276" w:lineRule="auto"/>
                    <w:jc w:val="left"/>
                  </w:pPr>
                  <w:r>
                    <w:rPr>
                      <w:rFonts w:ascii="Calibri" w:hAnsi="Calibri"/>
                      <w:b w:val="0"/>
                      <w:sz w:val="17"/>
                    </w:rPr>
                    <w:t>Final Release, Documentation &amp; Viva</w:t>
                  </w:r>
                </w:p>
              </w:tc>
              <w:tc>
                <w:tcPr>
                  <w:tcW w:w="2800" w:type="dxa"/>
                </w:tcPr>
                <w:p>
                  <w:pPr>
                    <w:spacing w:before="40" w:after="40" w:line="276" w:lineRule="auto"/>
                    <w:jc w:val="left"/>
                  </w:pPr>
                  <w:r>
                    <w:rPr>
                      <w:rFonts w:ascii="Calibri" w:hAnsi="Calibri"/>
                      <w:b w:val="0"/>
                      <w:sz w:val="17"/>
                    </w:rPr>
                    <w:t>Execute complete commit-to-production workflow, compile technical architecture, troubleshooting guide, and prepare viva.</w:t>
                  </w:r>
                </w:p>
              </w:tc>
              <w:tc>
                <w:tcPr>
                  <w:tcW w:w="2200" w:type="dxa"/>
                </w:tcPr>
                <w:p>
                  <w:pPr>
                    <w:spacing w:before="40" w:after="40" w:line="276" w:lineRule="auto"/>
                    <w:jc w:val="left"/>
                  </w:pPr>
                  <w:r>
                    <w:rPr>
                      <w:rFonts w:ascii="Calibri" w:hAnsi="Calibri"/>
                      <w:b w:val="0"/>
                      <w:sz w:val="17"/>
                    </w:rPr>
                    <w:t>Final Git repository, end-to-end demo video/evidence, comprehensive viva guide.</w:t>
                  </w:r>
                </w:p>
              </w:tc>
            </w:tr>
          </w:tbl>
          <w:p/>
          <w:p>
            <w:pPr>
              <w:keepNext/>
              <w:spacing w:before="120" w:after="40"/>
              <w:jc w:val="center"/>
            </w:pPr>
            <w:r>
              <w:drawing>
                <wp:inline xmlns:a="http://schemas.openxmlformats.org/drawingml/2006/main" xmlns:pic="http://schemas.openxmlformats.org/drawingml/2006/picture">
                  <wp:extent cx="4937760" cy="2996055"/>
                  <wp:docPr id="3" name="Picture 3"/>
                  <wp:cNvGraphicFramePr>
                    <a:graphicFrameLocks noChangeAspect="1"/>
                  </wp:cNvGraphicFramePr>
                  <a:graphic>
                    <a:graphicData uri="http://schemas.openxmlformats.org/drawingml/2006/picture">
                      <pic:pic>
                        <pic:nvPicPr>
                          <pic:cNvPr id="0" name="fig1_2_devops_roadmap.png"/>
                          <pic:cNvPicPr/>
                        </pic:nvPicPr>
                        <pic:blipFill>
                          <a:blip r:embed="rId14"/>
                          <a:stretch>
                            <a:fillRect/>
                          </a:stretch>
                        </pic:blipFill>
                        <pic:spPr>
                          <a:xfrm>
                            <a:off x="0" y="0"/>
                            <a:ext cx="4937760" cy="2996055"/>
                          </a:xfrm>
                          <a:prstGeom prst="rect"/>
                        </pic:spPr>
                      </pic:pic>
                    </a:graphicData>
                  </a:graphic>
                </wp:inline>
              </w:drawing>
            </w:r>
          </w:p>
          <w:p>
            <w:pPr>
              <w:keepNext/>
              <w:spacing w:before="40" w:after="160"/>
              <w:jc w:val="center"/>
            </w:pPr>
            <w:r>
              <w:rPr>
                <w:rFonts w:ascii="Calibri" w:hAnsi="Calibri"/>
                <w:b/>
                <w:sz w:val="20"/>
              </w:rPr>
              <w:t>Figure 1.2: 15-Task DevOps Implementation Roadmap &amp; Progression Architecture</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sz w:val="22"/>
              </w:rPr>
              <w:t>In Task 1, I systematically investigated the real-world operational challenges and digital transformation requirements governing retail banking credit card management. I formulated a rigorous problem definition highlighting the critical friction points in customer onboarding, manual underwriting bottlenecks, and the absence of automated regression testing quality gates. I established a comprehensive stakeholder ecosystem spanning retail applicants, branch managers, risk analysts, and DevOps engineers, and formulated an As-Is versus To-Be gap analysis proving the strategic necessity of an automated DevOps delivery pipeline. I defined five SMART, quantifiable project objectives—anchored by a 100% automated Selenium regression quality gate, sub-120-second CI build velocity, and zero-drift Ansible configuration management. Finally, I formally froze the 5-function Credit Card Service Portal MVP scope and mapped it across the complete 15-Task DevOps curriculum prescribed by the university syllabus. All deliverables for Task 1 have been fully articulated, validated, and verified, establishing a solid foundation for Task 2 Agile Planning and DevOps Workflow modeling.</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73DF3" w14:textId="77777777" w:rsidR="00C20263" w:rsidRDefault="00C20263">
      <w:pPr>
        <w:spacing w:after="0" w:line="240" w:lineRule="auto"/>
      </w:pPr>
      <w:r>
        <w:separator/>
      </w:r>
    </w:p>
  </w:endnote>
  <w:endnote w:type="continuationSeparator" w:id="0">
    <w:p w14:paraId="74A80DD6" w14:textId="77777777" w:rsidR="00C20263" w:rsidRDefault="00C20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5F7E1" w14:textId="77777777" w:rsidR="00C20263" w:rsidRDefault="00C20263">
      <w:pPr>
        <w:spacing w:after="0" w:line="240" w:lineRule="auto"/>
      </w:pPr>
      <w:r>
        <w:separator/>
      </w:r>
    </w:p>
  </w:footnote>
  <w:footnote w:type="continuationSeparator" w:id="0">
    <w:p w14:paraId="7EA8AF64" w14:textId="77777777" w:rsidR="00C20263" w:rsidRDefault="00C20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51455"/>
    <w:rsid w:val="00353E29"/>
    <w:rsid w:val="0035617E"/>
    <w:rsid w:val="003D53E0"/>
    <w:rsid w:val="0045787B"/>
    <w:rsid w:val="004617E7"/>
    <w:rsid w:val="00477D43"/>
    <w:rsid w:val="004954B3"/>
    <w:rsid w:val="004D5CE0"/>
    <w:rsid w:val="004F3E86"/>
    <w:rsid w:val="005C46D4"/>
    <w:rsid w:val="005D4250"/>
    <w:rsid w:val="005E1276"/>
    <w:rsid w:val="00621979"/>
    <w:rsid w:val="00651B03"/>
    <w:rsid w:val="00654D14"/>
    <w:rsid w:val="00657971"/>
    <w:rsid w:val="0066555A"/>
    <w:rsid w:val="006A3C41"/>
    <w:rsid w:val="006B39A6"/>
    <w:rsid w:val="006C7070"/>
    <w:rsid w:val="007000CD"/>
    <w:rsid w:val="00707A3F"/>
    <w:rsid w:val="0075203E"/>
    <w:rsid w:val="00787574"/>
    <w:rsid w:val="007D58C9"/>
    <w:rsid w:val="00844EAF"/>
    <w:rsid w:val="0084628A"/>
    <w:rsid w:val="008670A6"/>
    <w:rsid w:val="008817F2"/>
    <w:rsid w:val="008B2F96"/>
    <w:rsid w:val="008F5BB7"/>
    <w:rsid w:val="009531C6"/>
    <w:rsid w:val="009B1007"/>
    <w:rsid w:val="009F238A"/>
    <w:rsid w:val="00A46C31"/>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3</cp:revision>
  <cp:lastPrinted>2026-09-22T09:44:00Z</cp:lastPrinted>
  <dcterms:created xsi:type="dcterms:W3CDTF">2026-09-29T09:18:00Z</dcterms:created>
  <dcterms:modified xsi:type="dcterms:W3CDTF">2026-10-01T15:36:00Z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