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r>
    </w:p>
    <w:p>
      <w:pPr>
        <w:pStyle w:val="Normal"/>
        <w:jc w:val="center"/>
        <w:rPr/>
      </w:pPr>
      <w:r>
        <w:rPr>
          <w:color w:val="B7791F"/>
          <w:sz w:val="96"/>
          <w:szCs w:val="96"/>
        </w:rPr>
        <w:t>☁</w:t>
      </w:r>
    </w:p>
    <w:p>
      <w:pPr>
        <w:pStyle w:val="Normal"/>
        <w:spacing w:before="300" w:after="0"/>
        <w:jc w:val="center"/>
        <w:rPr/>
      </w:pPr>
      <w:r>
        <w:rPr>
          <w:b/>
          <w:bCs/>
          <w:color w:val="1F2937"/>
          <w:sz w:val="44"/>
          <w:szCs w:val="44"/>
        </w:rPr>
        <w:t>AWS Project 2 — Implementation Log</w:t>
      </w:r>
    </w:p>
    <w:p>
      <w:pPr>
        <w:pStyle w:val="Normal"/>
        <w:spacing w:before="160" w:after="0"/>
        <w:jc w:val="center"/>
        <w:rPr/>
      </w:pPr>
      <w:r>
        <w:rPr>
          <w:color w:val="6B7280"/>
          <w:sz w:val="26"/>
          <w:szCs w:val="26"/>
        </w:rPr>
        <w:t>The Server Commander: Provisioning a Virtual Machine with EC2</w:t>
      </w:r>
    </w:p>
    <w:p>
      <w:pPr>
        <w:pStyle w:val="Normal"/>
        <w:spacing w:before="500" w:after="0"/>
        <w:jc w:val="center"/>
        <w:rPr/>
      </w:pPr>
      <w:r>
        <w:rPr>
          <w:sz w:val="22"/>
          <w:szCs w:val="22"/>
        </w:rPr>
        <w:t xml:space="preserve">Prepared by: </w:t>
      </w:r>
      <w:r>
        <w:rPr>
          <w:b/>
          <w:bCs/>
          <w:sz w:val="22"/>
          <w:szCs w:val="22"/>
        </w:rPr>
        <w:t>Mubshar Husnain</w:t>
      </w:r>
    </w:p>
    <w:p>
      <w:pPr>
        <w:pStyle w:val="Normal"/>
        <w:spacing w:before="80" w:after="0"/>
        <w:jc w:val="center"/>
        <w:rPr/>
      </w:pPr>
      <w:r>
        <w:rPr>
          <w:color w:val="6B7280"/>
        </w:rPr>
        <w:t>DecodeLabs Internship — Batch 2026</w:t>
      </w:r>
    </w:p>
    <w:p>
      <w:pPr>
        <w:pStyle w:val="Normal"/>
        <w:spacing w:before="80" w:after="0"/>
        <w:jc w:val="center"/>
        <w:rPr/>
      </w:pPr>
      <w:r>
        <w:rPr>
          <w:color w:val="6B7280"/>
        </w:rPr>
        <w:t>Region: Asia Pacific (Mumbai) — ap-south-1</w:t>
      </w:r>
    </w:p>
    <w:p>
      <w:pPr>
        <w:pStyle w:val="Normal"/>
        <w:rPr/>
      </w:pPr>
      <w:r>
        <w:rPr/>
      </w:r>
      <w:r>
        <w:br w:type="page"/>
      </w:r>
    </w:p>
    <w:p>
      <w:pPr>
        <w:pStyle w:val="Heading1"/>
        <w:spacing w:before="0" w:after="200"/>
        <w:rPr/>
      </w:pPr>
      <w:bookmarkStart w:id="0" w:name="__RefHeading___Toc579_1752573603"/>
      <w:bookmarkStart w:id="1" w:name="_Toc235785380"/>
      <w:bookmarkEnd w:id="0"/>
      <w:r>
        <w:rPr>
          <w:b/>
          <w:bCs/>
          <w:color w:val="1F2937"/>
        </w:rPr>
        <w:t>Table of Contents</w:t>
      </w:r>
      <w:bookmarkEnd w:id="1"/>
    </w:p>
    <w:p>
      <w:pPr>
        <w:pStyle w:val="Normal"/>
        <w:spacing w:before="0" w:after="160"/>
        <w:rPr/>
      </w:pPr>
      <w:r>
        <w:rPr>
          <w:color w:val="27272A"/>
          <w:sz w:val="22"/>
          <w:szCs w:val="22"/>
        </w:rPr>
        <w:t>This Table of Contents updates automatically using Word's 'Update Field' feature — right-click and select 'Update Field' (or select the whole document and press F9) whenever headings change.</w:t>
      </w:r>
    </w:p>
    <w:sdt>
      <w:sdtPr>
        <w:docPartObj>
          <w:docPartGallery w:val="Table of Contents"/>
          <w:docPartUnique w:val="true"/>
        </w:docPartObj>
      </w:sdtPr>
      <w:sdtContent>
        <w:p>
          <w:pPr>
            <w:pStyle w:val="TOC1"/>
            <w:tabs>
              <w:tab w:val="clear" w:pos="720"/>
              <w:tab w:val="right" w:pos="10079" w:leader="dot"/>
            </w:tabs>
            <w:rPr/>
          </w:pPr>
          <w:r>
            <w:fldChar w:fldCharType="begin"/>
          </w:r>
          <w:r>
            <w:rPr>
              <w:rStyle w:val="IndexLink"/>
            </w:rPr>
            <w:instrText xml:space="preserve"> TOC \o "1-2" \h</w:instrText>
          </w:r>
          <w:r>
            <w:rPr>
              <w:rStyle w:val="IndexLink"/>
            </w:rPr>
            <w:fldChar w:fldCharType="separate"/>
          </w:r>
          <w:hyperlink w:anchor="__RefHeading___Toc579_1752573603">
            <w:r>
              <w:rPr>
                <w:rStyle w:val="IndexLink"/>
              </w:rPr>
              <w:t>Table of Contents</w:t>
              <w:tab/>
              <w:t>2</w:t>
            </w:r>
          </w:hyperlink>
        </w:p>
        <w:p>
          <w:pPr>
            <w:pStyle w:val="TOC1"/>
            <w:tabs>
              <w:tab w:val="clear" w:pos="720"/>
              <w:tab w:val="right" w:pos="10079" w:leader="dot"/>
            </w:tabs>
            <w:rPr/>
          </w:pPr>
          <w:hyperlink w:anchor="__RefHeading___Toc581_1752573603">
            <w:r>
              <w:rPr>
                <w:rStyle w:val="IndexLink"/>
              </w:rPr>
              <w:t>Part 1 — Project 2: The Server Commander (EC2)</w:t>
              <w:tab/>
              <w:t>3</w:t>
            </w:r>
          </w:hyperlink>
        </w:p>
        <w:p>
          <w:pPr>
            <w:pStyle w:val="TOC2"/>
            <w:tabs>
              <w:tab w:val="clear" w:pos="720"/>
              <w:tab w:val="right" w:pos="10079" w:leader="dot"/>
            </w:tabs>
            <w:rPr/>
          </w:pPr>
          <w:hyperlink w:anchor="__RefHeading___Toc583_1752573603">
            <w:r>
              <w:rPr>
                <w:rStyle w:val="IndexLink"/>
              </w:rPr>
              <w:t>1.1 — Launching the EC2 Instance</w:t>
              <w:tab/>
              <w:t>3</w:t>
            </w:r>
          </w:hyperlink>
        </w:p>
        <w:p>
          <w:pPr>
            <w:pStyle w:val="TOC2"/>
            <w:tabs>
              <w:tab w:val="clear" w:pos="720"/>
              <w:tab w:val="right" w:pos="10079" w:leader="dot"/>
            </w:tabs>
            <w:rPr/>
          </w:pPr>
          <w:hyperlink w:anchor="__RefHeading___Toc585_1752573603">
            <w:r>
              <w:rPr>
                <w:rStyle w:val="IndexLink"/>
              </w:rPr>
              <w:t>1.2 — Creating a Key Pair</w:t>
              <w:tab/>
              <w:t>3</w:t>
            </w:r>
          </w:hyperlink>
        </w:p>
        <w:p>
          <w:pPr>
            <w:pStyle w:val="TOC2"/>
            <w:tabs>
              <w:tab w:val="clear" w:pos="720"/>
              <w:tab w:val="right" w:pos="10079" w:leader="dot"/>
            </w:tabs>
            <w:rPr/>
          </w:pPr>
          <w:hyperlink w:anchor="__RefHeading___Toc587_1752573603">
            <w:r>
              <w:rPr>
                <w:rStyle w:val="IndexLink"/>
              </w:rPr>
              <w:t>1.3 — Configuring Security Group (Inbound Rules)</w:t>
              <w:tab/>
              <w:t>4</w:t>
            </w:r>
          </w:hyperlink>
        </w:p>
        <w:p>
          <w:pPr>
            <w:pStyle w:val="TOC2"/>
            <w:tabs>
              <w:tab w:val="clear" w:pos="720"/>
              <w:tab w:val="right" w:pos="10079" w:leader="dot"/>
            </w:tabs>
            <w:rPr/>
          </w:pPr>
          <w:hyperlink w:anchor="__RefHeading___Toc589_1752573603">
            <w:r>
              <w:rPr>
                <w:rStyle w:val="IndexLink"/>
              </w:rPr>
              <w:t>1.4 — Preparing the Key for SSH</w:t>
              <w:tab/>
              <w:t>5</w:t>
            </w:r>
          </w:hyperlink>
        </w:p>
        <w:p>
          <w:pPr>
            <w:pStyle w:val="TOC2"/>
            <w:tabs>
              <w:tab w:val="clear" w:pos="720"/>
              <w:tab w:val="right" w:pos="10079" w:leader="dot"/>
            </w:tabs>
            <w:rPr/>
          </w:pPr>
          <w:hyperlink w:anchor="__RefHeading___Toc591_1752573603">
            <w:r>
              <w:rPr>
                <w:rStyle w:val="IndexLink"/>
              </w:rPr>
              <w:t>1.5 — Connecting via SSH</w:t>
              <w:tab/>
              <w:t>6</w:t>
            </w:r>
          </w:hyperlink>
        </w:p>
        <w:p>
          <w:pPr>
            <w:pStyle w:val="TOC2"/>
            <w:tabs>
              <w:tab w:val="clear" w:pos="720"/>
              <w:tab w:val="right" w:pos="10079" w:leader="dot"/>
            </w:tabs>
            <w:rPr/>
          </w:pPr>
          <w:hyperlink w:anchor="__RefHeading___Toc593_1752573603">
            <w:r>
              <w:rPr>
                <w:rStyle w:val="IndexLink"/>
              </w:rPr>
              <w:t>1.6 — Installing the Web Server (Nginx)</w:t>
              <w:tab/>
              <w:t>6</w:t>
            </w:r>
          </w:hyperlink>
        </w:p>
        <w:p>
          <w:pPr>
            <w:pStyle w:val="TOC2"/>
            <w:tabs>
              <w:tab w:val="clear" w:pos="720"/>
              <w:tab w:val="right" w:pos="10079" w:leader="dot"/>
            </w:tabs>
            <w:rPr/>
          </w:pPr>
          <w:hyperlink w:anchor="__RefHeading___Toc595_1752573603">
            <w:r>
              <w:rPr>
                <w:rStyle w:val="IndexLink"/>
              </w:rPr>
              <w:t>1.7 — Customizing the Web Page</w:t>
              <w:tab/>
              <w:t>8</w:t>
            </w:r>
          </w:hyperlink>
        </w:p>
        <w:p>
          <w:pPr>
            <w:pStyle w:val="TOC2"/>
            <w:tabs>
              <w:tab w:val="clear" w:pos="720"/>
              <w:tab w:val="right" w:pos="10079" w:leader="dot"/>
            </w:tabs>
            <w:rPr/>
          </w:pPr>
          <w:hyperlink w:anchor="__RefHeading___Toc597_1752573603">
            <w:r>
              <w:rPr>
                <w:rStyle w:val="IndexLink"/>
              </w:rPr>
              <w:t>1.8 — Verifying the Live Server</w:t>
              <w:tab/>
              <w:t>9</w:t>
            </w:r>
          </w:hyperlink>
        </w:p>
        <w:p>
          <w:pPr>
            <w:pStyle w:val="TOC1"/>
            <w:tabs>
              <w:tab w:val="clear" w:pos="720"/>
              <w:tab w:val="right" w:pos="10079" w:leader="dot"/>
            </w:tabs>
            <w:rPr/>
          </w:pPr>
          <w:hyperlink w:anchor="__RefHeading___Toc599_1752573603">
            <w:r>
              <w:rPr>
                <w:rStyle w:val="IndexLink"/>
              </w:rPr>
              <w:t>Part 2 — Understanding the Architecture</w:t>
              <w:tab/>
              <w:t>10</w:t>
            </w:r>
          </w:hyperlink>
        </w:p>
        <w:p>
          <w:pPr>
            <w:pStyle w:val="TOC2"/>
            <w:tabs>
              <w:tab w:val="clear" w:pos="720"/>
              <w:tab w:val="right" w:pos="10079" w:leader="dot"/>
            </w:tabs>
            <w:rPr/>
          </w:pPr>
          <w:hyperlink w:anchor="__RefHeading___Toc601_1752573603">
            <w:r>
              <w:rPr>
                <w:rStyle w:val="IndexLink"/>
              </w:rPr>
              <w:t>2.1 — Shared Responsibility Model</w:t>
              <w:tab/>
              <w:t>10</w:t>
            </w:r>
          </w:hyperlink>
        </w:p>
        <w:p>
          <w:pPr>
            <w:pStyle w:val="TOC2"/>
            <w:tabs>
              <w:tab w:val="clear" w:pos="720"/>
              <w:tab w:val="right" w:pos="10079" w:leader="dot"/>
            </w:tabs>
            <w:rPr/>
          </w:pPr>
          <w:hyperlink w:anchor="__RefHeading___Toc603_1752573603">
            <w:r>
              <w:rPr>
                <w:rStyle w:val="IndexLink"/>
              </w:rPr>
              <w:t>2.2 — Hypervisor &amp; Virtual Machines</w:t>
              <w:tab/>
              <w:t>10</w:t>
            </w:r>
          </w:hyperlink>
        </w:p>
        <w:p>
          <w:pPr>
            <w:pStyle w:val="TOC2"/>
            <w:tabs>
              <w:tab w:val="clear" w:pos="720"/>
              <w:tab w:val="right" w:pos="10079" w:leader="dot"/>
            </w:tabs>
            <w:rPr/>
          </w:pPr>
          <w:hyperlink w:anchor="__RefHeading___Toc605_1752573603">
            <w:r>
              <w:rPr>
                <w:rStyle w:val="IndexLink"/>
              </w:rPr>
              <w:t>2.3 — Security Groups Are Allow-Only</w:t>
              <w:tab/>
              <w:t>10</w:t>
            </w:r>
          </w:hyperlink>
        </w:p>
        <w:p>
          <w:pPr>
            <w:pStyle w:val="TOC1"/>
            <w:tabs>
              <w:tab w:val="clear" w:pos="720"/>
              <w:tab w:val="right" w:pos="10079" w:leader="dot"/>
            </w:tabs>
            <w:rPr/>
          </w:pPr>
          <w:hyperlink w:anchor="__RefHeading___Toc607_1752573603">
            <w:r>
              <w:rPr>
                <w:rStyle w:val="IndexLink"/>
              </w:rPr>
              <w:t>Part 3 — Cost Control (Critical)</w:t>
              <w:tab/>
              <w:t>11</w:t>
            </w:r>
          </w:hyperlink>
        </w:p>
        <w:p>
          <w:pPr>
            <w:pStyle w:val="TOC2"/>
            <w:tabs>
              <w:tab w:val="clear" w:pos="720"/>
              <w:tab w:val="right" w:pos="10079" w:leader="dot"/>
            </w:tabs>
            <w:rPr/>
          </w:pPr>
          <w:hyperlink w:anchor="__RefHeading___Toc609_1752573603">
            <w:r>
              <w:rPr>
                <w:rStyle w:val="IndexLink"/>
              </w:rPr>
              <w:t>3.1 — Stopping the Instance When Not in Use</w:t>
              <w:tab/>
              <w:t>11</w:t>
            </w:r>
          </w:hyperlink>
        </w:p>
        <w:p>
          <w:pPr>
            <w:pStyle w:val="TOC2"/>
            <w:tabs>
              <w:tab w:val="clear" w:pos="720"/>
              <w:tab w:val="right" w:pos="10079" w:leader="dot"/>
            </w:tabs>
            <w:rPr/>
          </w:pPr>
          <w:hyperlink w:anchor="__RefHeading___Toc611_1752573603">
            <w:r>
              <w:rPr>
                <w:rStyle w:val="IndexLink"/>
              </w:rPr>
              <w:t>3.2 — Terminating the Instance When Fully Done</w:t>
              <w:tab/>
              <w:t>11</w:t>
            </w:r>
          </w:hyperlink>
        </w:p>
        <w:p>
          <w:pPr>
            <w:pStyle w:val="TOC2"/>
            <w:tabs>
              <w:tab w:val="clear" w:pos="720"/>
              <w:tab w:val="right" w:pos="10079" w:leader="dot"/>
            </w:tabs>
            <w:rPr/>
          </w:pPr>
          <w:hyperlink w:anchor="__RefHeading___Toc613_1752573603">
            <w:r>
              <w:rPr>
                <w:rStyle w:val="IndexLink"/>
              </w:rPr>
              <w:t>3.3 — Setting a Billing Alarm</w:t>
              <w:tab/>
              <w:t>12</w:t>
            </w:r>
          </w:hyperlink>
        </w:p>
        <w:p>
          <w:pPr>
            <w:pStyle w:val="TOC1"/>
            <w:tabs>
              <w:tab w:val="clear" w:pos="720"/>
              <w:tab w:val="right" w:pos="10079" w:leader="dot"/>
            </w:tabs>
            <w:rPr/>
          </w:pPr>
          <w:hyperlink w:anchor="__RefHeading___Toc615_1752573603">
            <w:r>
              <w:rPr>
                <w:rStyle w:val="IndexLink"/>
              </w:rPr>
              <w:t>Part 4 — Security (Advanced)</w:t>
              <w:tab/>
              <w:t>12</w:t>
            </w:r>
          </w:hyperlink>
        </w:p>
        <w:p>
          <w:pPr>
            <w:pStyle w:val="TOC2"/>
            <w:tabs>
              <w:tab w:val="clear" w:pos="720"/>
              <w:tab w:val="right" w:pos="10079" w:leader="dot"/>
            </w:tabs>
            <w:rPr/>
          </w:pPr>
          <w:hyperlink w:anchor="__RefHeading___Toc617_1752573603">
            <w:r>
              <w:rPr>
                <w:rStyle w:val="IndexLink"/>
              </w:rPr>
              <w:t>4.1 — Restricting SSH to a Specific IP</w:t>
              <w:tab/>
              <w:t>13</w:t>
            </w:r>
          </w:hyperlink>
        </w:p>
        <w:p>
          <w:pPr>
            <w:pStyle w:val="TOC2"/>
            <w:tabs>
              <w:tab w:val="clear" w:pos="720"/>
              <w:tab w:val="right" w:pos="10079" w:leader="dot"/>
            </w:tabs>
            <w:rPr/>
          </w:pPr>
          <w:hyperlink w:anchor="__RefHeading___Toc619_1752573603">
            <w:r>
              <w:rPr>
                <w:rStyle w:val="IndexLink"/>
              </w:rPr>
              <w:t>4.2 — Using an IAM Role Instead of Access Keys</w:t>
              <w:tab/>
              <w:t>13</w:t>
            </w:r>
          </w:hyperlink>
        </w:p>
        <w:p>
          <w:pPr>
            <w:pStyle w:val="TOC2"/>
            <w:tabs>
              <w:tab w:val="clear" w:pos="720"/>
              <w:tab w:val="right" w:pos="10079" w:leader="dot"/>
            </w:tabs>
            <w:rPr/>
          </w:pPr>
          <w:hyperlink w:anchor="__RefHeading___Toc621_1752573603">
            <w:r>
              <w:rPr>
                <w:rStyle w:val="IndexLink"/>
              </w:rPr>
              <w:tab/>
              <w:t>13</w:t>
            </w:r>
          </w:hyperlink>
        </w:p>
        <w:p>
          <w:pPr>
            <w:pStyle w:val="TOC2"/>
            <w:tabs>
              <w:tab w:val="clear" w:pos="720"/>
              <w:tab w:val="right" w:pos="10079" w:leader="dot"/>
            </w:tabs>
            <w:rPr/>
          </w:pPr>
          <w:hyperlink w:anchor="__RefHeading___Toc623_1752573603">
            <w:r>
              <w:rPr>
                <w:rStyle w:val="IndexLink"/>
              </w:rPr>
              <w:t>4.3 — Keeping the System Patched</w:t>
              <w:tab/>
              <w:t>13</w:t>
            </w:r>
          </w:hyperlink>
        </w:p>
        <w:p>
          <w:pPr>
            <w:pStyle w:val="TOC1"/>
            <w:tabs>
              <w:tab w:val="clear" w:pos="720"/>
              <w:tab w:val="right" w:pos="10079" w:leader="dot"/>
            </w:tabs>
            <w:rPr/>
          </w:pPr>
          <w:hyperlink w:anchor="__RefHeading___Toc625_1752573603">
            <w:r>
              <w:rPr>
                <w:rStyle w:val="IndexLink"/>
              </w:rPr>
              <w:t>Part 5 — Automation (Advanced)</w:t>
              <w:tab/>
              <w:t>14</w:t>
            </w:r>
          </w:hyperlink>
        </w:p>
        <w:p>
          <w:pPr>
            <w:pStyle w:val="TOC2"/>
            <w:tabs>
              <w:tab w:val="clear" w:pos="720"/>
              <w:tab w:val="right" w:pos="10079" w:leader="dot"/>
            </w:tabs>
            <w:rPr/>
          </w:pPr>
          <w:hyperlink w:anchor="__RefHeading___Toc627_1752573603">
            <w:r>
              <w:rPr>
                <w:rStyle w:val="IndexLink"/>
              </w:rPr>
              <w:t>5.1 — Automating Setup with User Data</w:t>
              <w:tab/>
              <w:t>14</w:t>
            </w:r>
          </w:hyperlink>
        </w:p>
        <w:p>
          <w:pPr>
            <w:pStyle w:val="TOC2"/>
            <w:tabs>
              <w:tab w:val="clear" w:pos="720"/>
              <w:tab w:val="right" w:pos="10079" w:leader="dot"/>
            </w:tabs>
            <w:rPr/>
          </w:pPr>
          <w:hyperlink w:anchor="__RefHeading___Toc629_1752573603">
            <w:r>
              <w:rPr>
                <w:rStyle w:val="IndexLink"/>
              </w:rPr>
              <w:t>5.2 — Managing the Instance via AWS CLI</w:t>
              <w:tab/>
              <w:t>15</w:t>
            </w:r>
          </w:hyperlink>
          <w:r>
            <w:rPr>
              <w:rStyle w:val="IndexLink"/>
            </w:rPr>
            <w:fldChar w:fldCharType="end"/>
          </w:r>
        </w:p>
      </w:sdtContent>
    </w:sdt>
    <w:p>
      <w:pPr>
        <w:pStyle w:val="Normal"/>
        <w:widowControl/>
        <w:bidi w:val="0"/>
        <w:spacing w:before="0" w:after="0"/>
        <w:jc w:val="left"/>
        <w:rPr/>
      </w:pPr>
      <w:r>
        <w:rPr/>
      </w:r>
    </w:p>
    <w:p>
      <w:pPr>
        <w:pStyle w:val="Normal"/>
        <w:rPr/>
      </w:pPr>
      <w:r>
        <w:rPr/>
      </w:r>
      <w:r>
        <w:br w:type="page"/>
      </w:r>
    </w:p>
    <w:p>
      <w:pPr>
        <w:pStyle w:val="Heading1"/>
        <w:pBdr>
          <w:bottom w:val="single" w:sz="6" w:space="4" w:color="B7791F"/>
        </w:pBdr>
        <w:spacing w:before="0" w:after="200"/>
        <w:rPr/>
      </w:pPr>
      <w:bookmarkStart w:id="2" w:name="__RefHeading___Toc581_1752573603"/>
      <w:bookmarkStart w:id="3" w:name="_Toc235785381"/>
      <w:bookmarkEnd w:id="2"/>
      <w:r>
        <w:rPr>
          <w:b/>
          <w:bCs/>
          <w:color w:val="1F2937"/>
        </w:rPr>
        <w:t>Part 1 — Project 2: The Server Commander (EC2)</w:t>
      </w:r>
      <w:bookmarkEnd w:id="3"/>
    </w:p>
    <w:p>
      <w:pPr>
        <w:pStyle w:val="Normal"/>
        <w:spacing w:before="0" w:after="160"/>
        <w:rPr/>
      </w:pPr>
      <w:r>
        <w:rPr>
          <w:color w:val="27272A"/>
          <w:sz w:val="22"/>
          <w:szCs w:val="22"/>
        </w:rPr>
        <w:t>In this part, a virtual machine (EC2 instance) was provisioned from scratch, secured, connected to via SSH, and configured to serve a live web page — full system control from bare compute up to a running web server.</w:t>
      </w:r>
    </w:p>
    <w:p>
      <w:pPr>
        <w:pStyle w:val="Heading2"/>
        <w:spacing w:before="320" w:after="140"/>
        <w:rPr/>
      </w:pPr>
      <w:bookmarkStart w:id="4" w:name="__RefHeading___Toc583_1752573603"/>
      <w:bookmarkStart w:id="5" w:name="_Toc235785382"/>
      <w:bookmarkEnd w:id="4"/>
      <w:r>
        <w:rPr>
          <w:b/>
          <w:bCs/>
          <w:color w:val="1F2937"/>
        </w:rPr>
        <w:t>1.1 — Launching the EC2 Instance</w:t>
      </w:r>
      <w:bookmarkEnd w:id="5"/>
    </w:p>
    <w:p>
      <w:pPr>
        <w:pStyle w:val="Normal"/>
        <w:spacing w:before="0" w:after="160"/>
        <w:rPr/>
      </w:pPr>
      <w:r>
        <w:rPr>
          <w:color w:val="27272A"/>
          <w:sz w:val="22"/>
          <w:szCs w:val="22"/>
        </w:rPr>
        <w:t>From the EC2 dashboard, 'Launch Instance' was used to provision a new virtual machine. Amazon Linux 2023 was selected as the AMI (Amazon Machine Image), and t2.micro was chosen as the instance type since it falls under the AWS Free Tier.</w:t>
      </w:r>
    </w:p>
    <w:p>
      <w:pPr>
        <w:pStyle w:val="Normal"/>
        <w:spacing w:before="0" w:after="200"/>
        <w:rPr/>
      </w:pPr>
      <w:r>
        <w:rPr/>
        <w:drawing>
          <wp:inline distT="0" distB="0" distL="0" distR="0">
            <wp:extent cx="6400800" cy="3011805"/>
            <wp:effectExtent l="0" t="0" r="0" b="0"/>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tretch>
                      <a:fillRect/>
                    </a:stretch>
                  </pic:blipFill>
                  <pic:spPr bwMode="auto">
                    <a:xfrm>
                      <a:off x="0" y="0"/>
                      <a:ext cx="6400800" cy="3011805"/>
                    </a:xfrm>
                    <a:prstGeom prst="rect">
                      <a:avLst/>
                    </a:prstGeom>
                  </pic:spPr>
                </pic:pic>
              </a:graphicData>
            </a:graphic>
          </wp:inline>
        </w:drawing>
      </w:r>
    </w:p>
    <w:p>
      <w:pPr>
        <w:pStyle w:val="Heading2"/>
        <w:spacing w:before="320" w:after="140"/>
        <w:rPr/>
      </w:pPr>
      <w:bookmarkStart w:id="6" w:name="__RefHeading___Toc585_1752573603"/>
      <w:bookmarkStart w:id="7" w:name="_Toc235785383"/>
      <w:bookmarkEnd w:id="6"/>
      <w:r>
        <w:rPr>
          <w:b/>
          <w:bCs/>
          <w:color w:val="1F2937"/>
        </w:rPr>
        <w:t>1.2 — Creating a Key Pair</w:t>
      </w:r>
      <w:bookmarkEnd w:id="7"/>
    </w:p>
    <w:p>
      <w:pPr>
        <w:pStyle w:val="Normal"/>
        <w:spacing w:before="0" w:after="160"/>
        <w:rPr/>
      </w:pPr>
      <w:r>
        <w:rPr>
          <w:color w:val="27272A"/>
          <w:sz w:val="22"/>
          <w:szCs w:val="22"/>
        </w:rPr>
        <w:t>A new key pair was created for secure login — AWS generated a private key file (.pem) which was downloaded immediately, since this is the only time it is available. This key proves identity when connecting to the server; losing it means losing access to the server.</w:t>
      </w:r>
    </w:p>
    <w:p>
      <w:pPr>
        <w:pStyle w:val="Normal"/>
        <w:spacing w:before="0" w:after="200"/>
        <w:rPr/>
      </w:pPr>
      <w:r>
        <w:rPr/>
        <w:drawing>
          <wp:inline distT="0" distB="0" distL="0" distR="0">
            <wp:extent cx="6400800" cy="3011805"/>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tretch>
                      <a:fillRect/>
                    </a:stretch>
                  </pic:blipFill>
                  <pic:spPr bwMode="auto">
                    <a:xfrm>
                      <a:off x="0" y="0"/>
                      <a:ext cx="6400800" cy="3011805"/>
                    </a:xfrm>
                    <a:prstGeom prst="rect">
                      <a:avLst/>
                    </a:prstGeom>
                  </pic:spPr>
                </pic:pic>
              </a:graphicData>
            </a:graphic>
          </wp:inline>
        </w:drawing>
      </w:r>
    </w:p>
    <w:tbl>
      <w:tblPr>
        <w:tblW w:w="5000" w:type="pct"/>
        <w:jc w:val="left"/>
        <w:tblInd w:w="0" w:type="dxa"/>
        <w:tblLayout w:type="fixed"/>
        <w:tblCellMar>
          <w:top w:w="140" w:type="dxa"/>
          <w:left w:w="180" w:type="dxa"/>
          <w:bottom w:w="140" w:type="dxa"/>
          <w:right w:w="180" w:type="dxa"/>
        </w:tblCellMar>
        <w:tblLook w:val="04a0" w:noHBand="0" w:noVBand="1" w:firstColumn="1" w:lastRow="0" w:lastColumn="0" w:firstRow="1"/>
      </w:tblPr>
      <w:tblGrid>
        <w:gridCol w:w="10080"/>
      </w:tblGrid>
      <w:tr>
        <w:trPr/>
        <w:tc>
          <w:tcPr>
            <w:tcW w:w="10080" w:type="dxa"/>
            <w:tcBorders>
              <w:top w:val="single" w:sz="4" w:space="0" w:color="B7791F"/>
              <w:left w:val="single" w:sz="4" w:space="0" w:color="B7791F"/>
              <w:bottom w:val="single" w:sz="4" w:space="0" w:color="B7791F"/>
              <w:right w:val="single" w:sz="4" w:space="0" w:color="B7791F"/>
            </w:tcBorders>
            <w:shd w:color="auto" w:fill="FFF7E6" w:val="clear"/>
          </w:tcPr>
          <w:p>
            <w:pPr>
              <w:pStyle w:val="Normal"/>
              <w:rPr/>
            </w:pPr>
            <w:r>
              <w:rPr>
                <w:b/>
                <w:bCs/>
                <w:color w:val="B7791F"/>
                <w:sz w:val="21"/>
                <w:szCs w:val="21"/>
              </w:rPr>
              <w:t xml:space="preserve">⚠ </w:t>
            </w:r>
            <w:r>
              <w:rPr>
                <w:b/>
                <w:bCs/>
                <w:color w:val="B7791F"/>
                <w:sz w:val="21"/>
                <w:szCs w:val="21"/>
              </w:rPr>
              <w:t xml:space="preserve">Note: </w:t>
            </w:r>
            <w:r>
              <w:rPr>
                <w:color w:val="444444"/>
                <w:sz w:val="21"/>
                <w:szCs w:val="21"/>
              </w:rPr>
              <w:t>The .pem file must be downloaded and stored safely the moment it's generated — AWS does not let you download it again later. Losing the key means the server becomes inaccessible.</w:t>
            </w:r>
          </w:p>
        </w:tc>
      </w:tr>
    </w:tbl>
    <w:p>
      <w:pPr>
        <w:pStyle w:val="Normal"/>
        <w:spacing w:before="0" w:after="200"/>
        <w:rPr/>
      </w:pPr>
      <w:r>
        <w:rPr/>
      </w:r>
    </w:p>
    <w:p>
      <w:pPr>
        <w:pStyle w:val="Heading2"/>
        <w:spacing w:before="320" w:after="140"/>
        <w:rPr/>
      </w:pPr>
      <w:bookmarkStart w:id="8" w:name="__RefHeading___Toc587_1752573603"/>
      <w:bookmarkStart w:id="9" w:name="_Toc235785384"/>
      <w:bookmarkEnd w:id="8"/>
      <w:r>
        <w:rPr>
          <w:b/>
          <w:bCs/>
          <w:color w:val="1F2937"/>
        </w:rPr>
        <w:t>1.3 — Configuring Security Group (Inbound Rules)</w:t>
      </w:r>
      <w:bookmarkEnd w:id="9"/>
    </w:p>
    <w:p>
      <w:pPr>
        <w:pStyle w:val="Normal"/>
        <w:spacing w:before="0" w:after="160"/>
        <w:rPr/>
      </w:pPr>
      <w:r>
        <w:rPr>
          <w:color w:val="27272A"/>
          <w:sz w:val="22"/>
          <w:szCs w:val="22"/>
        </w:rPr>
        <w:t>A Security Group was configured to act as a firewall for the instance. By default, all inbound traffic is denied. Three rules were added: SSH (port 22) restricted to 'My IP' only, and HTTP (port 80) and HTTPS (port 443) opened to Anywhere (0.0.0.0/0) so the web page is publicly reachable.</w:t>
      </w:r>
    </w:p>
    <w:tbl>
      <w:tblPr>
        <w:tblW w:w="5000" w:type="pct"/>
        <w:jc w:val="left"/>
        <w:tblInd w:w="0" w:type="dxa"/>
        <w:tblLayout w:type="fixed"/>
        <w:tblCellMar>
          <w:top w:w="160" w:type="dxa"/>
          <w:left w:w="220" w:type="dxa"/>
          <w:bottom w:w="160" w:type="dxa"/>
          <w:right w:w="220" w:type="dxa"/>
        </w:tblCellMar>
        <w:tblLook w:val="04a0" w:noHBand="0" w:noVBand="1" w:firstColumn="1" w:lastRow="0" w:lastColumn="0" w:firstRow="1"/>
      </w:tblPr>
      <w:tblGrid>
        <w:gridCol w:w="10080"/>
      </w:tblGrid>
      <w:tr>
        <w:trPr/>
        <w:tc>
          <w:tcPr>
            <w:tcW w:w="10080" w:type="dxa"/>
            <w:tcBorders>
              <w:top w:val="single" w:sz="2" w:space="0" w:color="3F3F46"/>
              <w:left w:val="single" w:sz="2" w:space="0" w:color="3F3F46"/>
              <w:bottom w:val="single" w:sz="2" w:space="0" w:color="3F3F46"/>
              <w:right w:val="single" w:sz="2" w:space="0" w:color="3F3F46"/>
            </w:tcBorders>
            <w:shd w:color="auto" w:fill="1F2937" w:val="clear"/>
          </w:tcPr>
          <w:p>
            <w:pPr>
              <w:pStyle w:val="Normal"/>
              <w:spacing w:before="0" w:after="20"/>
              <w:rPr/>
            </w:pPr>
            <w:r>
              <w:rPr>
                <w:rFonts w:eastAsia="Consolas" w:cs="Consolas" w:ascii="Consolas" w:hAnsi="Consolas"/>
                <w:color w:val="E5E7EB"/>
                <w:sz w:val="19"/>
                <w:szCs w:val="19"/>
              </w:rPr>
              <w:t>Type    Port   Source</w:t>
            </w:r>
          </w:p>
          <w:p>
            <w:pPr>
              <w:pStyle w:val="Normal"/>
              <w:spacing w:before="0" w:after="20"/>
              <w:rPr/>
            </w:pPr>
            <w:r>
              <w:rPr>
                <w:rFonts w:eastAsia="Consolas" w:cs="Consolas" w:ascii="Consolas" w:hAnsi="Consolas"/>
                <w:color w:val="E5E7EB"/>
                <w:sz w:val="19"/>
                <w:szCs w:val="19"/>
              </w:rPr>
              <w:t>SSH     22     My IP           (restricted)</w:t>
            </w:r>
          </w:p>
          <w:p>
            <w:pPr>
              <w:pStyle w:val="Normal"/>
              <w:spacing w:before="0" w:after="20"/>
              <w:rPr/>
            </w:pPr>
            <w:r>
              <w:rPr>
                <w:rFonts w:eastAsia="Consolas" w:cs="Consolas" w:ascii="Consolas" w:hAnsi="Consolas"/>
                <w:color w:val="E5E7EB"/>
                <w:sz w:val="19"/>
                <w:szCs w:val="19"/>
              </w:rPr>
              <w:t>HTTP    80     Anywhere (0.0.0.0/0)</w:t>
            </w:r>
          </w:p>
          <w:p>
            <w:pPr>
              <w:pStyle w:val="Normal"/>
              <w:spacing w:before="0" w:after="20"/>
              <w:rPr/>
            </w:pPr>
            <w:r>
              <w:rPr>
                <w:rFonts w:eastAsia="Consolas" w:cs="Consolas" w:ascii="Consolas" w:hAnsi="Consolas"/>
                <w:color w:val="E5E7EB"/>
                <w:sz w:val="19"/>
                <w:szCs w:val="19"/>
              </w:rPr>
              <w:t>HTTPS   443    Anywhere (0.0.0.0/0)</w:t>
            </w:r>
          </w:p>
        </w:tc>
      </w:tr>
    </w:tbl>
    <w:p>
      <w:pPr>
        <w:pStyle w:val="Normal"/>
        <w:spacing w:before="0" w:after="160"/>
        <w:rPr/>
      </w:pPr>
      <w:r>
        <w:rPr/>
      </w:r>
    </w:p>
    <w:p>
      <w:pPr>
        <w:pStyle w:val="Normal"/>
        <w:spacing w:before="0" w:after="200"/>
        <w:rPr/>
      </w:pPr>
      <w:r>
        <w:rPr/>
        <w:drawing>
          <wp:inline distT="0" distB="0" distL="0" distR="0">
            <wp:extent cx="6400800" cy="3025140"/>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tretch>
                      <a:fillRect/>
                    </a:stretch>
                  </pic:blipFill>
                  <pic:spPr bwMode="auto">
                    <a:xfrm>
                      <a:off x="0" y="0"/>
                      <a:ext cx="6400800" cy="3025140"/>
                    </a:xfrm>
                    <a:prstGeom prst="rect">
                      <a:avLst/>
                    </a:prstGeom>
                  </pic:spPr>
                </pic:pic>
              </a:graphicData>
            </a:graphic>
          </wp:inline>
        </w:drawing>
      </w:r>
    </w:p>
    <w:p>
      <w:pPr>
        <w:pStyle w:val="Heading2"/>
        <w:spacing w:before="320" w:after="140"/>
        <w:rPr/>
      </w:pPr>
      <w:bookmarkStart w:id="10" w:name="__RefHeading___Toc589_1752573603"/>
      <w:bookmarkStart w:id="11" w:name="_Toc235785385"/>
      <w:bookmarkEnd w:id="10"/>
      <w:r>
        <w:rPr>
          <w:b/>
          <w:bCs/>
          <w:color w:val="1F2937"/>
        </w:rPr>
        <w:t>1.4 — Preparing the Key for SSH</w:t>
      </w:r>
      <w:bookmarkEnd w:id="11"/>
    </w:p>
    <w:p>
      <w:pPr>
        <w:pStyle w:val="Normal"/>
        <w:spacing w:before="0" w:after="160"/>
        <w:rPr/>
      </w:pPr>
      <w:r>
        <w:rPr>
          <w:color w:val="27272A"/>
          <w:sz w:val="22"/>
          <w:szCs w:val="22"/>
        </w:rPr>
        <w:t>On Mac/Linux, the key's file permissions were restricted with 'chmod 400' so only the owner could read it (SSH refuses to use keys with overly open permissions). On Windows, PuTTYgen was used to convert the .pem file into a .ppk file for use with PuTTY.</w:t>
      </w:r>
    </w:p>
    <w:tbl>
      <w:tblPr>
        <w:tblW w:w="5000" w:type="pct"/>
        <w:jc w:val="left"/>
        <w:tblInd w:w="0" w:type="dxa"/>
        <w:tblLayout w:type="fixed"/>
        <w:tblCellMar>
          <w:top w:w="160" w:type="dxa"/>
          <w:left w:w="220" w:type="dxa"/>
          <w:bottom w:w="160" w:type="dxa"/>
          <w:right w:w="220" w:type="dxa"/>
        </w:tblCellMar>
        <w:tblLook w:val="04a0" w:noHBand="0" w:noVBand="1" w:firstColumn="1" w:lastRow="0" w:lastColumn="0" w:firstRow="1"/>
      </w:tblPr>
      <w:tblGrid>
        <w:gridCol w:w="10080"/>
      </w:tblGrid>
      <w:tr>
        <w:trPr/>
        <w:tc>
          <w:tcPr>
            <w:tcW w:w="10080" w:type="dxa"/>
            <w:tcBorders>
              <w:top w:val="single" w:sz="2" w:space="0" w:color="3F3F46"/>
              <w:left w:val="single" w:sz="2" w:space="0" w:color="3F3F46"/>
              <w:bottom w:val="single" w:sz="2" w:space="0" w:color="3F3F46"/>
              <w:right w:val="single" w:sz="2" w:space="0" w:color="3F3F46"/>
            </w:tcBorders>
            <w:shd w:color="auto" w:fill="1F2937" w:val="clear"/>
          </w:tcPr>
          <w:p>
            <w:pPr>
              <w:pStyle w:val="Normal"/>
              <w:spacing w:before="0" w:after="20"/>
              <w:rPr/>
            </w:pPr>
            <w:r>
              <w:rPr>
                <w:rFonts w:eastAsia="Consolas" w:cs="Consolas" w:ascii="Consolas" w:hAnsi="Consolas"/>
                <w:color w:val="E5E7EB"/>
                <w:sz w:val="19"/>
                <w:szCs w:val="19"/>
              </w:rPr>
              <w:t>$ chmod 400 keyname.pem</w:t>
            </w:r>
          </w:p>
        </w:tc>
      </w:tr>
    </w:tbl>
    <w:p>
      <w:pPr>
        <w:pStyle w:val="Normal"/>
        <w:spacing w:before="0" w:after="160"/>
        <w:rPr/>
      </w:pPr>
      <w:r>
        <w:rPr/>
      </w:r>
    </w:p>
    <w:p>
      <w:pPr>
        <w:pStyle w:val="Normal"/>
        <w:spacing w:before="0" w:after="200"/>
        <w:rPr/>
      </w:pPr>
      <w:r>
        <w:rPr/>
        <w:drawing>
          <wp:inline distT="0" distB="0" distL="0" distR="0">
            <wp:extent cx="6400800" cy="359981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6400800" cy="3599815"/>
                    </a:xfrm>
                    <a:prstGeom prst="rect">
                      <a:avLst/>
                    </a:prstGeom>
                  </pic:spPr>
                </pic:pic>
              </a:graphicData>
            </a:graphic>
          </wp:inline>
        </w:drawing>
      </w:r>
    </w:p>
    <w:p>
      <w:pPr>
        <w:pStyle w:val="Normal"/>
        <w:spacing w:before="0" w:after="200"/>
        <w:rPr/>
      </w:pPr>
      <w:r>
        <w:rPr/>
      </w:r>
    </w:p>
    <w:p>
      <w:pPr>
        <w:pStyle w:val="Heading2"/>
        <w:spacing w:before="320" w:after="140"/>
        <w:rPr/>
      </w:pPr>
      <w:bookmarkStart w:id="12" w:name="__RefHeading___Toc591_1752573603"/>
      <w:bookmarkStart w:id="13" w:name="_Toc235785386"/>
      <w:bookmarkEnd w:id="12"/>
      <w:r>
        <w:rPr>
          <w:b/>
          <w:bCs/>
          <w:color w:val="1F2937"/>
        </w:rPr>
        <w:t>1.5 — Connecting via SSH</w:t>
      </w:r>
      <w:bookmarkEnd w:id="13"/>
    </w:p>
    <w:p>
      <w:pPr>
        <w:pStyle w:val="Normal"/>
        <w:spacing w:before="0" w:after="160"/>
        <w:rPr/>
      </w:pPr>
      <w:r>
        <w:rPr>
          <w:color w:val="27272A"/>
          <w:sz w:val="22"/>
          <w:szCs w:val="22"/>
        </w:rPr>
        <w:t>The instance's public IP address was used to open a secure shell connection into the server. On first connection, SSH asks to confirm the host's authenticity — typing 'yes' adds it to the list of known hosts and grants access to the server's command line.</w:t>
      </w:r>
    </w:p>
    <w:tbl>
      <w:tblPr>
        <w:tblW w:w="5000" w:type="pct"/>
        <w:jc w:val="left"/>
        <w:tblInd w:w="0" w:type="dxa"/>
        <w:tblLayout w:type="fixed"/>
        <w:tblCellMar>
          <w:top w:w="160" w:type="dxa"/>
          <w:left w:w="220" w:type="dxa"/>
          <w:bottom w:w="160" w:type="dxa"/>
          <w:right w:w="220" w:type="dxa"/>
        </w:tblCellMar>
        <w:tblLook w:val="04a0" w:noHBand="0" w:noVBand="1" w:firstColumn="1" w:lastRow="0" w:lastColumn="0" w:firstRow="1"/>
      </w:tblPr>
      <w:tblGrid>
        <w:gridCol w:w="10080"/>
      </w:tblGrid>
      <w:tr>
        <w:trPr/>
        <w:tc>
          <w:tcPr>
            <w:tcW w:w="10080" w:type="dxa"/>
            <w:tcBorders>
              <w:top w:val="single" w:sz="2" w:space="0" w:color="3F3F46"/>
              <w:left w:val="single" w:sz="2" w:space="0" w:color="3F3F46"/>
              <w:bottom w:val="single" w:sz="2" w:space="0" w:color="3F3F46"/>
              <w:right w:val="single" w:sz="2" w:space="0" w:color="3F3F46"/>
            </w:tcBorders>
            <w:shd w:color="auto" w:fill="1F2937" w:val="clear"/>
          </w:tcPr>
          <w:p>
            <w:pPr>
              <w:pStyle w:val="Normal"/>
              <w:spacing w:before="0" w:after="20"/>
              <w:rPr/>
            </w:pPr>
            <w:r>
              <w:rPr>
                <w:rFonts w:eastAsia="Consolas" w:cs="Consolas" w:ascii="Consolas" w:hAnsi="Consolas"/>
                <w:color w:val="E5E7EB"/>
                <w:sz w:val="19"/>
                <w:szCs w:val="19"/>
              </w:rPr>
              <w:t>$ ssh -i keyname.pem ec2-user@&lt;Public-IP&gt;</w:t>
            </w:r>
          </w:p>
          <w:p>
            <w:pPr>
              <w:pStyle w:val="Normal"/>
              <w:spacing w:before="0" w:after="20"/>
              <w:rPr/>
            </w:pPr>
            <w:r>
              <w:rPr>
                <w:rFonts w:eastAsia="Consolas" w:cs="Consolas" w:ascii="Consolas" w:hAnsi="Consolas"/>
                <w:color w:val="E5E7EB"/>
                <w:sz w:val="19"/>
                <w:szCs w:val="19"/>
              </w:rPr>
              <w:t>The authenticity of host '...' can't be established.</w:t>
            </w:r>
          </w:p>
          <w:p>
            <w:pPr>
              <w:pStyle w:val="Normal"/>
              <w:spacing w:before="0" w:after="20"/>
              <w:rPr/>
            </w:pPr>
            <w:r>
              <w:rPr>
                <w:rFonts w:eastAsia="Consolas" w:cs="Consolas" w:ascii="Consolas" w:hAnsi="Consolas"/>
                <w:color w:val="E5E7EB"/>
                <w:sz w:val="19"/>
                <w:szCs w:val="19"/>
              </w:rPr>
              <w:t>Are you sure you want to continue connecting (yes/no)? yes</w:t>
            </w:r>
          </w:p>
          <w:p>
            <w:pPr>
              <w:pStyle w:val="Normal"/>
              <w:spacing w:before="0" w:after="20"/>
              <w:rPr/>
            </w:pPr>
            <w:r>
              <w:rPr>
                <w:rFonts w:eastAsia="Consolas" w:cs="Consolas" w:ascii="Consolas" w:hAnsi="Consolas"/>
                <w:color w:val="E5E7EB"/>
                <w:sz w:val="19"/>
                <w:szCs w:val="19"/>
              </w:rPr>
              <w:t>Warning: Permanently added to the list of known hosts.</w:t>
            </w:r>
          </w:p>
          <w:p>
            <w:pPr>
              <w:pStyle w:val="Normal"/>
              <w:spacing w:before="0" w:after="20"/>
              <w:rPr/>
            </w:pPr>
            <w:r>
              <w:rPr>
                <w:rFonts w:eastAsia="Consolas" w:cs="Consolas" w:ascii="Consolas" w:hAnsi="Consolas"/>
                <w:color w:val="E5E7EB"/>
                <w:sz w:val="19"/>
                <w:szCs w:val="19"/>
              </w:rPr>
              <w:t>[ec2-user@ip-172-31-0-1 ~]$</w:t>
            </w:r>
          </w:p>
        </w:tc>
      </w:tr>
    </w:tbl>
    <w:p>
      <w:pPr>
        <w:pStyle w:val="Normal"/>
        <w:spacing w:before="0" w:after="160"/>
        <w:rPr/>
      </w:pPr>
      <w:r>
        <w:rPr/>
      </w:r>
    </w:p>
    <w:p>
      <w:pPr>
        <w:pStyle w:val="Normal"/>
        <w:spacing w:before="0" w:after="200"/>
        <w:rPr/>
      </w:pPr>
      <w:r>
        <w:rPr/>
        <w:drawing>
          <wp:inline distT="0" distB="0" distL="0" distR="0">
            <wp:extent cx="6400800" cy="309816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6400800" cy="3098165"/>
                    </a:xfrm>
                    <a:prstGeom prst="rect">
                      <a:avLst/>
                    </a:prstGeom>
                  </pic:spPr>
                </pic:pic>
              </a:graphicData>
            </a:graphic>
          </wp:inline>
        </w:drawing>
      </w:r>
    </w:p>
    <w:p>
      <w:pPr>
        <w:pStyle w:val="Heading2"/>
        <w:spacing w:before="320" w:after="140"/>
        <w:rPr/>
      </w:pPr>
      <w:bookmarkStart w:id="14" w:name="__RefHeading___Toc593_1752573603"/>
      <w:bookmarkStart w:id="15" w:name="_Toc235785387"/>
      <w:bookmarkEnd w:id="14"/>
      <w:r>
        <w:rPr>
          <w:b/>
          <w:bCs/>
          <w:color w:val="1F2937"/>
        </w:rPr>
        <w:t>1.6 — Installing the Web Server (Nginx)</w:t>
      </w:r>
      <w:bookmarkEnd w:id="15"/>
    </w:p>
    <w:p>
      <w:pPr>
        <w:pStyle w:val="Normal"/>
        <w:spacing w:before="0" w:after="160"/>
        <w:rPr/>
      </w:pPr>
      <w:r>
        <w:rPr>
          <w:color w:val="27272A"/>
          <w:sz w:val="22"/>
          <w:szCs w:val="22"/>
        </w:rPr>
        <w:t>Once connected, the system package list was refreshed, then Nginx was installed and started as a background service (daemon). Nginx was chosen over Apache for this mission because of its event-driven architecture, which handles high concurrency more efficiently.</w:t>
      </w:r>
    </w:p>
    <w:tbl>
      <w:tblPr>
        <w:tblW w:w="5000" w:type="pct"/>
        <w:jc w:val="left"/>
        <w:tblInd w:w="0" w:type="dxa"/>
        <w:tblLayout w:type="fixed"/>
        <w:tblCellMar>
          <w:top w:w="160" w:type="dxa"/>
          <w:left w:w="220" w:type="dxa"/>
          <w:bottom w:w="160" w:type="dxa"/>
          <w:right w:w="220" w:type="dxa"/>
        </w:tblCellMar>
        <w:tblLook w:val="04a0" w:noHBand="0" w:noVBand="1" w:firstColumn="1" w:lastRow="0" w:lastColumn="0" w:firstRow="1"/>
      </w:tblPr>
      <w:tblGrid>
        <w:gridCol w:w="10080"/>
      </w:tblGrid>
      <w:tr>
        <w:trPr/>
        <w:tc>
          <w:tcPr>
            <w:tcW w:w="10080" w:type="dxa"/>
            <w:tcBorders>
              <w:top w:val="single" w:sz="2" w:space="0" w:color="3F3F46"/>
              <w:left w:val="single" w:sz="2" w:space="0" w:color="3F3F46"/>
              <w:bottom w:val="single" w:sz="2" w:space="0" w:color="3F3F46"/>
              <w:right w:val="single" w:sz="2" w:space="0" w:color="3F3F46"/>
            </w:tcBorders>
            <w:shd w:color="auto" w:fill="FFFFFF" w:themeFill="background1" w:val="clear"/>
          </w:tcPr>
          <w:p>
            <w:pPr>
              <w:pStyle w:val="Normal"/>
              <w:spacing w:before="0" w:after="20"/>
              <w:rPr>
                <w:rFonts w:ascii="Consolas" w:hAnsi="Consolas" w:eastAsia="Consolas" w:cs="Consolas"/>
                <w:color w:themeColor="text1" w:val="000000"/>
                <w:sz w:val="19"/>
                <w:szCs w:val="19"/>
              </w:rPr>
            </w:pPr>
            <w:r>
              <w:rPr>
                <w:rFonts w:eastAsia="Consolas" w:cs="Consolas" w:ascii="Consolas" w:hAnsi="Consolas"/>
                <w:color w:themeColor="text1" w:val="000000"/>
                <w:sz w:val="19"/>
                <w:szCs w:val="19"/>
              </w:rPr>
              <w:t>$ sudo dnf update –y</w:t>
            </w:r>
          </w:p>
          <w:p>
            <w:pPr>
              <w:pStyle w:val="Normal"/>
              <w:spacing w:before="0" w:after="20"/>
              <w:rPr>
                <w:color w:themeColor="text1" w:val="000000"/>
              </w:rPr>
            </w:pPr>
            <w:r>
              <w:rPr/>
              <w:drawing>
                <wp:inline distT="0" distB="0" distL="0" distR="0">
                  <wp:extent cx="6400800" cy="214249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6400800" cy="2142490"/>
                          </a:xfrm>
                          <a:prstGeom prst="rect">
                            <a:avLst/>
                          </a:prstGeom>
                        </pic:spPr>
                      </pic:pic>
                    </a:graphicData>
                  </a:graphic>
                </wp:inline>
              </w:drawing>
            </w:r>
          </w:p>
          <w:p>
            <w:pPr>
              <w:pStyle w:val="Normal"/>
              <w:spacing w:before="0" w:after="20"/>
              <w:rPr>
                <w:rFonts w:ascii="Consolas" w:hAnsi="Consolas" w:eastAsia="Consolas" w:cs="Consolas"/>
                <w:color w:themeColor="text1" w:val="000000"/>
                <w:sz w:val="19"/>
                <w:szCs w:val="19"/>
              </w:rPr>
            </w:pPr>
            <w:r>
              <w:rPr>
                <w:rFonts w:eastAsia="Consolas" w:cs="Consolas" w:ascii="Consolas" w:hAnsi="Consolas"/>
                <w:color w:themeColor="text1" w:val="000000"/>
                <w:sz w:val="19"/>
                <w:szCs w:val="19"/>
              </w:rPr>
            </w:r>
          </w:p>
          <w:p>
            <w:pPr>
              <w:pStyle w:val="Normal"/>
              <w:spacing w:before="0" w:after="20"/>
              <w:rPr>
                <w:rFonts w:ascii="Consolas" w:hAnsi="Consolas" w:eastAsia="Consolas" w:cs="Consolas"/>
                <w:color w:themeColor="text1" w:val="000000"/>
                <w:sz w:val="19"/>
                <w:szCs w:val="19"/>
              </w:rPr>
            </w:pPr>
            <w:r>
              <w:rPr>
                <w:rFonts w:eastAsia="Consolas" w:cs="Consolas" w:ascii="Consolas" w:hAnsi="Consolas"/>
                <w:color w:themeColor="text1" w:val="000000"/>
                <w:sz w:val="19"/>
                <w:szCs w:val="19"/>
              </w:rPr>
              <w:t>$ sudo dnf install nginx –y</w:t>
            </w:r>
          </w:p>
          <w:p>
            <w:pPr>
              <w:pStyle w:val="Normal"/>
              <w:spacing w:before="0" w:after="20"/>
              <w:rPr>
                <w:rFonts w:ascii="Consolas" w:hAnsi="Consolas" w:eastAsia="Consolas" w:cs="Consolas"/>
                <w:color w:themeColor="text1" w:val="000000"/>
                <w:sz w:val="19"/>
                <w:szCs w:val="19"/>
              </w:rPr>
            </w:pPr>
            <w:r>
              <w:rPr>
                <w:rFonts w:eastAsia="Consolas" w:cs="Consolas" w:ascii="Consolas" w:hAnsi="Consolas"/>
                <w:color w:themeColor="text1" w:val="000000"/>
                <w:sz w:val="19"/>
                <w:szCs w:val="19"/>
              </w:rPr>
            </w:r>
            <w:bookmarkStart w:id="16" w:name="_GoBack"/>
            <w:bookmarkStart w:id="17" w:name="_GoBack"/>
            <w:bookmarkEnd w:id="17"/>
          </w:p>
          <w:p>
            <w:pPr>
              <w:pStyle w:val="Normal"/>
              <w:spacing w:before="0" w:after="20"/>
              <w:rPr>
                <w:color w:themeColor="text1" w:val="000000"/>
              </w:rPr>
            </w:pPr>
            <w:r>
              <w:rPr/>
              <w:drawing>
                <wp:inline distT="0" distB="0" distL="0" distR="0">
                  <wp:extent cx="6400800" cy="529907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6400800" cy="5299075"/>
                          </a:xfrm>
                          <a:prstGeom prst="rect">
                            <a:avLst/>
                          </a:prstGeom>
                        </pic:spPr>
                      </pic:pic>
                    </a:graphicData>
                  </a:graphic>
                </wp:inline>
              </w:drawing>
            </w:r>
          </w:p>
          <w:p>
            <w:pPr>
              <w:pStyle w:val="Normal"/>
              <w:spacing w:before="0" w:after="20"/>
              <w:rPr>
                <w:rFonts w:ascii="Consolas" w:hAnsi="Consolas" w:eastAsia="Consolas" w:cs="Consolas"/>
                <w:color w:themeColor="text1" w:val="000000"/>
                <w:sz w:val="19"/>
                <w:szCs w:val="19"/>
              </w:rPr>
            </w:pPr>
            <w:r>
              <w:rPr>
                <w:rFonts w:eastAsia="Consolas" w:cs="Consolas" w:ascii="Consolas" w:hAnsi="Consolas"/>
                <w:color w:themeColor="text1" w:val="000000"/>
                <w:sz w:val="19"/>
                <w:szCs w:val="19"/>
              </w:rPr>
            </w:r>
          </w:p>
          <w:p>
            <w:pPr>
              <w:pStyle w:val="Normal"/>
              <w:spacing w:before="0" w:after="20"/>
              <w:rPr>
                <w:rFonts w:ascii="Consolas" w:hAnsi="Consolas" w:eastAsia="Consolas" w:cs="Consolas"/>
                <w:color w:themeColor="text1" w:val="000000"/>
                <w:sz w:val="19"/>
                <w:szCs w:val="19"/>
              </w:rPr>
            </w:pPr>
            <w:r>
              <w:rPr>
                <w:rFonts w:eastAsia="Consolas" w:cs="Consolas" w:ascii="Consolas" w:hAnsi="Consolas"/>
                <w:color w:themeColor="text1" w:val="000000"/>
                <w:sz w:val="19"/>
                <w:szCs w:val="19"/>
              </w:rPr>
              <w:t>$ sudo systemctl start nginx</w:t>
            </w:r>
          </w:p>
          <w:p>
            <w:pPr>
              <w:pStyle w:val="Normal"/>
              <w:spacing w:before="0" w:after="20"/>
              <w:rPr>
                <w:rFonts w:ascii="Consolas" w:hAnsi="Consolas" w:eastAsia="Consolas" w:cs="Consolas"/>
                <w:color w:themeColor="text1" w:val="000000"/>
                <w:sz w:val="19"/>
                <w:szCs w:val="19"/>
              </w:rPr>
            </w:pPr>
            <w:r>
              <w:rPr>
                <w:rFonts w:eastAsia="Consolas" w:cs="Consolas" w:ascii="Consolas" w:hAnsi="Consolas"/>
                <w:color w:themeColor="text1" w:val="000000"/>
                <w:sz w:val="19"/>
                <w:szCs w:val="19"/>
              </w:rPr>
            </w:r>
          </w:p>
          <w:p>
            <w:pPr>
              <w:pStyle w:val="Normal"/>
              <w:spacing w:before="0" w:after="20"/>
              <w:rPr>
                <w:rFonts w:ascii="Consolas" w:hAnsi="Consolas" w:eastAsia="Consolas" w:cs="Consolas"/>
                <w:color w:themeColor="text1" w:val="000000"/>
                <w:sz w:val="19"/>
                <w:szCs w:val="19"/>
              </w:rPr>
            </w:pPr>
            <w:r>
              <w:rPr/>
              <w:drawing>
                <wp:inline distT="0" distB="0" distL="0" distR="0">
                  <wp:extent cx="6400800" cy="185928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6400800" cy="1859280"/>
                          </a:xfrm>
                          <a:prstGeom prst="rect">
                            <a:avLst/>
                          </a:prstGeom>
                        </pic:spPr>
                      </pic:pic>
                    </a:graphicData>
                  </a:graphic>
                </wp:inline>
              </w:drawing>
            </w:r>
          </w:p>
          <w:p>
            <w:pPr>
              <w:pStyle w:val="Normal"/>
              <w:spacing w:before="0" w:after="20"/>
              <w:rPr>
                <w:color w:themeColor="text1" w:val="000000"/>
              </w:rPr>
            </w:pPr>
            <w:r>
              <w:rPr>
                <w:color w:themeColor="text1" w:val="000000"/>
              </w:rPr>
            </w:r>
          </w:p>
          <w:p>
            <w:pPr>
              <w:pStyle w:val="Normal"/>
              <w:spacing w:before="0" w:after="20"/>
              <w:rPr>
                <w:rFonts w:ascii="Consolas" w:hAnsi="Consolas" w:eastAsia="Consolas" w:cs="Consolas"/>
                <w:color w:themeColor="text1" w:val="000000"/>
                <w:sz w:val="19"/>
                <w:szCs w:val="19"/>
              </w:rPr>
            </w:pPr>
            <w:r>
              <w:rPr>
                <w:rFonts w:eastAsia="Consolas" w:cs="Consolas" w:ascii="Consolas" w:hAnsi="Consolas"/>
                <w:color w:themeColor="text1" w:val="000000"/>
                <w:sz w:val="19"/>
                <w:szCs w:val="19"/>
              </w:rPr>
              <w:t>$ sudo systemctl enable nginx</w:t>
            </w:r>
          </w:p>
          <w:p>
            <w:pPr>
              <w:pStyle w:val="Normal"/>
              <w:spacing w:before="0" w:after="20"/>
              <w:rPr>
                <w:rFonts w:ascii="Consolas" w:hAnsi="Consolas" w:eastAsia="Consolas" w:cs="Consolas"/>
                <w:color w:themeColor="text1" w:val="000000"/>
                <w:sz w:val="19"/>
                <w:szCs w:val="19"/>
              </w:rPr>
            </w:pPr>
            <w:r>
              <w:rPr>
                <w:rFonts w:eastAsia="Consolas" w:cs="Consolas" w:ascii="Consolas" w:hAnsi="Consolas"/>
                <w:color w:themeColor="text1" w:val="000000"/>
                <w:sz w:val="19"/>
                <w:szCs w:val="19"/>
              </w:rPr>
            </w:r>
          </w:p>
          <w:p>
            <w:pPr>
              <w:pStyle w:val="Normal"/>
              <w:spacing w:before="0" w:after="20"/>
              <w:rPr>
                <w:color w:themeColor="text1" w:val="000000"/>
              </w:rPr>
            </w:pPr>
            <w:r>
              <w:rPr/>
              <w:drawing>
                <wp:inline distT="0" distB="0" distL="0" distR="0">
                  <wp:extent cx="6400800" cy="264287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6400800" cy="2642870"/>
                          </a:xfrm>
                          <a:prstGeom prst="rect">
                            <a:avLst/>
                          </a:prstGeom>
                        </pic:spPr>
                      </pic:pic>
                    </a:graphicData>
                  </a:graphic>
                </wp:inline>
              </w:drawing>
            </w:r>
          </w:p>
        </w:tc>
      </w:tr>
    </w:tbl>
    <w:p>
      <w:pPr>
        <w:pStyle w:val="Heading2"/>
        <w:spacing w:before="320" w:after="140"/>
        <w:rPr/>
      </w:pPr>
      <w:bookmarkStart w:id="18" w:name="__RefHeading___Toc595_1752573603"/>
      <w:bookmarkStart w:id="19" w:name="_Toc235785388"/>
      <w:bookmarkEnd w:id="18"/>
      <w:r>
        <w:rPr>
          <w:b/>
          <w:bCs/>
          <w:color w:val="1F2937"/>
        </w:rPr>
        <w:t>1.7 — Customizing the Web Page</w:t>
      </w:r>
      <w:bookmarkEnd w:id="19"/>
    </w:p>
    <w:p>
      <w:pPr>
        <w:pStyle w:val="Normal"/>
        <w:spacing w:before="0" w:after="160"/>
        <w:rPr/>
      </w:pPr>
      <w:r>
        <w:rPr>
          <w:color w:val="27272A"/>
          <w:sz w:val="22"/>
          <w:szCs w:val="22"/>
        </w:rPr>
        <w:t>The default Nginx index.html file was edited using the nano text editor to display a custom 'Welcome to DecodeLabs' message, replacing Nginx's default placeholder page with mission-specific content.</w:t>
      </w:r>
    </w:p>
    <w:tbl>
      <w:tblPr>
        <w:tblW w:w="5000" w:type="pct"/>
        <w:jc w:val="left"/>
        <w:tblInd w:w="0" w:type="dxa"/>
        <w:tblLayout w:type="fixed"/>
        <w:tblCellMar>
          <w:top w:w="160" w:type="dxa"/>
          <w:left w:w="220" w:type="dxa"/>
          <w:bottom w:w="160" w:type="dxa"/>
          <w:right w:w="220" w:type="dxa"/>
        </w:tblCellMar>
        <w:tblLook w:val="04a0" w:noHBand="0" w:noVBand="1" w:firstColumn="1" w:lastRow="0" w:lastColumn="0" w:firstRow="1"/>
      </w:tblPr>
      <w:tblGrid>
        <w:gridCol w:w="10080"/>
      </w:tblGrid>
      <w:tr>
        <w:trPr/>
        <w:tc>
          <w:tcPr>
            <w:tcW w:w="10080" w:type="dxa"/>
            <w:tcBorders>
              <w:top w:val="single" w:sz="2" w:space="0" w:color="3F3F46"/>
              <w:left w:val="single" w:sz="2" w:space="0" w:color="3F3F46"/>
              <w:bottom w:val="single" w:sz="2" w:space="0" w:color="3F3F46"/>
              <w:right w:val="single" w:sz="2" w:space="0" w:color="3F3F46"/>
            </w:tcBorders>
            <w:shd w:color="auto" w:fill="1F2937" w:val="clear"/>
          </w:tcPr>
          <w:p>
            <w:pPr>
              <w:pStyle w:val="Normal"/>
              <w:spacing w:before="0" w:after="20"/>
              <w:rPr/>
            </w:pPr>
            <w:r>
              <w:rPr>
                <w:rFonts w:eastAsia="Consolas" w:cs="Consolas" w:ascii="Consolas" w:hAnsi="Consolas"/>
                <w:color w:val="E5E7EB"/>
                <w:sz w:val="19"/>
                <w:szCs w:val="19"/>
              </w:rPr>
              <w:t>$ sudo nano /usr/share/nginx/html/index.html</w:t>
            </w:r>
          </w:p>
          <w:p>
            <w:pPr>
              <w:pStyle w:val="Normal"/>
              <w:spacing w:before="0" w:after="20"/>
              <w:rPr/>
            </w:pPr>
            <w:r>
              <w:rPr/>
            </w:r>
          </w:p>
          <w:p>
            <w:pPr>
              <w:pStyle w:val="Normal"/>
              <w:spacing w:before="0" w:after="20"/>
              <w:rPr/>
            </w:pPr>
            <w:r>
              <w:rPr>
                <w:rFonts w:eastAsia="Consolas" w:cs="Consolas" w:ascii="Consolas" w:hAnsi="Consolas"/>
                <w:color w:val="E5E7EB"/>
                <w:sz w:val="19"/>
                <w:szCs w:val="19"/>
              </w:rPr>
              <w:t>&lt;html&gt;</w:t>
            </w:r>
          </w:p>
          <w:p>
            <w:pPr>
              <w:pStyle w:val="Normal"/>
              <w:spacing w:before="0" w:after="20"/>
              <w:rPr/>
            </w:pPr>
            <w:r>
              <w:rPr>
                <w:rFonts w:eastAsia="Consolas" w:cs="Consolas" w:ascii="Consolas" w:hAnsi="Consolas"/>
                <w:color w:val="E5E7EB"/>
                <w:sz w:val="19"/>
                <w:szCs w:val="19"/>
              </w:rPr>
              <w:t>&lt;head&gt;&lt;title&gt;DecodeLabs&lt;/title&gt;&lt;/head&gt;</w:t>
            </w:r>
          </w:p>
          <w:p>
            <w:pPr>
              <w:pStyle w:val="Normal"/>
              <w:spacing w:before="0" w:after="20"/>
              <w:rPr/>
            </w:pPr>
            <w:r>
              <w:rPr>
                <w:rFonts w:eastAsia="Consolas" w:cs="Consolas" w:ascii="Consolas" w:hAnsi="Consolas"/>
                <w:color w:val="E5E7EB"/>
                <w:sz w:val="19"/>
                <w:szCs w:val="19"/>
              </w:rPr>
              <w:t>&lt;body&gt;</w:t>
            </w:r>
          </w:p>
          <w:p>
            <w:pPr>
              <w:pStyle w:val="Normal"/>
              <w:spacing w:before="0" w:after="20"/>
              <w:rPr/>
            </w:pPr>
            <w:r>
              <w:rPr>
                <w:rFonts w:eastAsia="Consolas" w:cs="Consolas" w:ascii="Consolas" w:hAnsi="Consolas"/>
                <w:color w:val="E5E7EB"/>
                <w:sz w:val="19"/>
                <w:szCs w:val="19"/>
              </w:rPr>
              <w:t xml:space="preserve">  </w:t>
            </w:r>
            <w:r>
              <w:rPr>
                <w:rFonts w:eastAsia="Consolas" w:cs="Consolas" w:ascii="Consolas" w:hAnsi="Consolas"/>
                <w:color w:val="E5E7EB"/>
                <w:sz w:val="19"/>
                <w:szCs w:val="19"/>
              </w:rPr>
              <w:t>&lt;h1&gt;Welcome to DecodeLabs: Mission Accomplished&lt;/h1&gt;</w:t>
            </w:r>
          </w:p>
          <w:p>
            <w:pPr>
              <w:pStyle w:val="Normal"/>
              <w:spacing w:before="0" w:after="20"/>
              <w:rPr/>
            </w:pPr>
            <w:r>
              <w:rPr>
                <w:rFonts w:eastAsia="Consolas" w:cs="Consolas" w:ascii="Consolas" w:hAnsi="Consolas"/>
                <w:color w:val="E5E7EB"/>
                <w:sz w:val="19"/>
                <w:szCs w:val="19"/>
              </w:rPr>
              <w:t>&lt;/body&gt;</w:t>
            </w:r>
          </w:p>
          <w:p>
            <w:pPr>
              <w:pStyle w:val="Normal"/>
              <w:spacing w:before="0" w:after="20"/>
              <w:rPr/>
            </w:pPr>
            <w:r>
              <w:rPr>
                <w:rFonts w:eastAsia="Consolas" w:cs="Consolas" w:ascii="Consolas" w:hAnsi="Consolas"/>
                <w:color w:val="E5E7EB"/>
                <w:sz w:val="19"/>
                <w:szCs w:val="19"/>
              </w:rPr>
              <w:t>&lt;/html&gt;</w:t>
            </w:r>
          </w:p>
          <w:p>
            <w:pPr>
              <w:pStyle w:val="Normal"/>
              <w:spacing w:before="0" w:after="20"/>
              <w:rPr/>
            </w:pPr>
            <w:r>
              <w:rPr/>
            </w:r>
          </w:p>
          <w:p>
            <w:pPr>
              <w:pStyle w:val="Normal"/>
              <w:spacing w:before="0" w:after="20"/>
              <w:rPr/>
            </w:pPr>
            <w:r>
              <w:rPr>
                <w:rFonts w:eastAsia="Consolas" w:cs="Consolas" w:ascii="Consolas" w:hAnsi="Consolas"/>
                <w:color w:val="E5E7EB"/>
                <w:sz w:val="19"/>
                <w:szCs w:val="19"/>
              </w:rPr>
              <w:t># Save: Ctrl+O, then Exit: Ctrl+X</w:t>
            </w:r>
          </w:p>
        </w:tc>
      </w:tr>
    </w:tbl>
    <w:p>
      <w:pPr>
        <w:pStyle w:val="Normal"/>
        <w:spacing w:before="0" w:after="160"/>
        <w:rPr/>
      </w:pPr>
      <w:r>
        <w:rPr/>
      </w:r>
    </w:p>
    <w:p>
      <w:pPr>
        <w:pStyle w:val="Normal"/>
        <w:spacing w:before="0" w:after="200"/>
        <w:rPr/>
      </w:pPr>
      <w:r>
        <w:rPr/>
        <w:drawing>
          <wp:inline distT="0" distB="0" distL="0" distR="0">
            <wp:extent cx="6400800" cy="3244215"/>
            <wp:effectExtent l="0" t="0" r="0" b="0"/>
            <wp:docPr id="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11"/>
                    <a:stretch>
                      <a:fillRect/>
                    </a:stretch>
                  </pic:blipFill>
                  <pic:spPr bwMode="auto">
                    <a:xfrm>
                      <a:off x="0" y="0"/>
                      <a:ext cx="6400800" cy="3244215"/>
                    </a:xfrm>
                    <a:prstGeom prst="rect">
                      <a:avLst/>
                    </a:prstGeom>
                  </pic:spPr>
                </pic:pic>
              </a:graphicData>
            </a:graphic>
          </wp:inline>
        </w:drawing>
      </w:r>
    </w:p>
    <w:p>
      <w:pPr>
        <w:pStyle w:val="Heading2"/>
        <w:spacing w:before="320" w:after="140"/>
        <w:rPr/>
      </w:pPr>
      <w:bookmarkStart w:id="20" w:name="__RefHeading___Toc597_1752573603"/>
      <w:bookmarkStart w:id="21" w:name="_Toc235785389"/>
      <w:bookmarkEnd w:id="20"/>
      <w:r>
        <w:rPr>
          <w:b/>
          <w:bCs/>
          <w:color w:val="1F2937"/>
        </w:rPr>
        <w:t>1.8 — Verifying the Live Server</w:t>
      </w:r>
      <w:bookmarkEnd w:id="21"/>
    </w:p>
    <w:p>
      <w:pPr>
        <w:pStyle w:val="Normal"/>
        <w:spacing w:before="0" w:after="160"/>
        <w:rPr/>
      </w:pPr>
      <w:r>
        <w:rPr>
          <w:color w:val="27272A"/>
          <w:sz w:val="22"/>
          <w:szCs w:val="22"/>
        </w:rPr>
        <w:t>The instance's public IP address was opened directly in a browser (http://&lt;Public-IP&gt;). The custom 'Welcome to DecodeLabs' page loading confirmed the entire chain worked end-to-end: virtual machine → firewall rules → SSH access → installed web server → live public page.</w:t>
      </w:r>
    </w:p>
    <w:p>
      <w:pPr>
        <w:pStyle w:val="Normal"/>
        <w:spacing w:before="0" w:after="200"/>
        <w:rPr/>
      </w:pPr>
      <w:r>
        <w:rPr/>
        <w:drawing>
          <wp:inline distT="0" distB="0" distL="0" distR="0">
            <wp:extent cx="6400800" cy="359600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6400800" cy="3596005"/>
                    </a:xfrm>
                    <a:prstGeom prst="rect">
                      <a:avLst/>
                    </a:prstGeom>
                  </pic:spPr>
                </pic:pic>
              </a:graphicData>
            </a:graphic>
          </wp:inline>
        </w:drawing>
      </w:r>
    </w:p>
    <w:p>
      <w:pPr>
        <w:pStyle w:val="Normal"/>
        <w:rPr/>
      </w:pPr>
      <w:r>
        <w:rPr/>
      </w:r>
      <w:r>
        <w:br w:type="page"/>
      </w:r>
    </w:p>
    <w:p>
      <w:pPr>
        <w:pStyle w:val="Heading1"/>
        <w:pBdr>
          <w:bottom w:val="single" w:sz="6" w:space="4" w:color="B7791F"/>
        </w:pBdr>
        <w:spacing w:before="0" w:after="200"/>
        <w:rPr/>
      </w:pPr>
      <w:bookmarkStart w:id="22" w:name="__RefHeading___Toc599_1752573603"/>
      <w:bookmarkStart w:id="23" w:name="_Toc235785390"/>
      <w:bookmarkEnd w:id="22"/>
      <w:r>
        <w:rPr>
          <w:b/>
          <w:bCs/>
          <w:color w:val="1F2937"/>
        </w:rPr>
        <w:t>Part 2 — Understanding the Architecture</w:t>
      </w:r>
      <w:bookmarkEnd w:id="23"/>
    </w:p>
    <w:p>
      <w:pPr>
        <w:pStyle w:val="Normal"/>
        <w:spacing w:before="0" w:after="160"/>
        <w:rPr/>
      </w:pPr>
      <w:r>
        <w:rPr>
          <w:color w:val="27272A"/>
          <w:sz w:val="22"/>
          <w:szCs w:val="22"/>
        </w:rPr>
        <w:t>Beyond just following steps, understanding why each piece works the way it does is what separates a checklist-follower from an actual systems engineer.</w:t>
      </w:r>
    </w:p>
    <w:p>
      <w:pPr>
        <w:pStyle w:val="Heading2"/>
        <w:spacing w:before="320" w:after="140"/>
        <w:rPr/>
      </w:pPr>
      <w:bookmarkStart w:id="24" w:name="__RefHeading___Toc601_1752573603"/>
      <w:bookmarkStart w:id="25" w:name="_Toc235785391"/>
      <w:bookmarkEnd w:id="24"/>
      <w:r>
        <w:rPr>
          <w:b/>
          <w:bCs/>
          <w:color w:val="1F2937"/>
        </w:rPr>
        <w:t>2.1 — Shared Responsibility Model</w:t>
      </w:r>
      <w:bookmarkEnd w:id="25"/>
    </w:p>
    <w:p>
      <w:pPr>
        <w:pStyle w:val="Normal"/>
        <w:spacing w:before="0" w:after="160"/>
        <w:rPr/>
      </w:pPr>
      <w:r>
        <w:rPr>
          <w:color w:val="27272A"/>
          <w:sz w:val="22"/>
          <w:szCs w:val="22"/>
        </w:rPr>
        <w:t>AWS secures the physical data centers, hardware, and the virtualization layer (the hypervisor). Everything above that line — the guest OS, patching, firewall rules, access management, and data — is the customer's responsibility. In short: AWS secures the concrete, the operator secures the logic.</w:t>
      </w:r>
    </w:p>
    <w:p>
      <w:pPr>
        <w:pStyle w:val="Normal"/>
        <w:spacing w:before="0" w:after="160"/>
        <w:rPr/>
      </w:pPr>
      <w:r>
        <w:rPr/>
      </w:r>
    </w:p>
    <w:p>
      <w:pPr>
        <w:pStyle w:val="Heading2"/>
        <w:spacing w:before="320" w:after="140"/>
        <w:rPr/>
      </w:pPr>
      <w:bookmarkStart w:id="26" w:name="__RefHeading___Toc603_1752573603"/>
      <w:bookmarkStart w:id="27" w:name="_Toc235785392"/>
      <w:bookmarkEnd w:id="26"/>
      <w:r>
        <w:rPr>
          <w:b/>
          <w:bCs/>
          <w:color w:val="1F2937"/>
        </w:rPr>
        <w:t>2.2 — Hypervisor &amp; Virtual Machines</w:t>
      </w:r>
      <w:bookmarkEnd w:id="27"/>
    </w:p>
    <w:p>
      <w:pPr>
        <w:pStyle w:val="Normal"/>
        <w:spacing w:before="0" w:after="160"/>
        <w:rPr/>
      </w:pPr>
      <w:r>
        <w:rPr>
          <w:color w:val="27272A"/>
          <w:sz w:val="22"/>
          <w:szCs w:val="22"/>
        </w:rPr>
        <w:t>The Hypervisor (on AWS, the Nitro System) partitions one physical server into multiple isolated virtual machines. Each EC2 instance is a guest running on this shared hardware, but fully isolated from other guests — this is what makes cloud compute both efficient and secure by default.</w:t>
      </w:r>
    </w:p>
    <w:p>
      <w:pPr>
        <w:pStyle w:val="Normal"/>
        <w:spacing w:before="0" w:after="160"/>
        <w:rPr/>
      </w:pPr>
      <w:r>
        <w:rPr/>
      </w:r>
    </w:p>
    <w:p>
      <w:pPr>
        <w:pStyle w:val="Heading2"/>
        <w:spacing w:before="320" w:after="140"/>
        <w:rPr/>
      </w:pPr>
      <w:bookmarkStart w:id="28" w:name="__RefHeading___Toc605_1752573603"/>
      <w:bookmarkStart w:id="29" w:name="_Toc235785393"/>
      <w:bookmarkEnd w:id="28"/>
      <w:r>
        <w:rPr>
          <w:b/>
          <w:bCs/>
          <w:color w:val="1F2937"/>
        </w:rPr>
        <w:t>2.3 — Security Groups Are Allow-Only</w:t>
      </w:r>
      <w:bookmarkEnd w:id="29"/>
    </w:p>
    <w:p>
      <w:pPr>
        <w:pStyle w:val="Normal"/>
        <w:spacing w:before="0" w:after="160"/>
        <w:rPr/>
      </w:pPr>
      <w:r>
        <w:rPr>
          <w:color w:val="27272A"/>
          <w:sz w:val="22"/>
          <w:szCs w:val="22"/>
        </w:rPr>
        <w:t>Security Groups work on a default-deny basis: all traffic is blocked unless a rule explicitly allows it. This is why SSH was restricted to 'My IP' — opening port 22 to the entire internet (0.0.0.0/0) is a common and dangerous misconfiguration that invites brute-force login attempts.</w:t>
      </w:r>
    </w:p>
    <w:p>
      <w:pPr>
        <w:pStyle w:val="Normal"/>
        <w:spacing w:before="0" w:after="200"/>
        <w:rPr/>
      </w:pPr>
      <w:r>
        <w:rPr/>
      </w:r>
    </w:p>
    <w:p>
      <w:pPr>
        <w:pStyle w:val="Normal"/>
        <w:rPr/>
      </w:pPr>
      <w:r>
        <w:rPr/>
      </w:r>
      <w:r>
        <w:br w:type="page"/>
      </w:r>
    </w:p>
    <w:p>
      <w:pPr>
        <w:pStyle w:val="Heading1"/>
        <w:pBdr>
          <w:bottom w:val="single" w:sz="6" w:space="4" w:color="B7791F"/>
        </w:pBdr>
        <w:spacing w:before="0" w:after="200"/>
        <w:rPr/>
      </w:pPr>
      <w:bookmarkStart w:id="30" w:name="__RefHeading___Toc607_1752573603"/>
      <w:bookmarkStart w:id="31" w:name="_Toc235785394"/>
      <w:bookmarkEnd w:id="30"/>
      <w:r>
        <w:rPr>
          <w:b/>
          <w:bCs/>
          <w:color w:val="1F2937"/>
        </w:rPr>
        <w:t>Part 3 — Cost Control (Critical)</w:t>
      </w:r>
      <w:bookmarkEnd w:id="31"/>
    </w:p>
    <w:p>
      <w:pPr>
        <w:pStyle w:val="Normal"/>
        <w:spacing w:before="0" w:after="160"/>
        <w:rPr/>
      </w:pPr>
      <w:r>
        <w:rPr>
          <w:color w:val="27272A"/>
          <w:sz w:val="22"/>
          <w:szCs w:val="22"/>
        </w:rPr>
        <w:t>Unlike S3 static hosting, an EC2 instance keeps running — and billing — continuously once launched, whether or not it is being used. This makes cost control significantly more important for this project than for Project 1.</w:t>
      </w:r>
    </w:p>
    <w:tbl>
      <w:tblPr>
        <w:tblW w:w="5000" w:type="pct"/>
        <w:jc w:val="left"/>
        <w:tblInd w:w="0" w:type="dxa"/>
        <w:tblLayout w:type="fixed"/>
        <w:tblCellMar>
          <w:top w:w="140" w:type="dxa"/>
          <w:left w:w="180" w:type="dxa"/>
          <w:bottom w:w="140" w:type="dxa"/>
          <w:right w:w="180" w:type="dxa"/>
        </w:tblCellMar>
        <w:tblLook w:val="04a0" w:noHBand="0" w:noVBand="1" w:firstColumn="1" w:lastRow="0" w:lastColumn="0" w:firstRow="1"/>
      </w:tblPr>
      <w:tblGrid>
        <w:gridCol w:w="10080"/>
      </w:tblGrid>
      <w:tr>
        <w:trPr/>
        <w:tc>
          <w:tcPr>
            <w:tcW w:w="10080" w:type="dxa"/>
            <w:tcBorders>
              <w:top w:val="single" w:sz="4" w:space="0" w:color="B7791F"/>
              <w:left w:val="single" w:sz="4" w:space="0" w:color="B7791F"/>
              <w:bottom w:val="single" w:sz="4" w:space="0" w:color="B7791F"/>
              <w:right w:val="single" w:sz="4" w:space="0" w:color="B7791F"/>
            </w:tcBorders>
            <w:shd w:color="auto" w:fill="FFF7E6" w:val="clear"/>
          </w:tcPr>
          <w:p>
            <w:pPr>
              <w:pStyle w:val="Normal"/>
              <w:rPr/>
            </w:pPr>
            <w:r>
              <w:rPr>
                <w:b/>
                <w:bCs/>
                <w:color w:val="B7791F"/>
                <w:sz w:val="21"/>
                <w:szCs w:val="21"/>
              </w:rPr>
              <w:t xml:space="preserve">⚠ </w:t>
            </w:r>
            <w:r>
              <w:rPr>
                <w:b/>
                <w:bCs/>
                <w:color w:val="B7791F"/>
                <w:sz w:val="21"/>
                <w:szCs w:val="21"/>
              </w:rPr>
              <w:t xml:space="preserve">Note: </w:t>
            </w:r>
            <w:r>
              <w:rPr>
                <w:color w:val="444444"/>
                <w:sz w:val="21"/>
                <w:szCs w:val="21"/>
              </w:rPr>
              <w:t>A running EC2 instance is billed by the hour (or second) as long as it is in the 'running' state — even if no one visits the website. Free Tier only covers 750 hours/month of a t2.micro instance for the first 12 months of an account. Forgetting to stop an instance is one of the most common causes of unexpected AWS bills.</w:t>
            </w:r>
          </w:p>
        </w:tc>
      </w:tr>
    </w:tbl>
    <w:p>
      <w:pPr>
        <w:pStyle w:val="Normal"/>
        <w:spacing w:before="0" w:after="200"/>
        <w:rPr/>
      </w:pPr>
      <w:r>
        <w:rPr/>
      </w:r>
    </w:p>
    <w:p>
      <w:pPr>
        <w:pStyle w:val="Heading2"/>
        <w:spacing w:before="320" w:after="140"/>
        <w:rPr/>
      </w:pPr>
      <w:bookmarkStart w:id="32" w:name="__RefHeading___Toc609_1752573603"/>
      <w:bookmarkStart w:id="33" w:name="_Toc235785395"/>
      <w:bookmarkEnd w:id="32"/>
      <w:r>
        <w:rPr>
          <w:b/>
          <w:bCs/>
          <w:color w:val="1F2937"/>
        </w:rPr>
        <w:t>3.1 — Stopping the Instance When Not in Use</w:t>
      </w:r>
      <w:bookmarkEnd w:id="33"/>
    </w:p>
    <w:p>
      <w:pPr>
        <w:pStyle w:val="Normal"/>
        <w:spacing w:before="0" w:after="160"/>
        <w:rPr/>
      </w:pPr>
      <w:r>
        <w:rPr>
          <w:color w:val="27272A"/>
          <w:sz w:val="22"/>
          <w:szCs w:val="22"/>
        </w:rPr>
        <w:t>When the server isn't actively needed (e.g. between work sessions), the instance was stopped from the EC2 console (Instance State → Stop). A stopped instance does not incur compute charges, though the attached storage (EBS volume) may still incur a small charge.</w:t>
      </w:r>
    </w:p>
    <w:p>
      <w:pPr>
        <w:pStyle w:val="Normal"/>
        <w:spacing w:before="0" w:after="200"/>
        <w:rPr/>
      </w:pPr>
      <w:r>
        <w:rPr/>
        <w:drawing>
          <wp:inline distT="0" distB="0" distL="0" distR="0">
            <wp:extent cx="6400800" cy="2988310"/>
            <wp:effectExtent l="0" t="0" r="0" b="0"/>
            <wp:docPr id="12"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descr=""/>
                    <pic:cNvPicPr>
                      <a:picLocks noChangeAspect="1" noChangeArrowheads="1"/>
                    </pic:cNvPicPr>
                  </pic:nvPicPr>
                  <pic:blipFill>
                    <a:blip r:embed="rId13"/>
                    <a:stretch>
                      <a:fillRect/>
                    </a:stretch>
                  </pic:blipFill>
                  <pic:spPr bwMode="auto">
                    <a:xfrm>
                      <a:off x="0" y="0"/>
                      <a:ext cx="6400800" cy="2988310"/>
                    </a:xfrm>
                    <a:prstGeom prst="rect">
                      <a:avLst/>
                    </a:prstGeom>
                  </pic:spPr>
                </pic:pic>
              </a:graphicData>
            </a:graphic>
          </wp:inline>
        </w:drawing>
      </w:r>
    </w:p>
    <w:p>
      <w:pPr>
        <w:pStyle w:val="Heading2"/>
        <w:spacing w:before="320" w:after="140"/>
        <w:rPr/>
      </w:pPr>
      <w:bookmarkStart w:id="34" w:name="__RefHeading___Toc611_1752573603"/>
      <w:bookmarkStart w:id="35" w:name="_Toc235785396"/>
      <w:bookmarkEnd w:id="34"/>
      <w:r>
        <w:rPr>
          <w:b/>
          <w:bCs/>
          <w:color w:val="1F2937"/>
        </w:rPr>
        <w:t>3.2 — Terminating the Instance When Fully Done</w:t>
      </w:r>
      <w:bookmarkEnd w:id="35"/>
    </w:p>
    <w:p>
      <w:pPr>
        <w:pStyle w:val="Normal"/>
        <w:spacing w:before="0" w:after="160"/>
        <w:rPr/>
      </w:pPr>
      <w:r>
        <w:rPr>
          <w:color w:val="27272A"/>
          <w:sz w:val="22"/>
          <w:szCs w:val="22"/>
        </w:rPr>
        <w:t>Once the milestone was verified and no longer needed, the instance was terminated entirely (Instance State → Terminate). Termination permanently deletes the instance and, by default, its root storage volume — this is the only way to guarantee zero ongoing charges for that instance.</w:t>
      </w:r>
    </w:p>
    <w:p>
      <w:pPr>
        <w:pStyle w:val="Normal"/>
        <w:spacing w:before="0" w:after="200"/>
        <w:rPr/>
      </w:pPr>
      <w:r>
        <w:rPr/>
        <w:drawing>
          <wp:inline distT="0" distB="0" distL="0" distR="0">
            <wp:extent cx="6400800" cy="2994660"/>
            <wp:effectExtent l="0" t="0" r="0" b="0"/>
            <wp:docPr id="13"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descr=""/>
                    <pic:cNvPicPr>
                      <a:picLocks noChangeAspect="1" noChangeArrowheads="1"/>
                    </pic:cNvPicPr>
                  </pic:nvPicPr>
                  <pic:blipFill>
                    <a:blip r:embed="rId14"/>
                    <a:stretch>
                      <a:fillRect/>
                    </a:stretch>
                  </pic:blipFill>
                  <pic:spPr bwMode="auto">
                    <a:xfrm>
                      <a:off x="0" y="0"/>
                      <a:ext cx="6400800" cy="2994660"/>
                    </a:xfrm>
                    <a:prstGeom prst="rect">
                      <a:avLst/>
                    </a:prstGeom>
                  </pic:spPr>
                </pic:pic>
              </a:graphicData>
            </a:graphic>
          </wp:inline>
        </w:drawing>
      </w:r>
    </w:p>
    <w:p>
      <w:pPr>
        <w:pStyle w:val="Heading2"/>
        <w:spacing w:before="320" w:after="140"/>
        <w:rPr/>
      </w:pPr>
      <w:bookmarkStart w:id="36" w:name="__RefHeading___Toc613_1752573603"/>
      <w:bookmarkStart w:id="37" w:name="_Toc235785397"/>
      <w:bookmarkEnd w:id="36"/>
      <w:r>
        <w:rPr>
          <w:b/>
          <w:bCs/>
          <w:color w:val="1F2937"/>
        </w:rPr>
        <w:t>3.3 — Setting a Billing Alarm</w:t>
      </w:r>
      <w:bookmarkEnd w:id="37"/>
    </w:p>
    <w:p>
      <w:pPr>
        <w:pStyle w:val="Normal"/>
        <w:spacing w:before="0" w:after="160"/>
        <w:rPr>
          <w:color w:val="27272A"/>
          <w:sz w:val="22"/>
          <w:szCs w:val="22"/>
        </w:rPr>
      </w:pPr>
      <w:r>
        <w:rPr>
          <w:color w:val="27272A"/>
          <w:sz w:val="22"/>
          <w:szCs w:val="22"/>
        </w:rPr>
        <w:t>As with Project 1, a CloudWatch billing alarm was kept active to send an email notification if total account charges cross a set threshold (e.g. $1) — this catches a forgotten running instance before it becomes a large, unexpected bill.</w:t>
      </w:r>
    </w:p>
    <w:p>
      <w:pPr>
        <w:pStyle w:val="Normal"/>
        <w:spacing w:before="0" w:after="160"/>
        <w:rPr/>
      </w:pPr>
      <w:r>
        <w:rPr/>
        <w:drawing>
          <wp:inline distT="0" distB="0" distL="0" distR="0">
            <wp:extent cx="6400800" cy="3007995"/>
            <wp:effectExtent l="0" t="0" r="0" b="0"/>
            <wp:docPr id="14"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descr=""/>
                    <pic:cNvPicPr>
                      <a:picLocks noChangeAspect="1" noChangeArrowheads="1"/>
                    </pic:cNvPicPr>
                  </pic:nvPicPr>
                  <pic:blipFill>
                    <a:blip r:embed="rId15"/>
                    <a:stretch>
                      <a:fillRect/>
                    </a:stretch>
                  </pic:blipFill>
                  <pic:spPr bwMode="auto">
                    <a:xfrm>
                      <a:off x="0" y="0"/>
                      <a:ext cx="6400800" cy="3007995"/>
                    </a:xfrm>
                    <a:prstGeom prst="rect">
                      <a:avLst/>
                    </a:prstGeom>
                  </pic:spPr>
                </pic:pic>
              </a:graphicData>
            </a:graphic>
          </wp:inline>
        </w:drawing>
      </w:r>
    </w:p>
    <w:p>
      <w:pPr>
        <w:pStyle w:val="Normal"/>
        <w:spacing w:before="0" w:after="240"/>
        <w:rPr/>
      </w:pPr>
      <w:r>
        <w:rPr/>
      </w:r>
    </w:p>
    <w:p>
      <w:pPr>
        <w:pStyle w:val="Heading1"/>
        <w:pBdr>
          <w:bottom w:val="single" w:sz="6" w:space="4" w:color="B7791F"/>
        </w:pBdr>
        <w:spacing w:before="480" w:after="200"/>
        <w:rPr/>
      </w:pPr>
      <w:bookmarkStart w:id="38" w:name="__RefHeading___Toc615_1752573603"/>
      <w:bookmarkStart w:id="39" w:name="_Toc235785398"/>
      <w:bookmarkEnd w:id="38"/>
      <w:r>
        <w:rPr>
          <w:b/>
          <w:bCs/>
          <w:color w:val="1F2937"/>
        </w:rPr>
        <w:t>Part 4 — Security (Advanced)</w:t>
      </w:r>
      <w:bookmarkEnd w:id="39"/>
    </w:p>
    <w:p>
      <w:pPr>
        <w:pStyle w:val="Normal"/>
        <w:spacing w:before="0" w:after="160"/>
        <w:rPr/>
      </w:pPr>
      <w:r>
        <w:rPr>
          <w:color w:val="27272A"/>
          <w:sz w:val="22"/>
          <w:szCs w:val="22"/>
        </w:rPr>
        <w:t>A few additional hardening steps go beyond the minimum mission requirements and reflect how EC2 instances are secured in real production environments.</w:t>
      </w:r>
    </w:p>
    <w:p>
      <w:pPr>
        <w:pStyle w:val="Heading2"/>
        <w:spacing w:before="320" w:after="140"/>
        <w:rPr/>
      </w:pPr>
      <w:bookmarkStart w:id="40" w:name="__RefHeading___Toc617_1752573603"/>
      <w:bookmarkStart w:id="41" w:name="_Toc235785399"/>
      <w:bookmarkEnd w:id="40"/>
      <w:r>
        <w:rPr>
          <w:b/>
          <w:bCs/>
          <w:color w:val="1F2937"/>
        </w:rPr>
        <w:t>4.1 — Restricting SSH to a Specific IP</w:t>
      </w:r>
      <w:bookmarkEnd w:id="41"/>
    </w:p>
    <w:p>
      <w:pPr>
        <w:pStyle w:val="Normal"/>
        <w:spacing w:before="0" w:after="160"/>
        <w:rPr/>
      </w:pPr>
      <w:r>
        <w:rPr>
          <w:color w:val="27272A"/>
          <w:sz w:val="22"/>
          <w:szCs w:val="22"/>
        </w:rPr>
        <w:t>Instead of leaving the SSH rule as 'My IP' (which can change if the network changes), the security group can be revisited whenever the IP changes, or a VPN/bastion host can be used for a fixed, stable access point — this avoids ever exposing port 22 to the entire internet.</w:t>
      </w:r>
    </w:p>
    <w:p>
      <w:pPr>
        <w:pStyle w:val="Normal"/>
        <w:spacing w:before="0" w:after="200"/>
        <w:rPr/>
      </w:pPr>
      <w:r>
        <w:rPr/>
        <w:drawing>
          <wp:inline distT="0" distB="0" distL="0" distR="0">
            <wp:extent cx="6400800" cy="3025140"/>
            <wp:effectExtent l="0" t="0" r="0" b="0"/>
            <wp:docPr id="15"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descr=""/>
                    <pic:cNvPicPr>
                      <a:picLocks noChangeAspect="1" noChangeArrowheads="1"/>
                    </pic:cNvPicPr>
                  </pic:nvPicPr>
                  <pic:blipFill>
                    <a:blip r:embed="rId16"/>
                    <a:stretch>
                      <a:fillRect/>
                    </a:stretch>
                  </pic:blipFill>
                  <pic:spPr bwMode="auto">
                    <a:xfrm>
                      <a:off x="0" y="0"/>
                      <a:ext cx="6400800" cy="3025140"/>
                    </a:xfrm>
                    <a:prstGeom prst="rect">
                      <a:avLst/>
                    </a:prstGeom>
                  </pic:spPr>
                </pic:pic>
              </a:graphicData>
            </a:graphic>
          </wp:inline>
        </w:drawing>
      </w:r>
    </w:p>
    <w:p>
      <w:pPr>
        <w:pStyle w:val="Heading2"/>
        <w:spacing w:before="320" w:after="140"/>
        <w:rPr/>
      </w:pPr>
      <w:bookmarkStart w:id="42" w:name="__RefHeading___Toc619_1752573603"/>
      <w:bookmarkStart w:id="43" w:name="_Toc235785400"/>
      <w:bookmarkEnd w:id="42"/>
      <w:r>
        <w:rPr>
          <w:b/>
          <w:bCs/>
          <w:color w:val="1F2937"/>
        </w:rPr>
        <w:t>4.2 — Using an IAM Role Instead of Access Keys</w:t>
      </w:r>
      <w:bookmarkEnd w:id="43"/>
    </w:p>
    <w:p>
      <w:pPr>
        <w:pStyle w:val="Normal"/>
        <w:spacing w:before="0" w:after="160"/>
        <w:rPr/>
      </w:pPr>
      <w:r>
        <w:rPr>
          <w:color w:val="27272A"/>
          <w:sz w:val="22"/>
          <w:szCs w:val="22"/>
        </w:rPr>
        <w:t>If the instance itself needs to call other AWS services (e.g. reading from an S3 bucket), an IAM Role should be attached directly to the EC2 instance rather than hardcoding an IAM user's Access Key/Secret Key inside the server. Roles issue temporary, automatically-rotated credentials.</w:t>
      </w:r>
    </w:p>
    <w:p>
      <w:pPr>
        <w:pStyle w:val="Heading2"/>
        <w:spacing w:before="320" w:after="140"/>
        <w:rPr>
          <w:b/>
          <w:bCs/>
          <w:color w:val="1F2937"/>
        </w:rPr>
      </w:pPr>
      <w:bookmarkStart w:id="44" w:name="__RefHeading___Toc621_1752573603"/>
      <w:bookmarkStart w:id="45" w:name="_Toc235785401"/>
      <w:bookmarkEnd w:id="44"/>
      <w:r>
        <w:rPr/>
        <w:drawing>
          <wp:inline distT="0" distB="0" distL="0" distR="0">
            <wp:extent cx="6400800" cy="2978150"/>
            <wp:effectExtent l="0" t="0" r="0" b="0"/>
            <wp:docPr id="16"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4" descr=""/>
                    <pic:cNvPicPr>
                      <a:picLocks noChangeAspect="1" noChangeArrowheads="1"/>
                    </pic:cNvPicPr>
                  </pic:nvPicPr>
                  <pic:blipFill>
                    <a:blip r:embed="rId17"/>
                    <a:stretch>
                      <a:fillRect/>
                    </a:stretch>
                  </pic:blipFill>
                  <pic:spPr bwMode="auto">
                    <a:xfrm>
                      <a:off x="0" y="0"/>
                      <a:ext cx="6400800" cy="2978150"/>
                    </a:xfrm>
                    <a:prstGeom prst="rect">
                      <a:avLst/>
                    </a:prstGeom>
                  </pic:spPr>
                </pic:pic>
              </a:graphicData>
            </a:graphic>
          </wp:inline>
        </w:drawing>
      </w:r>
    </w:p>
    <w:p>
      <w:pPr>
        <w:pStyle w:val="Heading2"/>
        <w:spacing w:before="320" w:after="140"/>
        <w:rPr/>
      </w:pPr>
      <w:bookmarkStart w:id="46" w:name="_Toc235785401"/>
      <w:bookmarkStart w:id="47" w:name="__RefHeading___Toc623_1752573603"/>
      <w:bookmarkEnd w:id="47"/>
      <w:r>
        <w:rPr>
          <w:b/>
          <w:bCs/>
          <w:color w:val="1F2937"/>
        </w:rPr>
        <w:t>4.3 — Keeping the System Patched</w:t>
      </w:r>
      <w:bookmarkEnd w:id="46"/>
    </w:p>
    <w:p>
      <w:pPr>
        <w:pStyle w:val="Normal"/>
        <w:spacing w:before="0" w:after="160"/>
        <w:rPr/>
      </w:pPr>
      <w:r>
        <w:rPr>
          <w:color w:val="27272A"/>
          <w:sz w:val="22"/>
          <w:szCs w:val="22"/>
        </w:rPr>
        <w:t>Regularly running 'sudo dnf update -y' (or the OS-appropriate equivalent) keeps the operating system and installed packages patched against known vulnerabilities — since patching the guest OS is explicitly the customer's responsibility under the Shared Responsibility Model.</w:t>
      </w:r>
    </w:p>
    <w:p>
      <w:pPr>
        <w:pStyle w:val="Normal"/>
        <w:spacing w:before="0" w:after="200"/>
        <w:rPr/>
      </w:pPr>
      <w:r>
        <w:rPr/>
        <w:drawing>
          <wp:inline distT="0" distB="0" distL="0" distR="0">
            <wp:extent cx="6400800" cy="2142490"/>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6400800" cy="2142490"/>
                    </a:xfrm>
                    <a:prstGeom prst="rect">
                      <a:avLst/>
                    </a:prstGeom>
                  </pic:spPr>
                </pic:pic>
              </a:graphicData>
            </a:graphic>
          </wp:inline>
        </w:drawing>
      </w:r>
    </w:p>
    <w:p>
      <w:pPr>
        <w:pStyle w:val="Heading1"/>
        <w:pBdr>
          <w:bottom w:val="single" w:sz="6" w:space="4" w:color="B7791F"/>
        </w:pBdr>
        <w:spacing w:before="480" w:after="200"/>
        <w:rPr/>
      </w:pPr>
      <w:bookmarkStart w:id="48" w:name="__RefHeading___Toc625_1752573603"/>
      <w:bookmarkStart w:id="49" w:name="_Toc235785402"/>
      <w:bookmarkEnd w:id="48"/>
      <w:r>
        <w:rPr>
          <w:b/>
          <w:bCs/>
          <w:color w:val="1F2937"/>
        </w:rPr>
        <w:t>Part 5 — Automation (Advanced)</w:t>
      </w:r>
      <w:bookmarkEnd w:id="49"/>
    </w:p>
    <w:p>
      <w:pPr>
        <w:pStyle w:val="Normal"/>
        <w:spacing w:before="0" w:after="160"/>
        <w:rPr/>
      </w:pPr>
      <w:r>
        <w:rPr>
          <w:color w:val="27272A"/>
          <w:sz w:val="22"/>
          <w:szCs w:val="22"/>
        </w:rPr>
        <w:t>Manually repeating these steps for every new server isn't scalable. These are optional ways to automate the provisioning process.</w:t>
      </w:r>
    </w:p>
    <w:p>
      <w:pPr>
        <w:pStyle w:val="Heading2"/>
        <w:spacing w:before="320" w:after="140"/>
        <w:rPr/>
      </w:pPr>
      <w:bookmarkStart w:id="50" w:name="__RefHeading___Toc627_1752573603"/>
      <w:bookmarkStart w:id="51" w:name="_Toc235785403"/>
      <w:bookmarkEnd w:id="50"/>
      <w:r>
        <w:rPr>
          <w:b/>
          <w:bCs/>
          <w:color w:val="1F2937"/>
        </w:rPr>
        <w:t>5.1 — Automating Setup with User Data</w:t>
      </w:r>
      <w:bookmarkEnd w:id="51"/>
    </w:p>
    <w:p>
      <w:pPr>
        <w:pStyle w:val="Normal"/>
        <w:spacing w:before="0" w:after="160"/>
        <w:rPr/>
      </w:pPr>
      <w:r>
        <w:rPr>
          <w:color w:val="27272A"/>
          <w:sz w:val="22"/>
          <w:szCs w:val="22"/>
        </w:rPr>
        <w:t>EC2 supports a 'User Data' script that runs automatically the first time an instance boots. By pasting a shell script into the 'Advanced Details → User data' field at launch time, Nginx can be installed and started automatically — without ever needing to SSH in manually.</w:t>
      </w:r>
    </w:p>
    <w:tbl>
      <w:tblPr>
        <w:tblW w:w="5000" w:type="pct"/>
        <w:jc w:val="left"/>
        <w:tblInd w:w="0" w:type="dxa"/>
        <w:tblLayout w:type="fixed"/>
        <w:tblCellMar>
          <w:top w:w="160" w:type="dxa"/>
          <w:left w:w="220" w:type="dxa"/>
          <w:bottom w:w="160" w:type="dxa"/>
          <w:right w:w="220" w:type="dxa"/>
        </w:tblCellMar>
        <w:tblLook w:val="04a0" w:noHBand="0" w:noVBand="1" w:firstColumn="1" w:lastRow="0" w:lastColumn="0" w:firstRow="1"/>
      </w:tblPr>
      <w:tblGrid>
        <w:gridCol w:w="10080"/>
      </w:tblGrid>
      <w:tr>
        <w:trPr/>
        <w:tc>
          <w:tcPr>
            <w:tcW w:w="10080" w:type="dxa"/>
            <w:tcBorders>
              <w:top w:val="single" w:sz="2" w:space="0" w:color="3F3F46"/>
              <w:left w:val="single" w:sz="2" w:space="0" w:color="3F3F46"/>
              <w:bottom w:val="single" w:sz="2" w:space="0" w:color="3F3F46"/>
              <w:right w:val="single" w:sz="2" w:space="0" w:color="3F3F46"/>
            </w:tcBorders>
            <w:shd w:color="auto" w:fill="1F2937" w:val="clear"/>
          </w:tcPr>
          <w:p>
            <w:pPr>
              <w:pStyle w:val="Normal"/>
              <w:spacing w:before="0" w:after="20"/>
              <w:rPr/>
            </w:pPr>
            <w:r>
              <w:rPr>
                <w:rFonts w:eastAsia="Consolas" w:cs="Consolas" w:ascii="Consolas" w:hAnsi="Consolas"/>
                <w:color w:val="E5E7EB"/>
                <w:sz w:val="19"/>
                <w:szCs w:val="19"/>
              </w:rPr>
              <w:t>#!/bin/bash</w:t>
            </w:r>
          </w:p>
          <w:p>
            <w:pPr>
              <w:pStyle w:val="Normal"/>
              <w:spacing w:before="0" w:after="20"/>
              <w:rPr/>
            </w:pPr>
            <w:r>
              <w:rPr>
                <w:rFonts w:eastAsia="Consolas" w:cs="Consolas" w:ascii="Consolas" w:hAnsi="Consolas"/>
                <w:color w:val="E5E7EB"/>
                <w:sz w:val="19"/>
                <w:szCs w:val="19"/>
              </w:rPr>
              <w:t>dnf update -y</w:t>
            </w:r>
          </w:p>
          <w:p>
            <w:pPr>
              <w:pStyle w:val="Normal"/>
              <w:spacing w:before="0" w:after="20"/>
              <w:rPr/>
            </w:pPr>
            <w:r>
              <w:rPr>
                <w:rFonts w:eastAsia="Consolas" w:cs="Consolas" w:ascii="Consolas" w:hAnsi="Consolas"/>
                <w:color w:val="E5E7EB"/>
                <w:sz w:val="19"/>
                <w:szCs w:val="19"/>
              </w:rPr>
              <w:t>dnf install nginx -y</w:t>
            </w:r>
          </w:p>
          <w:p>
            <w:pPr>
              <w:pStyle w:val="Normal"/>
              <w:spacing w:before="0" w:after="20"/>
              <w:rPr/>
            </w:pPr>
            <w:r>
              <w:rPr>
                <w:rFonts w:eastAsia="Consolas" w:cs="Consolas" w:ascii="Consolas" w:hAnsi="Consolas"/>
                <w:color w:val="E5E7EB"/>
                <w:sz w:val="19"/>
                <w:szCs w:val="19"/>
              </w:rPr>
              <w:t>systemctl start nginx</w:t>
            </w:r>
          </w:p>
          <w:p>
            <w:pPr>
              <w:pStyle w:val="Normal"/>
              <w:spacing w:before="0" w:after="20"/>
              <w:rPr/>
            </w:pPr>
            <w:r>
              <w:rPr>
                <w:rFonts w:eastAsia="Consolas" w:cs="Consolas" w:ascii="Consolas" w:hAnsi="Consolas"/>
                <w:color w:val="E5E7EB"/>
                <w:sz w:val="19"/>
                <w:szCs w:val="19"/>
              </w:rPr>
              <w:t>systemctl enable nginx</w:t>
            </w:r>
          </w:p>
          <w:p>
            <w:pPr>
              <w:pStyle w:val="Normal"/>
              <w:spacing w:before="0" w:after="20"/>
              <w:rPr/>
            </w:pPr>
            <w:r>
              <w:rPr>
                <w:rFonts w:eastAsia="Consolas" w:cs="Consolas" w:ascii="Consolas" w:hAnsi="Consolas"/>
                <w:color w:val="E5E7EB"/>
                <w:sz w:val="19"/>
                <w:szCs w:val="19"/>
              </w:rPr>
              <w:t>echo "&lt;h1&gt;Welcome to DecodeLabs: Mission Accomplished&lt;/h1&gt;" &gt; /usr/share/nginx/html/index.html</w:t>
            </w:r>
          </w:p>
        </w:tc>
      </w:tr>
    </w:tbl>
    <w:p>
      <w:pPr>
        <w:pStyle w:val="Normal"/>
        <w:spacing w:before="0" w:after="160"/>
        <w:rPr/>
      </w:pPr>
      <w:r>
        <w:rPr/>
      </w:r>
    </w:p>
    <w:p>
      <w:pPr>
        <w:pStyle w:val="Normal"/>
        <w:spacing w:before="0" w:after="200"/>
        <w:rPr>
          <w:b/>
          <w:sz w:val="32"/>
          <w:szCs w:val="32"/>
        </w:rPr>
      </w:pPr>
      <w:r>
        <w:rPr/>
        <w:drawing>
          <wp:inline distT="0" distB="0" distL="0" distR="0">
            <wp:extent cx="6400800" cy="2994660"/>
            <wp:effectExtent l="0" t="0" r="0" b="0"/>
            <wp:docPr id="18"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descr=""/>
                    <pic:cNvPicPr>
                      <a:picLocks noChangeAspect="1" noChangeArrowheads="1"/>
                    </pic:cNvPicPr>
                  </pic:nvPicPr>
                  <pic:blipFill>
                    <a:blip r:embed="rId19"/>
                    <a:stretch>
                      <a:fillRect/>
                    </a:stretch>
                  </pic:blipFill>
                  <pic:spPr bwMode="auto">
                    <a:xfrm>
                      <a:off x="0" y="0"/>
                      <a:ext cx="6400800" cy="2994660"/>
                    </a:xfrm>
                    <a:prstGeom prst="rect">
                      <a:avLst/>
                    </a:prstGeom>
                  </pic:spPr>
                </pic:pic>
              </a:graphicData>
            </a:graphic>
          </wp:inline>
        </w:drawing>
      </w:r>
    </w:p>
    <w:p>
      <w:pPr>
        <w:pStyle w:val="Normal"/>
        <w:spacing w:before="0" w:after="200"/>
        <w:rPr>
          <w:b/>
          <w:sz w:val="32"/>
          <w:szCs w:val="32"/>
        </w:rPr>
      </w:pPr>
      <w:r>
        <w:rPr>
          <w:b/>
          <w:sz w:val="32"/>
          <w:szCs w:val="32"/>
        </w:rPr>
        <w:t>Output:</w:t>
      </w:r>
    </w:p>
    <w:p>
      <w:pPr>
        <w:pStyle w:val="Normal"/>
        <w:spacing w:before="0" w:after="200"/>
        <w:rPr/>
      </w:pPr>
      <w:r>
        <w:rPr/>
        <w:drawing>
          <wp:inline distT="0" distB="0" distL="0" distR="0">
            <wp:extent cx="6400800" cy="3596005"/>
            <wp:effectExtent l="0" t="0" r="0" b="0"/>
            <wp:docPr id="19"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
                    <pic:cNvPicPr>
                      <a:picLocks noChangeAspect="1" noChangeArrowheads="1"/>
                    </pic:cNvPicPr>
                  </pic:nvPicPr>
                  <pic:blipFill>
                    <a:blip r:embed="rId20"/>
                    <a:stretch>
                      <a:fillRect/>
                    </a:stretch>
                  </pic:blipFill>
                  <pic:spPr bwMode="auto">
                    <a:xfrm>
                      <a:off x="0" y="0"/>
                      <a:ext cx="6400800" cy="3596005"/>
                    </a:xfrm>
                    <a:prstGeom prst="rect">
                      <a:avLst/>
                    </a:prstGeom>
                  </pic:spPr>
                </pic:pic>
              </a:graphicData>
            </a:graphic>
          </wp:inline>
        </w:drawing>
      </w:r>
    </w:p>
    <w:p>
      <w:pPr>
        <w:pStyle w:val="Heading2"/>
        <w:spacing w:before="320" w:after="140"/>
        <w:rPr/>
      </w:pPr>
      <w:bookmarkStart w:id="52" w:name="__RefHeading___Toc629_1752573603"/>
      <w:bookmarkStart w:id="53" w:name="_Toc235785404"/>
      <w:bookmarkEnd w:id="52"/>
      <w:r>
        <w:rPr>
          <w:b/>
          <w:bCs/>
          <w:color w:val="1F2937"/>
        </w:rPr>
        <w:t>5.2 — Managing the Instance via AWS CLI</w:t>
      </w:r>
      <w:bookmarkEnd w:id="53"/>
    </w:p>
    <w:p>
      <w:pPr>
        <w:pStyle w:val="Normal"/>
        <w:spacing w:before="0" w:after="160"/>
        <w:rPr/>
      </w:pPr>
      <w:r>
        <w:rPr>
          <w:color w:val="27272A"/>
          <w:sz w:val="22"/>
          <w:szCs w:val="22"/>
        </w:rPr>
        <w:t>Instead of using the console, the same instance can be started, stopped, and inspected using the AWS CLI — useful for scripting routine start/stop schedules to minimize cost.</w:t>
      </w:r>
    </w:p>
    <w:tbl>
      <w:tblPr>
        <w:tblW w:w="5000" w:type="pct"/>
        <w:jc w:val="left"/>
        <w:tblInd w:w="0" w:type="dxa"/>
        <w:tblLayout w:type="fixed"/>
        <w:tblCellMar>
          <w:top w:w="160" w:type="dxa"/>
          <w:left w:w="220" w:type="dxa"/>
          <w:bottom w:w="160" w:type="dxa"/>
          <w:right w:w="220" w:type="dxa"/>
        </w:tblCellMar>
        <w:tblLook w:val="04a0" w:noHBand="0" w:noVBand="1" w:firstColumn="1" w:lastRow="0" w:lastColumn="0" w:firstRow="1"/>
      </w:tblPr>
      <w:tblGrid>
        <w:gridCol w:w="10080"/>
      </w:tblGrid>
      <w:tr>
        <w:trPr/>
        <w:tc>
          <w:tcPr>
            <w:tcW w:w="10080" w:type="dxa"/>
            <w:tcBorders>
              <w:top w:val="single" w:sz="2" w:space="0" w:color="3F3F46"/>
              <w:left w:val="single" w:sz="2" w:space="0" w:color="3F3F46"/>
              <w:bottom w:val="single" w:sz="2" w:space="0" w:color="3F3F46"/>
              <w:right w:val="single" w:sz="2" w:space="0" w:color="3F3F46"/>
            </w:tcBorders>
            <w:shd w:color="auto" w:fill="auto" w:val="clear"/>
          </w:tcPr>
          <w:p>
            <w:pPr>
              <w:pStyle w:val="Normal"/>
              <w:spacing w:before="0" w:after="20"/>
              <w:rPr>
                <w:rFonts w:ascii="Consolas" w:hAnsi="Consolas" w:eastAsia="Consolas" w:cs="Consolas"/>
                <w:color w:themeColor="text1" w:val="000000"/>
                <w:sz w:val="19"/>
                <w:szCs w:val="19"/>
              </w:rPr>
            </w:pPr>
            <w:r>
              <w:rPr>
                <w:rFonts w:eastAsia="Consolas" w:cs="Consolas" w:ascii="Consolas" w:hAnsi="Consolas"/>
                <w:color w:themeColor="text1" w:val="000000"/>
                <w:sz w:val="19"/>
                <w:szCs w:val="19"/>
              </w:rPr>
              <w:t>$ aws ec2 start-instances --instance-ids i-0123456789abcdef0</w:t>
            </w:r>
          </w:p>
          <w:p>
            <w:pPr>
              <w:pStyle w:val="Normal"/>
              <w:spacing w:before="0" w:after="20"/>
              <w:rPr>
                <w:color w:themeColor="text1" w:val="000000"/>
              </w:rPr>
            </w:pPr>
            <w:r>
              <w:rPr/>
              <w:drawing>
                <wp:inline distT="0" distB="0" distL="0" distR="0">
                  <wp:extent cx="6400800" cy="2209800"/>
                  <wp:effectExtent l="0" t="0" r="0" b="0"/>
                  <wp:docPr id="20"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 descr=""/>
                          <pic:cNvPicPr>
                            <a:picLocks noChangeAspect="1" noChangeArrowheads="1"/>
                          </pic:cNvPicPr>
                        </pic:nvPicPr>
                        <pic:blipFill>
                          <a:blip r:embed="rId21"/>
                          <a:stretch>
                            <a:fillRect/>
                          </a:stretch>
                        </pic:blipFill>
                        <pic:spPr bwMode="auto">
                          <a:xfrm>
                            <a:off x="0" y="0"/>
                            <a:ext cx="6400800" cy="2209800"/>
                          </a:xfrm>
                          <a:prstGeom prst="rect">
                            <a:avLst/>
                          </a:prstGeom>
                        </pic:spPr>
                      </pic:pic>
                    </a:graphicData>
                  </a:graphic>
                </wp:inline>
              </w:drawing>
            </w:r>
          </w:p>
          <w:p>
            <w:pPr>
              <w:pStyle w:val="Normal"/>
              <w:spacing w:before="0" w:after="20"/>
              <w:rPr>
                <w:rFonts w:ascii="Consolas" w:hAnsi="Consolas" w:eastAsia="Consolas" w:cs="Consolas"/>
                <w:color w:themeColor="text1" w:val="000000"/>
                <w:sz w:val="19"/>
                <w:szCs w:val="19"/>
              </w:rPr>
            </w:pPr>
            <w:r>
              <w:rPr>
                <w:rFonts w:eastAsia="Consolas" w:cs="Consolas" w:ascii="Consolas" w:hAnsi="Consolas"/>
                <w:color w:themeColor="text1" w:val="000000"/>
                <w:sz w:val="19"/>
                <w:szCs w:val="19"/>
              </w:rPr>
            </w:r>
          </w:p>
          <w:p>
            <w:pPr>
              <w:pStyle w:val="Normal"/>
              <w:spacing w:before="0" w:after="20"/>
              <w:rPr>
                <w:rFonts w:ascii="Consolas" w:hAnsi="Consolas" w:eastAsia="Consolas" w:cs="Consolas"/>
                <w:color w:themeColor="text1" w:val="000000"/>
                <w:sz w:val="19"/>
                <w:szCs w:val="19"/>
              </w:rPr>
            </w:pPr>
            <w:r>
              <w:rPr>
                <w:rFonts w:eastAsia="Consolas" w:cs="Consolas" w:ascii="Consolas" w:hAnsi="Consolas"/>
                <w:color w:themeColor="text1" w:val="000000"/>
                <w:sz w:val="19"/>
                <w:szCs w:val="19"/>
              </w:rPr>
              <w:t>$ aws ec2 stop-instances --instance-ids i-0123456789abcdef0</w:t>
            </w:r>
          </w:p>
          <w:p>
            <w:pPr>
              <w:pStyle w:val="Normal"/>
              <w:spacing w:before="0" w:after="20"/>
              <w:rPr>
                <w:color w:themeColor="text1" w:val="000000"/>
              </w:rPr>
            </w:pPr>
            <w:r>
              <w:rPr>
                <w:color w:themeColor="text1" w:val="000000"/>
              </w:rPr>
            </w:r>
          </w:p>
          <w:p>
            <w:pPr>
              <w:pStyle w:val="Normal"/>
              <w:spacing w:before="0" w:after="20"/>
              <w:rPr>
                <w:color w:themeColor="text1" w:val="000000"/>
              </w:rPr>
            </w:pPr>
            <w:r>
              <w:rPr/>
              <w:drawing>
                <wp:inline distT="0" distB="0" distL="0" distR="0">
                  <wp:extent cx="6400800" cy="2376805"/>
                  <wp:effectExtent l="0" t="0" r="0" b="0"/>
                  <wp:docPr id="21"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2" descr=""/>
                          <pic:cNvPicPr>
                            <a:picLocks noChangeAspect="1" noChangeArrowheads="1"/>
                          </pic:cNvPicPr>
                        </pic:nvPicPr>
                        <pic:blipFill>
                          <a:blip r:embed="rId22"/>
                          <a:stretch>
                            <a:fillRect/>
                          </a:stretch>
                        </pic:blipFill>
                        <pic:spPr bwMode="auto">
                          <a:xfrm>
                            <a:off x="0" y="0"/>
                            <a:ext cx="6400800" cy="2376805"/>
                          </a:xfrm>
                          <a:prstGeom prst="rect">
                            <a:avLst/>
                          </a:prstGeom>
                        </pic:spPr>
                      </pic:pic>
                    </a:graphicData>
                  </a:graphic>
                </wp:inline>
              </w:drawing>
            </w:r>
          </w:p>
          <w:p>
            <w:pPr>
              <w:pStyle w:val="Normal"/>
              <w:spacing w:before="0" w:after="20"/>
              <w:rPr>
                <w:color w:themeColor="text1" w:val="000000"/>
              </w:rPr>
            </w:pPr>
            <w:r>
              <w:rPr>
                <w:color w:themeColor="text1" w:val="000000"/>
              </w:rPr>
            </w:r>
          </w:p>
          <w:p>
            <w:pPr>
              <w:pStyle w:val="Normal"/>
              <w:spacing w:before="0" w:after="20"/>
              <w:rPr>
                <w:rFonts w:ascii="Consolas" w:hAnsi="Consolas" w:eastAsia="Consolas" w:cs="Consolas"/>
                <w:color w:themeColor="text1" w:val="000000"/>
                <w:sz w:val="19"/>
                <w:szCs w:val="19"/>
              </w:rPr>
            </w:pPr>
            <w:r>
              <w:rPr>
                <w:rFonts w:eastAsia="Consolas" w:cs="Consolas" w:ascii="Consolas" w:hAnsi="Consolas"/>
                <w:color w:themeColor="text1" w:val="000000"/>
                <w:sz w:val="19"/>
                <w:szCs w:val="19"/>
              </w:rPr>
              <w:t>$ aws ec2 describe-instances --instance-ids i-0123456789abcdef0</w:t>
            </w:r>
          </w:p>
          <w:p>
            <w:pPr>
              <w:pStyle w:val="Normal"/>
              <w:spacing w:before="0" w:after="20"/>
              <w:rPr>
                <w:color w:themeColor="text1" w:val="000000"/>
              </w:rPr>
            </w:pPr>
            <w:r>
              <w:rPr/>
              <w:drawing>
                <wp:inline distT="0" distB="0" distL="0" distR="0">
                  <wp:extent cx="6400800" cy="6334125"/>
                  <wp:effectExtent l="0" t="0" r="0" b="0"/>
                  <wp:docPr id="22"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 descr=""/>
                          <pic:cNvPicPr>
                            <a:picLocks noChangeAspect="1" noChangeArrowheads="1"/>
                          </pic:cNvPicPr>
                        </pic:nvPicPr>
                        <pic:blipFill>
                          <a:blip r:embed="rId23"/>
                          <a:stretch>
                            <a:fillRect/>
                          </a:stretch>
                        </pic:blipFill>
                        <pic:spPr bwMode="auto">
                          <a:xfrm>
                            <a:off x="0" y="0"/>
                            <a:ext cx="6400800" cy="6334125"/>
                          </a:xfrm>
                          <a:prstGeom prst="rect">
                            <a:avLst/>
                          </a:prstGeom>
                        </pic:spPr>
                      </pic:pic>
                    </a:graphicData>
                  </a:graphic>
                </wp:inline>
              </w:drawing>
            </w:r>
          </w:p>
        </w:tc>
      </w:tr>
    </w:tbl>
    <w:p>
      <w:pPr>
        <w:pStyle w:val="Normal"/>
        <w:spacing w:before="0" w:after="200"/>
        <w:rPr/>
      </w:pPr>
      <w:r>
        <w:rPr/>
      </w:r>
    </w:p>
    <w:p>
      <w:pPr>
        <w:pStyle w:val="Normal"/>
        <w:rPr/>
      </w:pPr>
      <w:r>
        <w:rPr/>
      </w:r>
    </w:p>
    <w:sectPr>
      <w:headerReference w:type="even" r:id="rId24"/>
      <w:headerReference w:type="default" r:id="rId25"/>
      <w:headerReference w:type="first" r:id="rId26"/>
      <w:footerReference w:type="even" r:id="rId27"/>
      <w:footerReference w:type="default" r:id="rId28"/>
      <w:footerReference w:type="first" r:id="rId29"/>
      <w:type w:val="nextPage"/>
      <w:pgSz w:w="12240" w:h="15840"/>
      <w:pgMar w:left="1080" w:right="1080" w:gutter="0" w:header="708" w:top="1080" w:footer="708"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B7280"/>
        <w:sz w:val="16"/>
        <w:szCs w:val="16"/>
      </w:rPr>
      <w:t xml:space="preserve">Page </w:t>
    </w:r>
    <w:r>
      <w:rPr>
        <w:color w:val="6B7280"/>
        <w:sz w:val="16"/>
        <w:szCs w:val="16"/>
      </w:rPr>
      <w:fldChar w:fldCharType="begin"/>
    </w:r>
    <w:r>
      <w:rPr>
        <w:sz w:val="16"/>
        <w:szCs w:val="16"/>
        <w:color w:val="6B7280"/>
      </w:rPr>
      <w:instrText xml:space="preserve"> PAGE </w:instrText>
    </w:r>
    <w:r>
      <w:rPr>
        <w:sz w:val="16"/>
        <w:szCs w:val="16"/>
        <w:color w:val="6B7280"/>
      </w:rPr>
      <w:fldChar w:fldCharType="separate"/>
    </w:r>
    <w:r>
      <w:rPr>
        <w:sz w:val="16"/>
        <w:szCs w:val="16"/>
        <w:color w:val="6B7280"/>
      </w:rPr>
      <w:t>17</w:t>
    </w:r>
    <w:r>
      <w:rPr>
        <w:sz w:val="16"/>
        <w:szCs w:val="16"/>
        <w:color w:val="6B7280"/>
      </w:rPr>
      <w:fldChar w:fldCharType="end"/>
    </w:r>
    <w:r>
      <w:rPr>
        <w:color w:val="6B7280"/>
        <w:sz w:val="16"/>
        <w:szCs w:val="16"/>
      </w:rPr>
      <w:t xml:space="preserve"> of </w:t>
    </w:r>
    <w:r>
      <w:rPr>
        <w:color w:val="6B7280"/>
        <w:sz w:val="16"/>
        <w:szCs w:val="16"/>
      </w:rPr>
      <w:fldChar w:fldCharType="begin"/>
    </w:r>
    <w:r>
      <w:rPr>
        <w:sz w:val="16"/>
        <w:szCs w:val="16"/>
        <w:color w:val="6B7280"/>
      </w:rPr>
      <w:instrText xml:space="preserve"> NUMPAGES </w:instrText>
    </w:r>
    <w:r>
      <w:rPr>
        <w:sz w:val="16"/>
        <w:szCs w:val="16"/>
        <w:color w:val="6B7280"/>
      </w:rPr>
      <w:fldChar w:fldCharType="separate"/>
    </w:r>
    <w:r>
      <w:rPr>
        <w:sz w:val="16"/>
        <w:szCs w:val="16"/>
        <w:color w:val="6B7280"/>
      </w:rPr>
      <w:t>17</w:t>
    </w:r>
    <w:r>
      <w:rPr>
        <w:sz w:val="16"/>
        <w:szCs w:val="16"/>
        <w:color w:val="6B728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B7280"/>
        <w:sz w:val="16"/>
        <w:szCs w:val="16"/>
      </w:rPr>
      <w:t xml:space="preserve">Page </w:t>
    </w:r>
    <w:r>
      <w:rPr>
        <w:color w:val="6B7280"/>
        <w:sz w:val="16"/>
        <w:szCs w:val="16"/>
      </w:rPr>
      <w:fldChar w:fldCharType="begin"/>
    </w:r>
    <w:r>
      <w:rPr>
        <w:sz w:val="16"/>
        <w:szCs w:val="16"/>
        <w:color w:val="6B7280"/>
      </w:rPr>
      <w:instrText xml:space="preserve"> PAGE </w:instrText>
    </w:r>
    <w:r>
      <w:rPr>
        <w:sz w:val="16"/>
        <w:szCs w:val="16"/>
        <w:color w:val="6B7280"/>
      </w:rPr>
      <w:fldChar w:fldCharType="separate"/>
    </w:r>
    <w:r>
      <w:rPr>
        <w:sz w:val="16"/>
        <w:szCs w:val="16"/>
        <w:color w:val="6B7280"/>
      </w:rPr>
      <w:t>17</w:t>
    </w:r>
    <w:r>
      <w:rPr>
        <w:sz w:val="16"/>
        <w:szCs w:val="16"/>
        <w:color w:val="6B7280"/>
      </w:rPr>
      <w:fldChar w:fldCharType="end"/>
    </w:r>
    <w:r>
      <w:rPr>
        <w:color w:val="6B7280"/>
        <w:sz w:val="16"/>
        <w:szCs w:val="16"/>
      </w:rPr>
      <w:t xml:space="preserve"> of </w:t>
    </w:r>
    <w:r>
      <w:rPr>
        <w:color w:val="6B7280"/>
        <w:sz w:val="16"/>
        <w:szCs w:val="16"/>
      </w:rPr>
      <w:fldChar w:fldCharType="begin"/>
    </w:r>
    <w:r>
      <w:rPr>
        <w:sz w:val="16"/>
        <w:szCs w:val="16"/>
        <w:color w:val="6B7280"/>
      </w:rPr>
      <w:instrText xml:space="preserve"> NUMPAGES </w:instrText>
    </w:r>
    <w:r>
      <w:rPr>
        <w:sz w:val="16"/>
        <w:szCs w:val="16"/>
        <w:color w:val="6B7280"/>
      </w:rPr>
      <w:fldChar w:fldCharType="separate"/>
    </w:r>
    <w:r>
      <w:rPr>
        <w:sz w:val="16"/>
        <w:szCs w:val="16"/>
        <w:color w:val="6B7280"/>
      </w:rPr>
      <w:t>17</w:t>
    </w:r>
    <w:r>
      <w:rPr>
        <w:sz w:val="16"/>
        <w:szCs w:val="16"/>
        <w:color w:val="6B728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6B7280"/>
        <w:sz w:val="16"/>
        <w:szCs w:val="16"/>
      </w:rPr>
      <w:t>DecodeLabs · Cloud Computing Internship · Batch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6B7280"/>
        <w:sz w:val="16"/>
        <w:szCs w:val="16"/>
      </w:rPr>
      <w:t>DecodeLabs · Cloud Computing Internship · Batch 2026</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before="0" w:after="0"/>
      <w:jc w:val="left"/>
    </w:pPr>
    <w:rPr>
      <w:rFonts w:ascii="Calibri" w:hAnsi="Calibri" w:eastAsia="Calibri" w:cs="Calibri"/>
      <w:color w:val="auto"/>
      <w:kern w:val="0"/>
      <w:sz w:val="20"/>
      <w:szCs w:val="20"/>
      <w:lang w:val="en-US" w:eastAsia="en-US" w:bidi="ar-SA"/>
    </w:rPr>
  </w:style>
  <w:style w:type="paragraph" w:styleId="Heading1">
    <w:name w:val="Heading 1"/>
    <w:qFormat/>
    <w:pPr>
      <w:widowControl/>
      <w:bidi w:val="0"/>
      <w:spacing w:before="0" w:after="0"/>
      <w:jc w:val="left"/>
      <w:outlineLvl w:val="0"/>
    </w:pPr>
    <w:rPr>
      <w:rFonts w:ascii="Calibri" w:hAnsi="Calibri" w:eastAsia="Calibri" w:cs="Calibri"/>
      <w:color w:val="2E74B5"/>
      <w:kern w:val="0"/>
      <w:sz w:val="32"/>
      <w:szCs w:val="32"/>
      <w:lang w:val="en-US" w:eastAsia="en-US" w:bidi="ar-SA"/>
    </w:rPr>
  </w:style>
  <w:style w:type="paragraph" w:styleId="Heading2">
    <w:name w:val="Heading 2"/>
    <w:qFormat/>
    <w:pPr>
      <w:widowControl/>
      <w:bidi w:val="0"/>
      <w:spacing w:before="0" w:after="0"/>
      <w:jc w:val="left"/>
      <w:outlineLvl w:val="1"/>
    </w:pPr>
    <w:rPr>
      <w:rFonts w:ascii="Calibri" w:hAnsi="Calibri" w:eastAsia="Calibri" w:cs="Calibri"/>
      <w:color w:val="2E74B5"/>
      <w:kern w:val="0"/>
      <w:sz w:val="26"/>
      <w:szCs w:val="26"/>
      <w:lang w:val="en-US" w:eastAsia="en-US" w:bidi="ar-SA"/>
    </w:rPr>
  </w:style>
  <w:style w:type="paragraph" w:styleId="Heading3">
    <w:name w:val="Heading 3"/>
    <w:qFormat/>
    <w:pPr>
      <w:widowControl/>
      <w:bidi w:val="0"/>
      <w:spacing w:before="0" w:after="0"/>
      <w:jc w:val="left"/>
      <w:outlineLvl w:val="2"/>
    </w:pPr>
    <w:rPr>
      <w:rFonts w:ascii="Calibri" w:hAnsi="Calibri" w:eastAsia="Calibri" w:cs="Calibri"/>
      <w:color w:val="1F4D78"/>
      <w:kern w:val="0"/>
      <w:sz w:val="24"/>
      <w:szCs w:val="24"/>
      <w:lang w:val="en-US" w:eastAsia="en-US" w:bidi="ar-SA"/>
    </w:rPr>
  </w:style>
  <w:style w:type="paragraph" w:styleId="Heading4">
    <w:name w:val="Heading 4"/>
    <w:qFormat/>
    <w:pPr>
      <w:widowControl/>
      <w:bidi w:val="0"/>
      <w:spacing w:before="0" w:after="0"/>
      <w:jc w:val="left"/>
      <w:outlineLvl w:val="3"/>
    </w:pPr>
    <w:rPr>
      <w:rFonts w:ascii="Calibri" w:hAnsi="Calibri" w:eastAsia="Calibri" w:cs="Calibri"/>
      <w:i/>
      <w:iCs/>
      <w:color w:val="2E74B5"/>
      <w:kern w:val="0"/>
      <w:sz w:val="20"/>
      <w:szCs w:val="20"/>
      <w:lang w:val="en-US" w:eastAsia="en-US" w:bidi="ar-SA"/>
    </w:rPr>
  </w:style>
  <w:style w:type="paragraph" w:styleId="Heading5">
    <w:name w:val="Heading 5"/>
    <w:qFormat/>
    <w:pPr>
      <w:widowControl/>
      <w:bidi w:val="0"/>
      <w:spacing w:before="0" w:after="0"/>
      <w:jc w:val="left"/>
      <w:outlineLvl w:val="4"/>
    </w:pPr>
    <w:rPr>
      <w:rFonts w:ascii="Calibri" w:hAnsi="Calibri" w:eastAsia="Calibri" w:cs="Calibri"/>
      <w:color w:val="2E74B5"/>
      <w:kern w:val="0"/>
      <w:sz w:val="20"/>
      <w:szCs w:val="20"/>
      <w:lang w:val="en-US" w:eastAsia="en-US" w:bidi="ar-SA"/>
    </w:rPr>
  </w:style>
  <w:style w:type="paragraph" w:styleId="Heading6">
    <w:name w:val="Heading 6"/>
    <w:qFormat/>
    <w:pPr>
      <w:widowControl/>
      <w:bidi w:val="0"/>
      <w:spacing w:before="0" w:after="0"/>
      <w:jc w:val="left"/>
      <w:outlineLvl w:val="5"/>
    </w:pPr>
    <w:rPr>
      <w:rFonts w:ascii="Calibri" w:hAnsi="Calibri" w:eastAsia="Calibri" w:cs="Calibri"/>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qFormat/>
    <w:pPr>
      <w:widowControl/>
      <w:bidi w:val="0"/>
      <w:spacing w:before="0" w:after="0"/>
      <w:jc w:val="left"/>
    </w:pPr>
    <w:rPr>
      <w:rFonts w:ascii="Calibri" w:hAnsi="Calibri" w:eastAsia="Calibri" w:cs="Calibri"/>
      <w:color w:val="auto"/>
      <w:kern w:val="0"/>
      <w:sz w:val="56"/>
      <w:szCs w:val="56"/>
      <w:lang w:val="en-US" w:eastAsia="en-US" w:bidi="ar-SA"/>
    </w:rPr>
  </w:style>
  <w:style w:type="paragraph" w:styleId="Strong1" w:customStyle="1">
    <w:name w:val="Strong1"/>
    <w:qFormat/>
    <w:pPr>
      <w:widowControl/>
      <w:bidi w:val="0"/>
      <w:spacing w:before="0" w:after="0"/>
      <w:jc w:val="left"/>
    </w:pPr>
    <w:rPr>
      <w:rFonts w:ascii="Calibri" w:hAnsi="Calibri" w:eastAsia="Calibri" w:cs="Calibri"/>
      <w:b/>
      <w:bCs/>
      <w:color w:val="auto"/>
      <w:kern w:val="0"/>
      <w:sz w:val="20"/>
      <w:szCs w:val="20"/>
      <w:lang w:val="en-US" w:eastAsia="en-US" w:bidi="ar-SA"/>
    </w:rPr>
  </w:style>
  <w:style w:type="paragraph" w:styleId="ListParagraph">
    <w:name w:val="List Paragraph"/>
    <w:qFormat/>
    <w:pPr>
      <w:widowControl/>
      <w:bidi w:val="0"/>
      <w:spacing w:before="0" w:after="0"/>
      <w:jc w:val="left"/>
    </w:pPr>
    <w:rPr>
      <w:rFonts w:ascii="Calibri" w:hAnsi="Calibri" w:eastAsia="Calibri" w:cs="Calibri"/>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left"/>
    </w:pPr>
    <w:rPr>
      <w:rFonts w:ascii="Calibri" w:hAnsi="Calibri" w:eastAsia="Calibri" w:cs="Calibri"/>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left"/>
    </w:pPr>
    <w:rPr>
      <w:rFonts w:ascii="Calibri" w:hAnsi="Calibri" w:eastAsia="Calibri" w:cs="Calibri"/>
      <w:color w:val="auto"/>
      <w:kern w:val="0"/>
      <w:sz w:val="20"/>
      <w:szCs w:val="20"/>
      <w:lang w:val="en-US" w:eastAsia="en-US" w:bidi="ar-SA"/>
    </w:rPr>
  </w:style>
  <w:style w:type="paragraph" w:styleId="TOC1">
    <w:name w:val="TOC 1"/>
    <w:basedOn w:val="Normal"/>
    <w:next w:val="Normal"/>
    <w:autoRedefine/>
    <w:uiPriority w:val="39"/>
    <w:unhideWhenUsed/>
    <w:rsid w:val="004e6429"/>
    <w:pPr>
      <w:spacing w:before="0" w:after="100"/>
    </w:pPr>
    <w:rPr/>
  </w:style>
  <w:style w:type="paragraph" w:styleId="TOC2">
    <w:name w:val="TOC 2"/>
    <w:basedOn w:val="Normal"/>
    <w:next w:val="Normal"/>
    <w:autoRedefine/>
    <w:uiPriority w:val="39"/>
    <w:unhideWhenUsed/>
    <w:rsid w:val="004e6429"/>
    <w:pPr>
      <w:spacing w:before="0" w:after="100"/>
      <w:ind w:left="200"/>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3.png"/><Relationship Id="rId17" Type="http://schemas.openxmlformats.org/officeDocument/2006/relationships/image" Target="media/image15.png"/><Relationship Id="rId18" Type="http://schemas.openxmlformats.org/officeDocument/2006/relationships/image" Target="media/image6.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header" Target="header3.xml"/><Relationship Id="rId27" Type="http://schemas.openxmlformats.org/officeDocument/2006/relationships/footer" Target="footer1.xml"/><Relationship Id="rId28" Type="http://schemas.openxmlformats.org/officeDocument/2006/relationships/footer" Target="footer2.xml"/><Relationship Id="rId29" Type="http://schemas.openxmlformats.org/officeDocument/2006/relationships/footer" Target="footer3.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142</TotalTime>
  <Application>LibreOffice/24.2.7.2$Linux_X86_64 LibreOffice_project/420$Build-2</Application>
  <AppVersion>15.0000</AppVersion>
  <Pages>17</Pages>
  <Words>1532</Words>
  <Characters>8128</Characters>
  <CharactersWithSpaces>9646</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2026-07-24T06:06:00Z</dcterms:created>
  <dc:creator>Un-named</dc:creator>
  <dc:description/>
  <dc:language>en-US</dc:language>
  <cp:lastModifiedBy/>
  <dcterms:modified xsi:type="dcterms:W3CDTF">2026-07-24T17:47:23Z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file>