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نظرية-الفتائل-نسخة-منقحة-علميا-ورياضيا"/>
    <w:p>
      <w:pPr>
        <w:pStyle w:val="Heading1"/>
      </w:pPr>
      <w:r>
        <w:t xml:space="preserve">نظرية الفتائل — نسخة منقّحة علمياً ورياضياً</w:t>
      </w:r>
    </w:p>
    <w:p>
      <w:pPr>
        <w:pStyle w:val="BlockText"/>
      </w:pPr>
      <w:r>
        <w:t xml:space="preserve">الوثيقة موجَّهة كمخطوطة علمية: (1) إعادة صياغة نظرية الفتائل مع تصحيح المعادلات بوضع XeLaTeX، (2) اشتقاقات رياضية مفصّلة خطوة بخطوة، و(3) مخطط تجربة طاولة وتصوّر للاختبار.</w:t>
      </w:r>
    </w:p>
    <w:p>
      <w:r>
        <w:pict>
          <v:rect style="width:0;height:1.5pt" o:hralign="center" o:hrstd="t" o:hr="t"/>
        </w:pict>
      </w:r>
    </w:p>
    <w:bookmarkStart w:id="20" w:name="الملخص"/>
    <w:p>
      <w:pPr>
        <w:pStyle w:val="Heading2"/>
      </w:pPr>
      <w:r>
        <w:t xml:space="preserve">الملخّص</w:t>
      </w:r>
    </w:p>
    <w:p>
      <w:pPr>
        <w:pStyle w:val="FirstParagraph"/>
      </w:pPr>
      <w:r>
        <w:t xml:space="preserve">تقترح</w:t>
      </w:r>
      <w:r>
        <w:t xml:space="preserve"> </w:t>
      </w:r>
      <w:r>
        <w:t xml:space="preserve">“نظرية الفتائل”</w:t>
      </w:r>
      <w:r>
        <w:t xml:space="preserve"> </w:t>
      </w:r>
      <w:r>
        <w:t xml:space="preserve">آلية فيزيائية لشرح كيف يتحوّل السلوك المتقطّع الكمومي إلى سلوك كلاسيكي مستمر عبر تفاعل مع وسطٍ مخمِّد يُمثِّل</w:t>
      </w:r>
      <w:r>
        <w:t xml:space="preserve"> </w:t>
      </w:r>
      <w:r>
        <w:t xml:space="preserve">“الفضاء”</w:t>
      </w:r>
      <w:r>
        <w:t xml:space="preserve">. النسخة المنقّحة هذه توحّد وصفًا كموميًا للمذبذب، نموذجًا لطاقة النبضة، ومعادلة ديناميكية للوسط (دائرة RLC مُخمَّدة)، وتعرّف مُعاملًا لا بُعديًّا يحدّد عتبة الانتقال بين السلوكين. كما تُقدّم إجراءات اختبار تجريبيّة ومقترحًا لمحاكاة عددية.</w:t>
      </w:r>
    </w:p>
    <w:p>
      <w:r>
        <w:pict>
          <v:rect style="width:0;height:1.5pt" o:hralign="center" o:hrstd="t" o:hr="t"/>
        </w:pict>
      </w:r>
    </w:p>
    <w:bookmarkEnd w:id="20"/>
    <w:bookmarkStart w:id="21" w:name="الفرضيات-والتعريفات"/>
    <w:p>
      <w:pPr>
        <w:pStyle w:val="Heading2"/>
      </w:pPr>
      <w:r>
        <w:t xml:space="preserve">1. الفِرضيات والتعريفات</w:t>
      </w:r>
    </w:p>
    <w:p>
      <w:pPr>
        <w:pStyle w:val="FirstParagraph"/>
      </w:pPr>
      <w:r>
        <w:t xml:space="preserve">(m): كتلة الفتيلة (يمكن اختياره ككتلة بلانك (m_P) في صيغة التوحيد).</w:t>
      </w:r>
    </w:p>
    <w:p>
      <w:pPr>
        <w:pStyle w:val="BodyText"/>
      </w:pPr>
      <w:r>
        <w:t xml:space="preserve">(s_l): الامتداد المادي للفتيلة (يُقترح أن يُمثّل بطول بلانك (l_P) عند معايرة الكون).</w:t>
      </w:r>
    </w:p>
    <w:p>
      <w:pPr>
        <w:pStyle w:val="BodyText"/>
      </w:pPr>
      <w:r>
        <w:t xml:space="preserve">(c): سرعة الضوء.</w:t>
      </w:r>
    </w:p>
    <w:p>
      <w:pPr>
        <w:pStyle w:val="BodyText"/>
      </w:pPr>
      <w:r>
        <w:t xml:space="preserve">(</w:t>
      </w:r>
      <w:r>
        <w:t xml:space="preserve">): التردّد الزاوي للمود.</w:t>
      </w:r>
    </w:p>
    <w:p>
      <w:pPr>
        <w:pStyle w:val="BodyText"/>
      </w:pPr>
      <w:r>
        <w:t xml:space="preserve">(f=</w:t>
      </w:r>
      <w:r>
        <w:t xml:space="preserve">/(2</w:t>
      </w:r>
      <w:r>
        <w:t xml:space="preserve">)).</w:t>
      </w:r>
    </w:p>
    <w:p>
      <w:pPr>
        <w:pStyle w:val="BodyText"/>
      </w:pPr>
      <w:r>
        <w:t xml:space="preserve">(L,R,C): معلمات الدائرة الممثِّلة للوسط (محاثة، مقاومة، سعة).</w:t>
      </w:r>
    </w:p>
    <w:p>
      <w:pPr>
        <w:pStyle w:val="BodyText"/>
      </w:pPr>
      <w:r>
        <w:t xml:space="preserve">(</w:t>
      </w:r>
      <w:r>
        <w:t xml:space="preserve">(t)): القوة الدافعة الكهربائية (مدخل نبضي، تمثيل كسلسلة من النبضات).</w:t>
      </w:r>
    </w:p>
    <w:p>
      <w:pPr>
        <w:pStyle w:val="BodyText"/>
      </w:pPr>
      <w:r>
        <w:t xml:space="preserve">(T=1/f): زمن تكرار النبضات.</w:t>
      </w:r>
    </w:p>
    <w:p>
      <w:r>
        <w:pict>
          <v:rect style="width:0;height:1.5pt" o:hralign="center" o:hrstd="t" o:hr="t"/>
        </w:pict>
      </w:r>
    </w:p>
    <w:bookmarkEnd w:id="21"/>
    <w:bookmarkStart w:id="23" w:name="المذبذب-الكمومي-وتردده-الطبيعي"/>
    <w:p>
      <w:pPr>
        <w:pStyle w:val="Heading2"/>
      </w:pPr>
      <w:r>
        <w:t xml:space="preserve">2. المذبذب الكمومي وتردده الطبيعي</w:t>
      </w:r>
    </w:p>
    <w:p>
      <w:pPr>
        <w:pStyle w:val="FirstParagraph"/>
      </w:pPr>
      <w:r>
        <w:t xml:space="preserve">إذا اعتبرنا الفتيلة كمود موجي طولي طوله (s_l) مع شروط حدودية عقديّة عند الطرفين (نمط أساسي)، فإن التردّد الزاوي الأساسي يُعطى بـ:</w:t>
      </w:r>
    </w:p>
    <w:p>
      <w:pPr>
        <w:pStyle w:val="BodyText"/>
      </w:pPr>
      <m:oMathPara>
        <m:oMathParaPr>
          <m:jc m:val="center"/>
        </m:oMathParaPr>
        <m:oMath>
          <m:r>
            <m:t>ω</m:t>
          </m:r>
          <m:r>
            <m:rPr>
              <m:sty m:val="p"/>
            </m:rPr>
            <m:t>=</m:t>
          </m:r>
          <m:f>
            <m:fPr>
              <m:type m:val="bar"/>
            </m:fPr>
            <m:num>
              <m:r>
                <m:t>π</m:t>
              </m:r>
              <m:r>
                <m:t>c</m:t>
              </m:r>
            </m:num>
            <m:den>
              <m:sSub>
                <m:e>
                  <m:r>
                    <m:t>s</m:t>
                  </m:r>
                </m:e>
                <m:sub>
                  <m:r>
                    <m:t>l</m:t>
                  </m:r>
                </m:sub>
              </m:sSub>
            </m:den>
          </m:f>
          <m:r>
            <m:rPr>
              <m:sty m:val="p"/>
            </m:rPr>
            <m:t>,</m:t>
          </m:r>
          <m:r>
            <m:t>  </m:t>
          </m:r>
          <m:r>
            <m:t>f</m:t>
          </m:r>
          <m:r>
            <m:rPr>
              <m:sty m:val="p"/>
            </m:rPr>
            <m:t>=</m:t>
          </m:r>
          <m:f>
            <m:fPr>
              <m:type m:val="bar"/>
            </m:fPr>
            <m:num>
              <m:r>
                <m:t>c</m:t>
              </m:r>
            </m:num>
            <m:den>
              <m:r>
                <m:t>2</m:t>
              </m:r>
              <m:sSub>
                <m:e>
                  <m:r>
                    <m:t>s</m:t>
                  </m:r>
                </m:e>
                <m:sub>
                  <m:r>
                    <m:t>l</m:t>
                  </m:r>
                </m:sub>
              </m:sSub>
            </m:den>
          </m:f>
          <m:r>
            <m:rPr>
              <m:sty m:val="p"/>
            </m:rPr>
            <m:t>.</m:t>
          </m:r>
        </m:oMath>
      </m:oMathPara>
    </w:p>
    <w:bookmarkStart w:id="22" w:name="طاقة-الكم-للمود"/>
    <w:p>
      <w:pPr>
        <w:pStyle w:val="Heading3"/>
      </w:pPr>
      <w:r>
        <w:t xml:space="preserve">طاقة الكم للمود</w:t>
      </w:r>
    </w:p>
    <w:p>
      <w:pPr>
        <w:pStyle w:val="FirstParagraph"/>
      </w:pPr>
      <w:r>
        <w:t xml:space="preserve">كمذبذب هارموني كمومي:</w:t>
      </w:r>
    </w:p>
    <w:p>
      <w:pPr>
        <w:pStyle w:val="BodyText"/>
      </w:pPr>
      <m:oMathPara>
        <m:oMathParaPr>
          <m:jc m:val="center"/>
        </m:oMathParaPr>
        <m:oMath>
          <m:sSub>
            <m:e>
              <m:r>
                <m:t>E</m:t>
              </m:r>
            </m:e>
            <m:sub>
              <m:r>
                <m:t>n</m:t>
              </m:r>
            </m:sub>
          </m:sSub>
          <m:r>
            <m:rPr>
              <m:sty m:val="p"/>
            </m:rPr>
            <m:t>=</m:t>
          </m:r>
          <m:r>
            <m:rPr>
              <m:sty m:val="p"/>
            </m:rPr>
            <m:t>ℏ</m:t>
          </m:r>
          <m:r>
            <m:t>ω</m:t>
          </m:r>
          <m:d>
            <m:dPr>
              <m:begChr m:val="("/>
              <m:sepChr m:val=""/>
              <m:endChr m:val=")"/>
              <m:grow/>
            </m:dPr>
            <m:e>
              <m:r>
                <m:t>n</m:t>
              </m:r>
              <m:r>
                <m:rPr>
                  <m:sty m:val="p"/>
                </m:rPr>
                <m:t>+</m:t>
              </m:r>
              <m:f>
                <m:fPr>
                  <m:type m:val="lin"/>
                </m:fPr>
                <m:num>
                  <m:r>
                    <m:t>1</m:t>
                  </m:r>
                </m:num>
                <m:den>
                  <m:r>
                    <m:t>2</m:t>
                  </m:r>
                </m:den>
              </m:f>
            </m:e>
          </m:d>
          <m:r>
            <m:rPr>
              <m:sty m:val="p"/>
            </m:rPr>
            <m:t>,</m:t>
          </m:r>
        </m:oMath>
      </m:oMathPara>
    </w:p>
    <w:p>
      <w:pPr>
        <w:pStyle w:val="FirstParagraph"/>
      </w:pPr>
      <w:r>
        <w:t xml:space="preserve">ولكمّ الأساسيّ (الفوتون/الكم) طاقة:</w:t>
      </w:r>
    </w:p>
    <w:p>
      <w:pPr>
        <w:pStyle w:val="BodyText"/>
      </w:pPr>
      <w:r>
        <w:t xml:space="preserve">$$
    E_{\rm quant} = \hbar \omega.
    $$</w:t>
      </w:r>
    </w:p>
    <w:p>
      <w:pPr>
        <w:pStyle w:val="FirstParagraph"/>
      </w:pPr>
      <w:r>
        <w:t xml:space="preserve">بالتالي، تعريف ثابت بلانك الميكانيكي في هذا الإطار يعطي:</w:t>
      </w:r>
    </w:p>
    <w:p>
      <w:pPr>
        <w:pStyle w:val="BodyText"/>
      </w:pPr>
      <w:r>
        <w:t xml:space="preserve">$$
    h_{\rm mech} = \frac{E_{\rm quant}}{f} = \frac{\hbar \omega}{\omega/(2\pi)} = 2\pi \hbar = h.
    $$</w:t>
      </w:r>
    </w:p>
    <w:p>
      <w:r>
        <w:pict>
          <v:rect style="width:0;height:1.5pt" o:hralign="center" o:hrstd="t" o:hr="t"/>
        </w:pict>
      </w:r>
    </w:p>
    <w:bookmarkEnd w:id="22"/>
    <w:bookmarkEnd w:id="23"/>
    <w:bookmarkStart w:id="24" w:name="ربط-المرونة-k-بالطاقة"/>
    <w:p>
      <w:pPr>
        <w:pStyle w:val="Heading2"/>
      </w:pPr>
      <w:r>
        <w:t xml:space="preserve">3. ربط المرونة (k) بالطاقة</w:t>
      </w:r>
    </w:p>
    <w:p>
      <w:pPr>
        <w:pStyle w:val="FirstParagraph"/>
      </w:pPr>
      <w:r>
        <w:t xml:space="preserve">بافتراض مبدأ المراسلة (القيم الكبيرة أو المتوسّطة):</w:t>
      </w:r>
    </w:p>
    <w:p>
      <w:pPr>
        <w:pStyle w:val="BodyText"/>
      </w:pPr>
      <w:r>
        <w:t xml:space="preserve">(</w:t>
      </w:r>
      <w:r>
        <w:t xml:space="preserve"> </w:t>
      </w:r>
      <w:r>
        <w:t xml:space="preserve">k A^2</w:t>
      </w:r>
      <w:r>
        <w:t xml:space="preserve"> </w:t>
      </w:r>
      <w:r>
        <w:t xml:space="preserve">) حيث (A) سعة المذبذب.</w:t>
      </w:r>
    </w:p>
    <w:p>
      <w:pPr>
        <w:pStyle w:val="BodyText"/>
      </w:pPr>
      <w:r>
        <w:t xml:space="preserve">باختيار هندسي للسعة (A = s_l/2):</w:t>
      </w:r>
    </w:p>
    <w:p>
      <w:pPr>
        <w:pStyle w:val="BodyText"/>
      </w:pPr>
      <m:oMathPara>
        <m:oMathParaPr>
          <m:jc m:val="center"/>
        </m:oMathParaPr>
        <m:oMath>
          <m:r>
            <m:t>k</m:t>
          </m:r>
          <m:r>
            <m:rPr>
              <m:sty m:val="p"/>
            </m:rPr>
            <m:t>≈</m:t>
          </m:r>
          <m:f>
            <m:fPr>
              <m:type m:val="bar"/>
            </m:fPr>
            <m:num>
              <m:r>
                <m:t>8</m:t>
              </m:r>
              <m:r>
                <m:rPr>
                  <m:sty m:val="p"/>
                </m:rPr>
                <m:t>ℏ</m:t>
              </m:r>
              <m:r>
                <m:t>ω</m:t>
              </m:r>
            </m:num>
            <m:den>
              <m:sSubSup>
                <m:e>
                  <m:r>
                    <m:t>s</m:t>
                  </m:r>
                </m:e>
                <m:sub>
                  <m:r>
                    <m:t>l</m:t>
                  </m:r>
                </m:sub>
                <m:sup>
                  <m:r>
                    <m:t>2</m:t>
                  </m:r>
                </m:sup>
              </m:sSubSup>
            </m:den>
          </m:f>
          <m:r>
            <m:rPr>
              <m:sty m:val="p"/>
            </m:rPr>
            <m:t>=</m:t>
          </m:r>
          <m:f>
            <m:fPr>
              <m:type m:val="bar"/>
            </m:fPr>
            <m:num>
              <m:r>
                <m:t>8</m:t>
              </m:r>
              <m:r>
                <m:rPr>
                  <m:sty m:val="p"/>
                </m:rPr>
                <m:t>ℏ</m:t>
              </m:r>
              <m:r>
                <m:t>π</m:t>
              </m:r>
              <m:r>
                <m:t>c</m:t>
              </m:r>
            </m:num>
            <m:den>
              <m:sSubSup>
                <m:e>
                  <m:r>
                    <m:t>s</m:t>
                  </m:r>
                </m:e>
                <m:sub>
                  <m:r>
                    <m:t>l</m:t>
                  </m:r>
                </m:sub>
                <m:sup>
                  <m:r>
                    <m:t>3</m:t>
                  </m:r>
                </m:sup>
              </m:sSubSup>
            </m:den>
          </m:f>
          <m:r>
            <m:rPr>
              <m:sty m:val="p"/>
            </m:rPr>
            <m:t>.</m:t>
          </m:r>
        </m:oMath>
      </m:oMathPara>
    </w:p>
    <w:p>
      <w:pPr>
        <w:pStyle w:val="FirstParagraph"/>
      </w:pPr>
      <w:r>
        <w:t xml:space="preserve">كصيغة أبسط متماشية مع الصياغة الأصلية (وحيث يُقاس (m) و(s_l) كخصائص الفتيلة):</w:t>
      </w:r>
    </w:p>
    <w:p>
      <w:pPr>
        <w:pStyle w:val="BodyText"/>
      </w:pPr>
      <m:oMathPara>
        <m:oMathParaPr>
          <m:jc m:val="center"/>
        </m:oMathParaPr>
        <m:oMath>
          <m:borderBox>
            <m:e>
              <m:r>
                <m:t> </m:t>
              </m:r>
              <m:r>
                <m:t>k</m:t>
              </m:r>
              <m:r>
                <m:rPr>
                  <m:sty m:val="p"/>
                </m:rPr>
                <m:t>=</m:t>
              </m:r>
              <m:f>
                <m:fPr>
                  <m:type m:val="bar"/>
                </m:fPr>
                <m:num>
                  <m:r>
                    <m:t>4</m:t>
                  </m:r>
                  <m:r>
                    <m:t>m</m:t>
                  </m:r>
                  <m:sSup>
                    <m:e>
                      <m:r>
                        <m:t>c</m:t>
                      </m:r>
                    </m:e>
                    <m:sup>
                      <m:r>
                        <m:t>2</m:t>
                      </m:r>
                    </m:sup>
                  </m:sSup>
                </m:num>
                <m:den>
                  <m:sSubSup>
                    <m:e>
                      <m:r>
                        <m:t>s</m:t>
                      </m:r>
                    </m:e>
                    <m:sub>
                      <m:r>
                        <m:t>l</m:t>
                      </m:r>
                    </m:sub>
                    <m:sup>
                      <m:r>
                        <m:t>2</m:t>
                      </m:r>
                    </m:sup>
                  </m:sSubSup>
                </m:den>
              </m:f>
              <m:r>
                <m:t> </m:t>
              </m:r>
            </m:e>
          </m:borderBox>
        </m:oMath>
      </m:oMathPara>
    </w:p>
    <w:p>
      <w:pPr>
        <w:pStyle w:val="FirstParagraph"/>
      </w:pPr>
      <w:r>
        <w:t xml:space="preserve">(تُستخدم هذه الصيغة عند معايرة (m) و(s_l) بمقادير بلانك.)</w:t>
      </w:r>
    </w:p>
    <w:p>
      <w:r>
        <w:pict>
          <v:rect style="width:0;height:1.5pt" o:hralign="center" o:hrstd="t" o:hr="t"/>
        </w:pict>
      </w:r>
    </w:p>
    <w:bookmarkEnd w:id="24"/>
    <w:bookmarkStart w:id="25" w:name="X7d80fbdb12fb4783c78e67ba6d5dd7842b93190"/>
    <w:p>
      <w:pPr>
        <w:pStyle w:val="Heading2"/>
      </w:pPr>
      <w:r>
        <w:t xml:space="preserve">4. نموذج المحوِّل المُخمَّد: المعادلة الحاكمة وصيغة الغرين</w:t>
      </w:r>
    </w:p>
    <w:p>
      <w:pPr>
        <w:pStyle w:val="FirstParagraph"/>
      </w:pPr>
      <w:r>
        <w:t xml:space="preserve">نستخدم متغيّر الشحنة (q(t)) في وصف دارة RLC مدفوعة بدفعٍ نبضي:</w:t>
      </w:r>
    </w:p>
    <w:p>
      <w:pPr>
        <w:pStyle w:val="BodyText"/>
      </w:pPr>
      <m:oMathPara>
        <m:oMathParaPr>
          <m:jc m:val="center"/>
        </m:oMathParaPr>
        <m:oMath>
          <m:r>
            <m:t>L</m:t>
          </m:r>
          <m:acc>
            <m:accPr>
              <m:chr m:val="̈"/>
            </m:accPr>
            <m:e>
              <m:r>
                <m:t>q</m:t>
              </m:r>
            </m:e>
          </m:acc>
          <m:r>
            <m:rPr>
              <m:sty m:val="p"/>
            </m:rPr>
            <m:t>+</m:t>
          </m:r>
          <m:r>
            <m:t>R</m:t>
          </m:r>
          <m:acc>
            <m:accPr>
              <m:chr m:val="̇"/>
            </m:accPr>
            <m:e>
              <m:r>
                <m:t>q</m:t>
              </m:r>
            </m:e>
          </m:acc>
          <m:r>
            <m:rPr>
              <m:sty m:val="p"/>
            </m:rPr>
            <m:t>+</m:t>
          </m:r>
          <m:f>
            <m:fPr>
              <m:type m:val="bar"/>
            </m:fPr>
            <m:num>
              <m:r>
                <m:t>1</m:t>
              </m:r>
            </m:num>
            <m:den>
              <m:r>
                <m:t>C</m:t>
              </m:r>
            </m:den>
          </m:f>
          <m:r>
            <m:t>q</m:t>
          </m:r>
          <m:r>
            <m:rPr>
              <m:sty m:val="p"/>
            </m:rPr>
            <m:t>=</m:t>
          </m:r>
          <m:r>
            <m:rPr>
              <m:sty m:val="p"/>
              <m:scr m:val="script"/>
            </m:rPr>
            <m:t>E</m:t>
          </m:r>
          <m:d>
            <m:dPr>
              <m:begChr m:val="("/>
              <m:sepChr m:val=""/>
              <m:endChr m:val=")"/>
              <m:grow/>
            </m:dPr>
            <m:e>
              <m:r>
                <m:t>t</m:t>
              </m:r>
            </m:e>
          </m:d>
          <m:r>
            <m:rPr>
              <m:sty m:val="p"/>
            </m:rPr>
            <m:t>,</m:t>
          </m:r>
          <m:r>
            <m:t>  </m:t>
          </m:r>
          <m:r>
            <m:rPr>
              <m:sty m:val="p"/>
              <m:scr m:val="script"/>
            </m:rPr>
            <m:t>E</m:t>
          </m:r>
          <m:d>
            <m:dPr>
              <m:begChr m:val="("/>
              <m:sepChr m:val=""/>
              <m:endChr m:val=")"/>
              <m:grow/>
            </m:dPr>
            <m:e>
              <m:r>
                <m:t>t</m:t>
              </m:r>
            </m:e>
          </m:d>
          <m:r>
            <m:rPr>
              <m:sty m:val="p"/>
            </m:rPr>
            <m:t>=</m:t>
          </m:r>
          <m:nary>
            <m:naryPr>
              <m:chr m:val="∑"/>
              <m:limLoc m:val="undOvr"/>
              <m:subHide m:val="off"/>
              <m:supHide m:val="off"/>
            </m:naryPr>
            <m:sub>
              <m:r>
                <m:t>n</m:t>
              </m:r>
              <m:r>
                <m:rPr>
                  <m:sty m:val="p"/>
                </m:rPr>
                <m:t>=</m:t>
              </m:r>
              <m:r>
                <m:t>0</m:t>
              </m:r>
            </m:sub>
            <m:sup>
              <m:r>
                <m:rPr>
                  <m:sty m:val="p"/>
                </m:rPr>
                <m:t>∞</m:t>
              </m:r>
            </m:sup>
            <m:e>
              <m:sSub>
                <m:e>
                  <m:r>
                    <m:rPr>
                      <m:sty m:val="p"/>
                      <m:scr m:val="script"/>
                    </m:rPr>
                    <m:t>E</m:t>
                  </m:r>
                </m:e>
                <m:sub>
                  <m:r>
                    <m:t>0</m:t>
                  </m:r>
                </m:sub>
              </m:sSub>
            </m:e>
          </m:nary>
          <m:r>
            <m:t> </m:t>
          </m:r>
          <m:r>
            <m:t>δ</m:t>
          </m:r>
          <m:d>
            <m:dPr>
              <m:begChr m:val="("/>
              <m:sepChr m:val=""/>
              <m:endChr m:val=")"/>
              <m:grow/>
            </m:dPr>
            <m:e>
              <m:r>
                <m:t>t</m:t>
              </m:r>
              <m:r>
                <m:rPr>
                  <m:sty m:val="p"/>
                </m:rPr>
                <m:t>−</m:t>
              </m:r>
              <m:r>
                <m:t>n</m:t>
              </m:r>
              <m:r>
                <m:t>T</m:t>
              </m:r>
            </m:e>
          </m:d>
          <m:r>
            <m:rPr>
              <m:sty m:val="p"/>
            </m:rPr>
            <m:t>.</m:t>
          </m:r>
        </m:oMath>
      </m:oMathPara>
    </w:p>
    <w:p>
      <w:pPr>
        <w:pStyle w:val="FirstParagraph"/>
      </w:pPr>
      <w:r>
        <w:t xml:space="preserve">مع</w:t>
      </w:r>
    </w:p>
    <w:p>
      <w:pPr>
        <w:pStyle w:val="BodyText"/>
      </w:pPr>
      <m:oMathPara>
        <m:oMathParaPr>
          <m:jc m:val="center"/>
        </m:oMathParaPr>
        <m:oMath>
          <m:sSub>
            <m:e>
              <m:r>
                <m:t>ω</m:t>
              </m:r>
            </m:e>
            <m:sub>
              <m:r>
                <m:t>0</m:t>
              </m:r>
            </m:sub>
          </m:sSub>
          <m:r>
            <m:rPr>
              <m:sty m:val="p"/>
            </m:rPr>
            <m:t>=</m:t>
          </m:r>
          <m:f>
            <m:fPr>
              <m:type m:val="bar"/>
            </m:fPr>
            <m:num>
              <m:r>
                <m:t>1</m:t>
              </m:r>
            </m:num>
            <m:den>
              <m:rad>
                <m:radPr>
                  <m:degHide m:val="on"/>
                </m:radPr>
                <m:deg/>
                <m:e>
                  <m:r>
                    <m:t>L</m:t>
                  </m:r>
                  <m:r>
                    <m:t>C</m:t>
                  </m:r>
                </m:e>
              </m:rad>
            </m:den>
          </m:f>
          <m:r>
            <m:rPr>
              <m:sty m:val="p"/>
            </m:rPr>
            <m:t>,</m:t>
          </m:r>
          <m:r>
            <m:t>  </m:t>
          </m:r>
          <m:r>
            <m:t>α</m:t>
          </m:r>
          <m:r>
            <m:rPr>
              <m:sty m:val="p"/>
            </m:rPr>
            <m:t>=</m:t>
          </m:r>
          <m:f>
            <m:fPr>
              <m:type m:val="bar"/>
            </m:fPr>
            <m:num>
              <m:r>
                <m:t>R</m:t>
              </m:r>
            </m:num>
            <m:den>
              <m:r>
                <m:t>2</m:t>
              </m:r>
              <m:r>
                <m:t>L</m:t>
              </m:r>
            </m:den>
          </m:f>
          <m:r>
            <m:rPr>
              <m:sty m:val="p"/>
            </m:rPr>
            <m:t>,</m:t>
          </m:r>
          <m:r>
            <m:t>  </m:t>
          </m:r>
          <m:sSub>
            <m:e>
              <m:r>
                <m:t>ω</m:t>
              </m:r>
            </m:e>
            <m:sub>
              <m:r>
                <m:t>d</m:t>
              </m:r>
            </m:sub>
          </m:sSub>
          <m:r>
            <m:rPr>
              <m:sty m:val="p"/>
            </m:rPr>
            <m:t>=</m:t>
          </m:r>
          <m:rad>
            <m:radPr>
              <m:degHide m:val="on"/>
            </m:radPr>
            <m:deg/>
            <m:e>
              <m:sSubSup>
                <m:e>
                  <m:r>
                    <m:t>ω</m:t>
                  </m:r>
                </m:e>
                <m:sub>
                  <m:r>
                    <m:t>0</m:t>
                  </m:r>
                </m:sub>
                <m:sup>
                  <m:r>
                    <m:t>2</m:t>
                  </m:r>
                </m:sup>
              </m:sSubSup>
              <m:r>
                <m:rPr>
                  <m:sty m:val="p"/>
                </m:rPr>
                <m:t>−</m:t>
              </m:r>
              <m:sSup>
                <m:e>
                  <m:r>
                    <m:t>α</m:t>
                  </m:r>
                </m:e>
                <m:sup>
                  <m:r>
                    <m:t>2</m:t>
                  </m:r>
                </m:sup>
              </m:sSup>
            </m:e>
          </m:rad>
          <m:r>
            <m:rPr>
              <m:sty m:val="p"/>
            </m:rPr>
            <m:t>.</m:t>
          </m:r>
        </m:oMath>
      </m:oMathPara>
    </w:p>
    <w:p>
      <w:pPr>
        <w:pStyle w:val="FirstParagraph"/>
      </w:pPr>
      <w:r>
        <w:t xml:space="preserve">استجابة نبضة واحدة للشحنة (الحالة تحت-المخمَّدة (</w:t>
      </w:r>
      <w:r>
        <w:t xml:space="preserve">&lt;</w:t>
      </w:r>
      <w:r>
        <w:t xml:space="preserve">_0)):</w:t>
      </w:r>
    </w:p>
    <w:p>
      <w:pPr>
        <w:pStyle w:val="BodyText"/>
      </w:pPr>
      <m:oMathPara>
        <m:oMathParaPr>
          <m:jc m:val="center"/>
        </m:oMathParaPr>
        <m:oMath>
          <m:sSub>
            <m:e>
              <m:r>
                <m:t>G</m:t>
              </m:r>
            </m:e>
            <m:sub>
              <m:r>
                <m:t>q</m:t>
              </m:r>
            </m:sub>
          </m:sSub>
          <m:d>
            <m:dPr>
              <m:begChr m:val="("/>
              <m:sepChr m:val=""/>
              <m:endChr m:val=")"/>
              <m:grow/>
            </m:dPr>
            <m:e>
              <m:r>
                <m:t>t</m:t>
              </m:r>
            </m:e>
          </m:d>
          <m:r>
            <m:rPr>
              <m:sty m:val="p"/>
            </m:rPr>
            <m:t>=</m:t>
          </m:r>
          <m:f>
            <m:fPr>
              <m:type m:val="bar"/>
            </m:fPr>
            <m:num>
              <m:sSub>
                <m:e>
                  <m:r>
                    <m:rPr>
                      <m:sty m:val="p"/>
                      <m:scr m:val="script"/>
                    </m:rPr>
                    <m:t>E</m:t>
                  </m:r>
                </m:e>
                <m:sub>
                  <m:r>
                    <m:t>0</m:t>
                  </m:r>
                </m:sub>
              </m:sSub>
            </m:num>
            <m:den>
              <m:r>
                <m:t>L</m:t>
              </m:r>
              <m:sSub>
                <m:e>
                  <m:r>
                    <m:t>ω</m:t>
                  </m:r>
                </m:e>
                <m:sub>
                  <m:r>
                    <m:t>d</m:t>
                  </m:r>
                </m:sub>
              </m:sSub>
            </m:den>
          </m:f>
          <m:r>
            <m:t> </m:t>
          </m:r>
          <m:sSup>
            <m:e>
              <m:r>
                <m:t>e</m:t>
              </m:r>
            </m:e>
            <m:sup>
              <m:r>
                <m:rPr>
                  <m:sty m:val="p"/>
                </m:rPr>
                <m:t>−</m:t>
              </m:r>
              <m:r>
                <m:t>α</m:t>
              </m:r>
              <m:r>
                <m:t>t</m:t>
              </m:r>
            </m:sup>
          </m:sSup>
          <m:r>
            <m:rPr>
              <m:sty m:val="p"/>
            </m:rPr>
            <m:t>sin</m:t>
          </m:r>
          <m:d>
            <m:dPr>
              <m:begChr m:val="("/>
              <m:sepChr m:val=""/>
              <m:endChr m:val=")"/>
              <m:grow/>
            </m:dPr>
            <m:e>
              <m:sSub>
                <m:e>
                  <m:r>
                    <m:t>ω</m:t>
                  </m:r>
                </m:e>
                <m:sub>
                  <m:r>
                    <m:t>d</m:t>
                  </m:r>
                </m:sub>
              </m:sSub>
              <m:r>
                <m:t>t</m:t>
              </m:r>
            </m:e>
          </m:d>
          <m:r>
            <m:t> </m:t>
          </m:r>
          <m:d>
            <m:dPr>
              <m:begChr m:val="("/>
              <m:sepChr m:val=""/>
              <m:endChr m:val=")"/>
              <m:grow/>
            </m:dPr>
            <m:e>
              <m:r>
                <m:t>t</m:t>
              </m:r>
              <m:r>
                <m:rPr>
                  <m:sty m:val="p"/>
                </m:rPr>
                <m:t>&gt;</m:t>
              </m:r>
              <m:r>
                <m:t>0</m:t>
              </m:r>
            </m:e>
          </m:d>
          <m:r>
            <m:rPr>
              <m:sty m:val="p"/>
            </m:rPr>
            <m:t>.</m:t>
          </m:r>
        </m:oMath>
      </m:oMathPara>
    </w:p>
    <w:p>
      <w:pPr>
        <w:pStyle w:val="FirstParagraph"/>
      </w:pPr>
      <w:r>
        <w:t xml:space="preserve">والتيار الناتج هو (I(t)=</w:t>
      </w:r>
      <w:r>
        <w:t xml:space="preserve">q(t)) وبإمكاننا أخذ مشتقة (G_q) للحصول على (I_{</w:t>
      </w:r>
      <w:r>
        <w:t xml:space="preserve">}(t)).</w:t>
      </w:r>
    </w:p>
    <w:p>
      <w:r>
        <w:pict>
          <v:rect style="width:0;height:1.5pt" o:hralign="center" o:hrstd="t" o:hr="t"/>
        </w:pict>
      </w:r>
    </w:p>
    <w:bookmarkEnd w:id="25"/>
    <w:bookmarkStart w:id="26" w:name="من-المجموع-إلى-التكامل-معامل-الاستمرارية"/>
    <w:p>
      <w:pPr>
        <w:pStyle w:val="Heading2"/>
      </w:pPr>
      <w:r>
        <w:t xml:space="preserve">5. من المجموع إلى التكامل: معامل الاستمرارية (</w:t>
      </w:r>
      <w:r>
        <w:t xml:space="preserve">)</w:t>
      </w:r>
    </w:p>
    <w:p>
      <w:pPr>
        <w:pStyle w:val="FirstParagraph"/>
      </w:pPr>
      <w:r>
        <w:t xml:space="preserve">زمن الاضمحلال الفعال:</w:t>
      </w:r>
    </w:p>
    <w:p>
      <w:pPr>
        <w:pStyle w:val="BodyText"/>
      </w:pPr>
      <m:oMathPara>
        <m:oMathParaPr>
          <m:jc m:val="center"/>
        </m:oMathParaPr>
        <m:oMath>
          <m:r>
            <m:t>τ</m:t>
          </m:r>
          <m:r>
            <m:rPr>
              <m:sty m:val="p"/>
            </m:rPr>
            <m:t>=</m:t>
          </m:r>
          <m:f>
            <m:fPr>
              <m:type m:val="bar"/>
            </m:fPr>
            <m:num>
              <m:r>
                <m:t>1</m:t>
              </m:r>
            </m:num>
            <m:den>
              <m:r>
                <m:t>α</m:t>
              </m:r>
            </m:den>
          </m:f>
          <m:r>
            <m:rPr>
              <m:sty m:val="p"/>
            </m:rPr>
            <m:t>=</m:t>
          </m:r>
          <m:f>
            <m:fPr>
              <m:type m:val="bar"/>
            </m:fPr>
            <m:num>
              <m:r>
                <m:t>2</m:t>
              </m:r>
              <m:r>
                <m:t>L</m:t>
              </m:r>
            </m:num>
            <m:den>
              <m:r>
                <m:t>R</m:t>
              </m:r>
            </m:den>
          </m:f>
          <m:r>
            <m:rPr>
              <m:sty m:val="p"/>
            </m:rPr>
            <m:t>.</m:t>
          </m:r>
        </m:oMath>
      </m:oMathPara>
    </w:p>
    <w:p>
      <w:pPr>
        <w:pStyle w:val="FirstParagraph"/>
      </w:pPr>
      <w:r>
        <w:t xml:space="preserve">زمن تكرار النبضات (T=1/f). نعرّف المعامل اللا بعدي:</w:t>
      </w:r>
    </w:p>
    <w:p>
      <w:pPr>
        <w:pStyle w:val="BodyText"/>
      </w:pPr>
      <m:oMathPara>
        <m:oMathParaPr>
          <m:jc m:val="center"/>
        </m:oMathParaPr>
        <m:oMath>
          <m:borderBox>
            <m:e>
              <m:r>
                <m:t> </m:t>
              </m:r>
              <m:r>
                <m:t>κ</m:t>
              </m:r>
              <m:r>
                <m:rPr>
                  <m:sty m:val="p"/>
                </m:rPr>
                <m:t>=</m:t>
              </m:r>
              <m:f>
                <m:fPr>
                  <m:type m:val="bar"/>
                </m:fPr>
                <m:num>
                  <m:r>
                    <m:t>τ</m:t>
                  </m:r>
                </m:num>
                <m:den>
                  <m:r>
                    <m:t>T</m:t>
                  </m:r>
                </m:den>
              </m:f>
              <m:r>
                <m:rPr>
                  <m:sty m:val="p"/>
                </m:rPr>
                <m:t>=</m:t>
              </m:r>
              <m:f>
                <m:fPr>
                  <m:type m:val="bar"/>
                </m:fPr>
                <m:num>
                  <m:r>
                    <m:t>2</m:t>
                  </m:r>
                  <m:r>
                    <m:t>L</m:t>
                  </m:r>
                  <m:r>
                    <m:t>f</m:t>
                  </m:r>
                </m:num>
                <m:den>
                  <m:r>
                    <m:t>R</m:t>
                  </m:r>
                </m:den>
              </m:f>
              <m:r>
                <m:t> </m:t>
              </m:r>
            </m:e>
          </m:borderBox>
          <m:r>
            <m:rPr>
              <m:sty m:val="p"/>
            </m:rPr>
            <m:t>.</m:t>
          </m:r>
        </m:oMath>
      </m:oMathPara>
    </w:p>
    <w:p>
      <w:pPr>
        <w:pStyle w:val="Compact"/>
        <w:numPr>
          <w:ilvl w:val="0"/>
          <w:numId w:val="1001"/>
        </w:numPr>
      </w:pPr>
      <w:r>
        <w:t xml:space="preserve">(</w:t>
      </w:r>
      <w:r>
        <w:t xml:space="preserve">): النظام ينسى الضربة السابقة ⇒ سلوك متقطّع (كمومي).</w:t>
      </w:r>
      <w:r>
        <w:br/>
      </w:r>
    </w:p>
    <w:p>
      <w:pPr>
        <w:pStyle w:val="Compact"/>
        <w:numPr>
          <w:ilvl w:val="0"/>
          <w:numId w:val="1001"/>
        </w:numPr>
      </w:pPr>
      <w:r>
        <w:t xml:space="preserve">(</w:t>
      </w:r>
      <w:r>
        <w:t xml:space="preserve">): تراكم الاستجابات ⇒ سلوك مستمر (كلاسيكي).</w:t>
      </w:r>
    </w:p>
    <w:p>
      <w:pPr>
        <w:pStyle w:val="FirstParagraph"/>
      </w:pPr>
      <w:r>
        <w:t xml:space="preserve">عتبة الانتقال حول (</w:t>
      </w:r>
      <w:r>
        <w:t xml:space="preserve">1).</w:t>
      </w:r>
    </w:p>
    <w:p>
      <w:r>
        <w:pict>
          <v:rect style="width:0;height:1.5pt" o:hralign="center" o:hrstd="t" o:hr="t"/>
        </w:pict>
      </w:r>
    </w:p>
    <w:bookmarkEnd w:id="26"/>
    <w:bookmarkStart w:id="27" w:name="X3ca67106666a07a6359e564bc9b438029fae2e4"/>
    <w:p>
      <w:pPr>
        <w:pStyle w:val="Heading2"/>
      </w:pPr>
      <w:r>
        <w:t xml:space="preserve">6. الربط مع ثوابت بلانك (معايرة في مقياس بلانك)</w:t>
      </w:r>
    </w:p>
    <w:p>
      <w:pPr>
        <w:pStyle w:val="FirstParagraph"/>
      </w:pPr>
      <w:r>
        <w:t xml:space="preserve">وحدات بلانك الأساسية:</w:t>
      </w:r>
    </w:p>
    <w:p>
      <w:pPr>
        <w:pStyle w:val="BodyText"/>
      </w:pPr>
      <m:oMathPara>
        <m:oMathParaPr>
          <m:jc m:val="center"/>
        </m:oMathParaPr>
        <m:oMath>
          <m:sSub>
            <m:e>
              <m:r>
                <m:t>m</m:t>
              </m:r>
            </m:e>
            <m:sub>
              <m:r>
                <m:t>P</m:t>
              </m:r>
            </m:sub>
          </m:sSub>
          <m:r>
            <m:rPr>
              <m:sty m:val="p"/>
            </m:rPr>
            <m:t>=</m:t>
          </m:r>
          <m:rad>
            <m:radPr>
              <m:degHide m:val="on"/>
            </m:radPr>
            <m:deg/>
            <m:e>
              <m:f>
                <m:fPr>
                  <m:type m:val="bar"/>
                </m:fPr>
                <m:num>
                  <m:r>
                    <m:rPr>
                      <m:sty m:val="p"/>
                    </m:rPr>
                    <m:t>ℏ</m:t>
                  </m:r>
                  <m:r>
                    <m:t>c</m:t>
                  </m:r>
                </m:num>
                <m:den>
                  <m:r>
                    <m:t>G</m:t>
                  </m:r>
                </m:den>
              </m:f>
            </m:e>
          </m:rad>
          <m:r>
            <m:rPr>
              <m:sty m:val="p"/>
            </m:rPr>
            <m:t>,</m:t>
          </m:r>
          <m:r>
            <m:t>  </m:t>
          </m:r>
          <m:sSub>
            <m:e>
              <m:r>
                <m:t>l</m:t>
              </m:r>
            </m:e>
            <m:sub>
              <m:r>
                <m:t>P</m:t>
              </m:r>
            </m:sub>
          </m:sSub>
          <m:r>
            <m:rPr>
              <m:sty m:val="p"/>
            </m:rPr>
            <m:t>=</m:t>
          </m:r>
          <m:rad>
            <m:radPr>
              <m:degHide m:val="on"/>
            </m:radPr>
            <m:deg/>
            <m:e>
              <m:f>
                <m:fPr>
                  <m:type m:val="bar"/>
                </m:fPr>
                <m:num>
                  <m:r>
                    <m:rPr>
                      <m:sty m:val="p"/>
                    </m:rPr>
                    <m:t>ℏ</m:t>
                  </m:r>
                  <m:r>
                    <m:t>G</m:t>
                  </m:r>
                </m:num>
                <m:den>
                  <m:sSup>
                    <m:e>
                      <m:r>
                        <m:t>c</m:t>
                      </m:r>
                    </m:e>
                    <m:sup>
                      <m:r>
                        <m:t>3</m:t>
                      </m:r>
                    </m:sup>
                  </m:sSup>
                </m:den>
              </m:f>
            </m:e>
          </m:rad>
          <m:r>
            <m:rPr>
              <m:sty m:val="p"/>
            </m:rPr>
            <m:t>.</m:t>
          </m:r>
        </m:oMath>
      </m:oMathPara>
    </w:p>
    <w:p>
      <w:pPr>
        <w:pStyle w:val="FirstParagraph"/>
      </w:pPr>
      <w:r>
        <w:t xml:space="preserve">باستبدال (m=m_P) و(s_l=l_P) في (k=4 m c^2 / s_l^2) نحصل على</w:t>
      </w:r>
      <w:r>
        <w:t xml:space="preserve"> </w:t>
      </w:r>
      <w:r>
        <w:t xml:space="preserve">“صلابة الزمكان”</w:t>
      </w:r>
      <w:r>
        <w:t xml:space="preserve"> </w:t>
      </w:r>
      <w:r>
        <w:t xml:space="preserve">عند مقياس بلانك. القيم العددية التفصيلية والجدولية موجودة في حسابات منفصلة أدناه.</w:t>
      </w:r>
    </w:p>
    <w:p>
      <w:r>
        <w:pict>
          <v:rect style="width:0;height:1.5pt" o:hralign="center" o:hrstd="t" o:hr="t"/>
        </w:pict>
      </w:r>
    </w:p>
    <w:bookmarkEnd w:id="27"/>
    <w:bookmarkStart w:id="28" w:name="مقترح-تجربة-طاولة-analog-experiment"/>
    <w:p>
      <w:pPr>
        <w:pStyle w:val="Heading2"/>
      </w:pPr>
      <w:r>
        <w:t xml:space="preserve">7. مقترح تجربة طاولة (analog experiment)</w:t>
      </w:r>
    </w:p>
    <w:p>
      <w:pPr>
        <w:pStyle w:val="Compact"/>
        <w:numPr>
          <w:ilvl w:val="0"/>
          <w:numId w:val="1002"/>
        </w:numPr>
      </w:pPr>
      <w:r>
        <w:rPr>
          <w:b/>
          <w:bCs/>
        </w:rPr>
        <w:t xml:space="preserve">المكونات المقترحة</w:t>
      </w:r>
      <w:r>
        <w:t xml:space="preserve">: مذبذب ميكانيكي (كتلة على نابض)، عنصر بيزوكهربائي يحوّل حركة المذبذب إلى نبضة كهربائية، دائرة RLC قابلة لتعديل (R) و(L) و(C).</w:t>
      </w:r>
      <w:r>
        <w:br/>
      </w:r>
    </w:p>
    <w:p>
      <w:pPr>
        <w:pStyle w:val="Compact"/>
        <w:numPr>
          <w:ilvl w:val="0"/>
          <w:numId w:val="1002"/>
        </w:numPr>
      </w:pPr>
      <w:r>
        <w:rPr>
          <w:b/>
          <w:bCs/>
        </w:rPr>
        <w:t xml:space="preserve">المنهج</w:t>
      </w:r>
      <w:r>
        <w:t xml:space="preserve">: توليد قطار نبضات بتردد (f). ضبط (R) (أو إضافة عنصر بيئي) لزيادة زمن الاضمحلال (</w:t>
      </w:r>
      <w:r>
        <w:t xml:space="preserve">) حتى تنتقل القيمة (</w:t>
      </w:r>
      <w:r>
        <w:t xml:space="preserve">) من (&lt;1) إلى (&gt;1).</w:t>
      </w:r>
      <w:r>
        <w:br/>
      </w:r>
    </w:p>
    <w:p>
      <w:pPr>
        <w:pStyle w:val="Compact"/>
        <w:numPr>
          <w:ilvl w:val="0"/>
          <w:numId w:val="1002"/>
        </w:numPr>
      </w:pPr>
      <w:r>
        <w:rPr>
          <w:b/>
          <w:bCs/>
        </w:rPr>
        <w:t xml:space="preserve">القياس</w:t>
      </w:r>
      <w:r>
        <w:t xml:space="preserve">: رصد الشكل الزمني لتيار الخرج/جهد الخرج. قياس الطيف الترددي عبر FFT لرصد الانتقال من خطوط طيفية منفصلة إلى نطاق ترددي ضيق/مستمر.</w:t>
      </w:r>
      <w:r>
        <w:br/>
      </w:r>
    </w:p>
    <w:p>
      <w:pPr>
        <w:pStyle w:val="Compact"/>
        <w:numPr>
          <w:ilvl w:val="0"/>
          <w:numId w:val="1002"/>
        </w:numPr>
      </w:pPr>
      <w:r>
        <w:rPr>
          <w:b/>
          <w:bCs/>
        </w:rPr>
        <w:t xml:space="preserve">النتيجة المتوقعة</w:t>
      </w:r>
      <w:r>
        <w:t xml:space="preserve">: عند (</w:t>
      </w:r>
      <w:r>
        <w:t xml:space="preserve">) تُرى نبضات منفصلة؛ عند (</w:t>
      </w:r>
      <w:r>
        <w:t xml:space="preserve">) يُشاهَد تيار شبه-ثابت. هذا يدعم الآلية الفيزيائية للتنعيم دون المطالبة بالوصول إلى مقياس بلانك.</w:t>
      </w:r>
    </w:p>
    <w:p>
      <w:r>
        <w:pict>
          <v:rect style="width:0;height:1.5pt" o:hralign="center" o:hrstd="t" o:hr="t"/>
        </w:pict>
      </w:r>
    </w:p>
    <w:bookmarkEnd w:id="28"/>
    <w:bookmarkStart w:id="29" w:name="خاتمة"/>
    <w:p>
      <w:pPr>
        <w:pStyle w:val="Heading2"/>
      </w:pPr>
      <w:r>
        <w:t xml:space="preserve">8. خاتمة</w:t>
      </w:r>
    </w:p>
    <w:p>
      <w:pPr>
        <w:pStyle w:val="FirstParagraph"/>
      </w:pPr>
      <w:r>
        <w:t xml:space="preserve">تصويب المعادلات ووضع إطارٍ كمومي صريح يجعل</w:t>
      </w:r>
      <w:r>
        <w:t xml:space="preserve"> </w:t>
      </w:r>
      <w:r>
        <w:t xml:space="preserve">“نظرية الفتائل”</w:t>
      </w:r>
      <w:r>
        <w:t xml:space="preserve"> </w:t>
      </w:r>
      <w:r>
        <w:t xml:space="preserve">قابلة للنقاش العلمي التجريبي والعددي. المفتاح هو صياغة ربطٍ صحيح بين خصائص المود الكمومي، الطيف الزمني للنبضات، ودالة الاستجابة للوسط (المحوّل المُخمّد). المعادلات أعلاه تُمكّن بناء محاكاة عددية وتصميم تجريبي لاختبار الفكرة على أرض المعمل.</w:t>
      </w:r>
    </w:p>
    <w:p>
      <w:r>
        <w:pict>
          <v:rect style="width:0;height:1.5pt" o:hralign="center" o:hrstd="t" o:hr="t"/>
        </w:pict>
      </w:r>
    </w:p>
    <w:p>
      <w:pPr>
        <w:pStyle w:val="FirstParagraph"/>
      </w:pPr>
      <w:r>
        <w:rPr>
          <w:i/>
          <w:iCs/>
        </w:rPr>
        <w:t xml:space="preserve">انتهت الوثيقة الأساسية. في المستند التالي: اشتقاقات رياضية مفصّلة (خطوة بخطوة) + حسابات عددية دقيقة + مخطط تجربة عملي ومرجعية للقياسات.</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2025-08-15T16:46:54Z</dcterms:created>
  <dcterms:modified xsi:type="dcterms:W3CDTF">2025-08-15T16:46:54Z</dcterms:modified>
</cp:coreProperties>
</file>

<file path=docProps/custom.xml><?xml version="1.0" encoding="utf-8"?>
<Properties xmlns="http://schemas.openxmlformats.org/officeDocument/2006/custom-properties" xmlns:vt="http://schemas.openxmlformats.org/officeDocument/2006/docPropsVTypes"/>
</file>