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pertitle"/>
        <w:spacing w:beforeAutospacing="1" w:afterAutospacing="1"/>
        <w:rPr>
          <w:kern w:val="2"/>
        </w:rPr>
      </w:pPr>
      <w:r>
        <w:rPr>
          <w:kern w:val="2"/>
        </w:rPr>
        <w:t>Fine Tuning do Chat GPT para jogar Xadrez</w:t>
      </w:r>
    </w:p>
    <w:p>
      <w:pPr>
        <w:sectPr>
          <w:footerReference w:type="first" r:id="rId2"/>
          <w:type w:val="nextPage"/>
          <w:pgSz w:w="11906" w:h="16838"/>
          <w:pgMar w:left="893" w:right="893" w:gutter="0" w:header="0" w:top="540" w:footer="720" w:bottom="1440"/>
          <w:pgNumType w:fmt="decimal"/>
          <w:formProt w:val="false"/>
          <w:titlePg/>
          <w:textDirection w:val="lrTb"/>
          <w:docGrid w:type="default" w:linePitch="360" w:charSpace="8192"/>
        </w:sectPr>
      </w:pPr>
    </w:p>
    <w:p>
      <w:pPr>
        <w:pStyle w:val="Author"/>
        <w:spacing w:beforeAutospacing="1" w:after="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br w:type="column"/>
      </w:r>
      <w:r>
        <w:rPr>
          <w:sz w:val="18"/>
          <w:szCs w:val="18"/>
        </w:rPr>
        <w:t>Sérgio Mucciaccia</w:t>
        <w:br/>
      </w:r>
      <w:r>
        <w:rPr>
          <w:i/>
          <w:sz w:val="18"/>
          <w:szCs w:val="18"/>
        </w:rPr>
        <w:t>Departamento de Informática</w:t>
      </w:r>
      <w:r>
        <w:rPr>
          <w:sz w:val="18"/>
          <w:szCs w:val="18"/>
        </w:rPr>
        <w:br/>
        <w:t>Universidade Federal do Espírito Santo</w:t>
      </w:r>
      <w:r>
        <w:rPr>
          <w:i/>
          <w:sz w:val="18"/>
          <w:szCs w:val="18"/>
        </w:rPr>
        <w:br/>
        <w:t>Vitória, Brasil</w:t>
      </w:r>
      <w:r>
        <w:rPr>
          <w:sz w:val="18"/>
          <w:szCs w:val="18"/>
        </w:rPr>
        <w:br/>
        <w:t>smucciaccia@gmail.com</w:t>
      </w:r>
    </w:p>
    <w:p>
      <w:pPr>
        <w:pStyle w:val="Normal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</w:r>
    </w:p>
    <w:p>
      <w:pPr>
        <w:sectPr>
          <w:type w:val="continuous"/>
          <w:pgSz w:w="11906" w:h="16838"/>
          <w:pgMar w:left="893" w:right="893" w:gutter="0" w:header="0" w:top="540" w:footer="720" w:bottom="1440"/>
          <w:cols w:num="3" w:space="72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893" w:right="893" w:gutter="0" w:header="0" w:top="540" w:footer="720" w:bottom="1440"/>
          <w:cols w:num="3" w:space="72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Abstract"/>
        <w:rPr>
          <w:i/>
          <w:i/>
          <w:iCs/>
        </w:rPr>
      </w:pPr>
      <w:r>
        <w:rPr>
          <w:i/>
          <w:iCs/>
        </w:rPr>
        <w:t>Resumo</w:t>
      </w:r>
      <w:r>
        <w:rPr/>
        <w:t>—Este artigo apresenta um programa que integra uma interface gráfica com um motor de xadrez. A implementação inclui todas as regras tradicionais, além de utilizar o algoritmo Minimax para antecipar jogadas futuras. Destaca-se a implementação de três abordagens distintas de oponentes: uma rede neural do tipo Multilayer Perceptron (MLP), uma rede Convolucional Neural Network (CNN) e a utilização do ChatGPT convertendo os movimentos em chat. Cada abordagem é analisada em termos de eficácia e estilo de jogo, proporcionando insights sobre a aplicação de diferentes técnicas de inteligência artificial no contexto do xadrez.</w:t>
      </w:r>
    </w:p>
    <w:p>
      <w:pPr>
        <w:pStyle w:val="Keywords"/>
        <w:rPr/>
      </w:pPr>
      <w:r>
        <w:rPr/>
        <w:t>Palavras-chave—xadrez, redes neurais, GPT</w:t>
      </w:r>
    </w:p>
    <w:p>
      <w:pPr>
        <w:pStyle w:val="Heading1"/>
        <w:ind w:hanging="0"/>
        <w:rPr/>
      </w:pPr>
      <w:r>
        <w:rPr/>
        <w:t xml:space="preserve">Introduction </w:t>
      </w:r>
    </w:p>
    <w:p>
      <w:pPr>
        <w:pStyle w:val="TextBody"/>
        <w:rPr/>
      </w:pPr>
      <w:r>
        <w:rPr/>
        <w:t>O xadrez, amplamente reconhecido como um dos jogos de tabuleiro mais populares e desafiadores intelectualmente, possui uma presença quase onipresente na cultura global. A combinação da universalidade do xadrez com sua estrutura complexa e refinada o torna um campo ideal para inovações e experimentações no âmbito da Inteligência Artificial (IA).  Neste contexto, o desenvolvimento de programas de xadrez, capazes de capturar as sutilezas do jogo e trazer novas abordagens para estratégia e tomada de decisão, não apenas marca um progresso tecnológico significativo, mas também ilustra a fusão entre a herança ancestral do xadrez e a inovação contemporânea em computação e IA.</w:t>
      </w:r>
    </w:p>
    <w:p>
      <w:pPr>
        <w:pStyle w:val="TextBody"/>
        <w:rPr/>
      </w:pPr>
      <w:r>
        <w:rPr/>
        <w:t>Um ponto de virada foi o emblemático confronto de 1997, quando o programa Deep Blue da IBM superou o campeão mundial Garry Kasparov, demonstrando o imenso potencial da IA em resolver tarefas cognitivas complexas e impulsionando uma nova onda de pesquisa e desenvolvimento na área. No século XXI, a evolução da IA no xadrez tomou um novo rumo com o advento das redes neurais e do aprendizado profundo. Programas inovadores como o AlphaZero da DeepMind revolucionaram o campo, aprendendo a jogar xadrez em um nível super-humano a partir do zero, sem se basear em jogos humanos. Estes avanços notáveis não apenas redefiniram as fronteiras do que a IA pode alcançar em contextos complexos, mas também abriram caminho para novas metodologias de aprendizado e estratégias de jogo, alguma das quais ser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ão</w:t>
      </w:r>
      <w:r>
        <w:rPr/>
        <w:t xml:space="preserve"> exploradas e discutidas neste artigo que propõe explorar t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écnicas utilizando redes neurais na jogabilidade do xadrez.</w:t>
      </w:r>
    </w:p>
    <w:p>
      <w:pPr>
        <w:pStyle w:val="Heading1"/>
        <w:ind w:hanging="0"/>
        <w:rPr/>
      </w:pPr>
      <w:r>
        <w:rPr/>
        <w:t>Metogolodia</w:t>
      </w:r>
    </w:p>
    <w:p>
      <w:pPr>
        <w:pStyle w:val="Heading2"/>
        <w:rPr/>
      </w:pPr>
      <w:r>
        <w:rPr/>
        <w:t>Inteface gr</w:t>
      </w:r>
      <w:r>
        <w:rPr>
          <w:rFonts w:eastAsia="SimSun" w:cs="Times New Roman"/>
          <w:i/>
          <w:iCs/>
          <w:color w:val="auto"/>
          <w:kern w:val="0"/>
          <w:sz w:val="20"/>
          <w:szCs w:val="20"/>
          <w:lang w:val="en-US" w:eastAsia="en-US" w:bidi="ar-SA"/>
        </w:rPr>
        <w:t>áfica do aplicativo</w:t>
      </w:r>
    </w:p>
    <w:p>
      <w:pPr>
        <w:pStyle w:val="TextBody"/>
        <w:rPr/>
      </w:pPr>
      <w:r>
        <w:rPr/>
        <w:t>No desenvolvimento deste trabalho, foi criada uma interface gráfica para o jogo de xadrez, onde um elemento distintivo é o design das peças pretas, gerado com a ajuda do ChatGPT. Esta abordagem utilizou a capacidade de processamento de linguagem natural do ChatGPT para gerar descrições detalhadas e criativas das peças de xadrez, as quais foram posteriormente transformadas em designs visuais concretos que s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ão apresentados na figura 1</w:t>
      </w:r>
      <w:r>
        <w:rPr/>
        <w:t>. A interface resultante não só proporciona uma experiência de jogo visualmente estimulante, mas também demonstra a aplicabilidade prática de tecnologias de inteligência artificial na criação de elementos gráficos.</w:t>
      </w:r>
    </w:p>
    <w:p>
      <w:pPr>
        <w:pStyle w:val="Figurecaption"/>
        <w:numPr>
          <w:ilvl w:val="0"/>
          <w:numId w:val="3"/>
        </w:numPr>
        <w:ind w:star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26670</wp:posOffset>
            </wp:positionV>
            <wp:extent cx="3098800" cy="20656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Design das peças pretas feitas pelo chat GPT 5</w:t>
      </w:r>
    </w:p>
    <w:p>
      <w:pPr>
        <w:pStyle w:val="Heading2"/>
        <w:rPr/>
      </w:pPr>
      <w:r>
        <w:rPr/>
        <w:t>Motor de xadrez</w:t>
      </w:r>
    </w:p>
    <w:p>
      <w:pPr>
        <w:pStyle w:val="TextBody"/>
        <w:rPr/>
      </w:pPr>
      <w:r>
        <w:rPr/>
        <w:t xml:space="preserve">Neste projeto, desenvolveu-se um motor de xadrez, capaz de lidar com todos os aspectos do jogo. A implementação cobre o movimento padrão de cada peça de xadrez, garantindo uma simulação fiel das regras tradicionais do jogo. Além disso, foram incorporadas funcionalidades para todos os movimentos especiais, tais como o roque, o en passant e a promoção de peões, elementos cruciais do jogo. Dada uma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posição de xadrez o motor consegue dizer todos os movimentos válidos que podem ser feitos no turno atual.</w:t>
      </w:r>
    </w:p>
    <w:p>
      <w:pPr>
        <w:pStyle w:val="TextBody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Um algoritmo Minimax foi incorcorado no motor, que analisa os movimentos futuros possíveis no jogo. Este algoritmo é complementado por uma função de avaliação, projetada para analisar uma dada posição no xadrez e determinar qual jogador está em vantagem, auxiliando assim na decisão da próxima jogada. O algoritmo é capaz de percorrer a árvore de decisões até uma profundidade pré-definida, e ao alcançar esse limite, emprega a função de avaliação em todas as folhas da árvore, com o objetivo de identificar o movimento mais vantajoso.</w:t>
      </w:r>
    </w:p>
    <w:p>
      <w:pPr>
        <w:pStyle w:val="TextBody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74151"/>
          <w:spacing w:val="0"/>
          <w:sz w:val="24"/>
        </w:rPr>
      </w:pP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Para a função de avaliação, foram exploradas três abordagens distintas: a utilização de um sistema simples de pontuação, a implementação de uma rede neural do tipo MLP (Multilayer Perceptron), e uma CNN (Convolutional Neural Network). A utilização da API do ChatGPT foi descartada devido ao elevado volume de chamadas que o Minimax requer.</w:t>
      </w:r>
    </w:p>
    <w:p>
      <w:pPr>
        <w:pStyle w:val="Heading2"/>
        <w:rPr/>
      </w:pPr>
      <w:r>
        <w:rPr/>
        <w:t>Rede Neural Perceptron Multicamadas (MLP)</w:t>
      </w:r>
    </w:p>
    <w:p>
      <w:pPr>
        <w:pStyle w:val="TextBody"/>
        <w:ind w:hanging="0"/>
        <w:rPr/>
      </w:pPr>
      <w:r>
        <w:rPr/>
        <w:tab/>
        <w:t>Uma rede MLP foi implementada utilizando a biblioteca PyTorch. Ela consiste em camadas lineares intercaladas com a funç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ão de ativação ReLU. </w:t>
      </w:r>
      <w:r>
        <w:rPr/>
        <w:t xml:space="preserve">A camada de entrada foi configurada para receber dados do tabuleiro de xadrez codificados em um formato unidimensional com um tamanho de 768 valores. A primeira camada oculta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é</w:t>
      </w:r>
      <w:r>
        <w:rPr/>
        <w:t xml:space="preserve"> composta por 1024 neurônios e a cada camada a quatidade de ner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ônios é dividida pela metade, totalizando 10 camadas ocultas</w:t>
      </w:r>
      <w:r>
        <w:rPr/>
        <w:t>. A camada de saída possui apenas um neur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ônio,</w:t>
      </w:r>
      <w:r>
        <w:rPr/>
        <w:t xml:space="preserve"> projetado para gerar uma avaliaç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ão do tabuleiro de xadrez</w:t>
      </w:r>
      <w:r>
        <w:rPr/>
        <w:t xml:space="preserve">. O treinamento foi realizado com o conjunto de dados de partidas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do banco de dados lichess</w:t>
      </w:r>
      <w:r>
        <w:rPr/>
        <w:t>, utilizando o algoritmo de retropropagação (ADAM) com uma taxa de aprendizado de 0.001 e um momento de 0.9.</w:t>
      </w:r>
    </w:p>
    <w:p>
      <w:pPr>
        <w:pStyle w:val="Heading2"/>
        <w:rPr/>
      </w:pPr>
      <w:r>
        <w:rPr/>
        <w:t>Rede Neural Convolucional (CNN)</w:t>
      </w:r>
    </w:p>
    <w:p>
      <w:pPr>
        <w:pStyle w:val="TextBody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A rede neural convolucional (CNN) foi criada usando a plataforma PyTorch. Ela inclui duas camadas convolucionais, seguidas de camadas completamente conectadas. As camadas convolucionais empregam filtros de 8x8, com a função de ativação ReLU. Após a extração de características pelas camadas convolucionais, as camadas completamente conectadas processam esses dados para a avaliação final do tabuleiro de xadrez.</w:t>
      </w:r>
    </w:p>
    <w:p>
      <w:pPr>
        <w:pStyle w:val="TextBody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Antes de entrar na rede neural, o posicionamento das peças no tabuleiro de xadrez é codificado em uma matriz bidimensional de 8x8, utilizando 12 canais distintos. Cada canal é dedicado a um tipo específico de peça, como, por exemplo, o cavalo branco.</w:t>
      </w:r>
    </w:p>
    <w:p>
      <w:pPr>
        <w:pStyle w:val="TextBody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Para iniciar o processo, os pesos da rede foram ajustados com valores reduzidos, uma escolha baseada em resultados empíricos positivos. Embora técnicas como regularização e dropout tenham sido exploradas em testes iniciais, elas não trouxeram melhorias significativas e, por isso, não foram adotadas na configuração final. A rede foi treinada usando um conjunto de dados proveniente do banco de dados de avaliações do lichess.</w:t>
      </w:r>
    </w:p>
    <w:p>
      <w:pPr>
        <w:pStyle w:val="Heading2"/>
        <w:rPr/>
      </w:pPr>
      <w:r>
        <w:rPr>
          <w:rFonts w:eastAsia="SimSun" w:cs="Times New Roman"/>
          <w:i/>
          <w:iCs/>
          <w:color w:val="auto"/>
          <w:kern w:val="0"/>
          <w:sz w:val="20"/>
          <w:szCs w:val="20"/>
          <w:lang w:val="en-US" w:eastAsia="en-US" w:bidi="ar-SA"/>
        </w:rPr>
        <w:t>S</w:t>
      </w:r>
      <w:r>
        <w:rPr/>
        <w:t>istema de avaliaç</w:t>
      </w:r>
      <w:r>
        <w:rPr>
          <w:rFonts w:eastAsia="SimSun" w:cs="Times New Roman"/>
          <w:i/>
          <w:iCs/>
          <w:color w:val="auto"/>
          <w:kern w:val="0"/>
          <w:sz w:val="20"/>
          <w:szCs w:val="20"/>
          <w:lang w:val="en-US" w:eastAsia="en-US" w:bidi="ar-SA"/>
        </w:rPr>
        <w:t>ão ELO</w:t>
      </w:r>
    </w:p>
    <w:p>
      <w:pPr>
        <w:pStyle w:val="TextBody"/>
        <w:rPr/>
      </w:pPr>
      <w:r>
        <w:rPr/>
        <w:t>O sistema de avaliaç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ão</w:t>
      </w:r>
      <w:r>
        <w:rPr/>
        <w:t xml:space="preserve"> Elo, desenvolvido pelo físico e mestre de xadrez húngaro-americano Arpad Elo, é uma metodologia amplamente adotada para calcular a habilidade relativa dos jogadores de xadrez. No cerne deste sistema está a ideia de que a performance de um jogador não é medida absolutamente, mas sim em relação aos seus adversários. Cada jogador possui uma avaliaç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ão</w:t>
      </w:r>
      <w:r>
        <w:rPr/>
        <w:t xml:space="preserve"> Elo, um número que aumenta ou diminui baseado nos resultados das partidas, considerando a força relativa dos oponentes. Este sistema é adotado em âmbito mundial pela Federação Internacional de Xadrez (FIDE) e é crucial para determinar qualificações para torneios, emparelhamentos e até mesmo títulos oficiais, como Mestre Internacional e Grande Mestre.</w:t>
      </w:r>
    </w:p>
    <w:p>
      <w:pPr>
        <w:pStyle w:val="Heading1"/>
        <w:ind w:hanging="0"/>
        <w:rPr/>
      </w:pPr>
      <w:r>
        <w:rPr/>
        <w:t>Experimentos</w:t>
      </w:r>
    </w:p>
    <w:p>
      <w:pPr>
        <w:pStyle w:val="Heading2"/>
        <w:rPr/>
      </w:pPr>
      <w:r>
        <w:rPr/>
        <w:t>Oponentes para estimaç</w:t>
      </w:r>
      <w:r>
        <w:rPr>
          <w:rFonts w:eastAsia="SimSun" w:cs="Times New Roman"/>
          <w:i/>
          <w:iCs/>
          <w:color w:val="auto"/>
          <w:kern w:val="0"/>
          <w:sz w:val="20"/>
          <w:szCs w:val="20"/>
          <w:lang w:val="en-US" w:eastAsia="en-US" w:bidi="ar-SA"/>
        </w:rPr>
        <w:t>ão do Elo dos programas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Para estimar o Elo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en-US" w:eastAsia="x-none" w:bidi="ar-SA"/>
        </w:rPr>
        <w:t>dos três programs de xadrez desenvolvidos, foram utilizados programas disponíveis online com Elo conhecido e amplamente testado, que são apresentados na tabela 1.</w:t>
      </w:r>
    </w:p>
    <w:p>
      <w:pPr>
        <w:pStyle w:val="Tablehead"/>
        <w:numPr>
          <w:ilvl w:val="0"/>
          <w:numId w:val="6"/>
        </w:numPr>
        <w:rPr/>
      </w:pPr>
      <w:r>
        <w:rPr/>
        <w:t>Elo dos programs de xadrez usados</w:t>
      </w:r>
    </w:p>
    <w:tbl>
      <w:tblPr>
        <w:tblW w:w="486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noHBand="0" w:noVBand="0" w:firstColumn="0" w:lastRow="0" w:lastColumn="0" w:firstRow="0"/>
      </w:tblPr>
      <w:tblGrid>
        <w:gridCol w:w="507"/>
        <w:gridCol w:w="1766"/>
        <w:gridCol w:w="842"/>
        <w:gridCol w:w="1744"/>
      </w:tblGrid>
      <w:tr>
        <w:trPr>
          <w:tblHeader w:val="true"/>
          <w:trHeight w:val="240" w:hRule="atLeast"/>
          <w:cantSplit w:val="true"/>
        </w:trPr>
        <w:tc>
          <w:tcPr>
            <w:tcW w:w="507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head"/>
              <w:widowControl w:val="false"/>
              <w:rPr/>
            </w:pPr>
            <w:r>
              <w:rPr/>
              <w:t>#</w:t>
            </w:r>
          </w:p>
        </w:tc>
        <w:tc>
          <w:tcPr>
            <w:tcW w:w="4352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head"/>
              <w:widowControl w:val="false"/>
              <w:rPr/>
            </w:pPr>
            <w:r>
              <w:rPr/>
              <w:t>Avaliaç</w:t>
            </w:r>
            <w:r>
              <w:rPr>
                <w:rFonts w:eastAsia="SimSun" w:cs="Times New Roman"/>
                <w:b/>
                <w:bCs/>
                <w:color w:val="auto"/>
                <w:kern w:val="0"/>
                <w:sz w:val="16"/>
                <w:szCs w:val="16"/>
                <w:lang w:val="en-US" w:eastAsia="en-US" w:bidi="ar-SA"/>
              </w:rPr>
              <w:t>ão Elo dos p</w:t>
            </w:r>
            <w:r>
              <w:rPr/>
              <w:t>rogramas de xadrez de refer</w:t>
            </w:r>
            <w:r>
              <w:rPr>
                <w:rFonts w:eastAsia="SimSun" w:cs="Times New Roman"/>
                <w:b/>
                <w:bCs/>
                <w:color w:val="auto"/>
                <w:kern w:val="0"/>
                <w:sz w:val="16"/>
                <w:szCs w:val="16"/>
                <w:lang w:val="en-US" w:eastAsia="en-US" w:bidi="ar-SA"/>
              </w:rPr>
              <w:t>ência</w:t>
            </w:r>
          </w:p>
        </w:tc>
      </w:tr>
      <w:tr>
        <w:trPr>
          <w:tblHeader w:val="true"/>
          <w:trHeight w:val="240" w:hRule="atLeast"/>
          <w:cantSplit w:val="true"/>
        </w:trPr>
        <w:tc>
          <w:tcPr>
            <w:tcW w:w="507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subhead"/>
              <w:widowControl w:val="false"/>
              <w:rPr/>
            </w:pPr>
            <w:r>
              <w:rPr/>
              <w:t>Nome do programa</w:t>
            </w:r>
          </w:p>
        </w:tc>
        <w:tc>
          <w:tcPr>
            <w:tcW w:w="8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subhead"/>
              <w:widowControl w:val="false"/>
              <w:rPr/>
            </w:pPr>
            <w:r>
              <w:rPr/>
              <w:t>Elo</w:t>
            </w:r>
          </w:p>
        </w:tc>
        <w:tc>
          <w:tcPr>
            <w:tcW w:w="17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subhead"/>
              <w:widowControl w:val="false"/>
              <w:rPr/>
            </w:pPr>
            <w:r>
              <w:rPr/>
              <w:t>Fonte</w:t>
            </w:r>
          </w:p>
        </w:tc>
      </w:tr>
      <w:tr>
        <w:trPr>
          <w:trHeight w:val="320" w:hRule="atLeast"/>
        </w:trPr>
        <w:tc>
          <w:tcPr>
            <w:tcW w:w="5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Aleat</w:t>
            </w: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ório</w:t>
            </w: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vertAlign w:val="superscript"/>
                <w:lang w:val="en-US" w:eastAsia="en-US" w:bidi="ar-SA"/>
              </w:rPr>
              <w:t>a</w:t>
            </w:r>
          </w:p>
        </w:tc>
        <w:tc>
          <w:tcPr>
            <w:tcW w:w="8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</w:t>
            </w:r>
          </w:p>
        </w:tc>
        <w:tc>
          <w:tcPr>
            <w:tcW w:w="17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computerchess.org.uk</w:t>
            </w:r>
          </w:p>
        </w:tc>
      </w:tr>
      <w:tr>
        <w:trPr>
          <w:trHeight w:val="320" w:hRule="atLeast"/>
        </w:trPr>
        <w:tc>
          <w:tcPr>
            <w:tcW w:w="5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Martin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17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chess.com</w:t>
            </w:r>
          </w:p>
        </w:tc>
      </w:tr>
      <w:tr>
        <w:trPr>
          <w:trHeight w:val="320" w:hRule="atLeast"/>
        </w:trPr>
        <w:tc>
          <w:tcPr>
            <w:tcW w:w="5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Elani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17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chess.com</w:t>
            </w:r>
          </w:p>
        </w:tc>
      </w:tr>
      <w:tr>
        <w:trPr>
          <w:trHeight w:val="320" w:hRule="atLeast"/>
        </w:trPr>
        <w:tc>
          <w:tcPr>
            <w:tcW w:w="5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Aron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</w:t>
            </w:r>
          </w:p>
        </w:tc>
        <w:tc>
          <w:tcPr>
            <w:tcW w:w="17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chess.com</w:t>
            </w:r>
          </w:p>
        </w:tc>
      </w:tr>
      <w:tr>
        <w:trPr>
          <w:trHeight w:val="320" w:hRule="atLeast"/>
        </w:trPr>
        <w:tc>
          <w:tcPr>
            <w:tcW w:w="5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Emir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7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chess.com</w:t>
            </w:r>
          </w:p>
        </w:tc>
      </w:tr>
    </w:tbl>
    <w:p>
      <w:pPr>
        <w:pStyle w:val="Tablefootnote"/>
        <w:numPr>
          <w:ilvl w:val="0"/>
          <w:numId w:val="7"/>
        </w:numPr>
        <w:ind w:start="58" w:hanging="29"/>
        <w:rPr/>
      </w:pPr>
      <w:r>
        <w:rPr/>
        <w:t>O Elo foi corrigido para ser compar</w:t>
      </w:r>
      <w:r>
        <w:rPr>
          <w:rFonts w:eastAsia="SimSun" w:cs="Times New Roman"/>
          <w:color w:val="auto"/>
          <w:kern w:val="0"/>
          <w:sz w:val="12"/>
          <w:szCs w:val="12"/>
          <w:lang w:val="en-US" w:eastAsia="en-US" w:bidi="ar-SA"/>
        </w:rPr>
        <w:t>ável com a avaliação plataforma chess.com.</w:t>
      </w:r>
    </w:p>
    <w:p>
      <w:pPr>
        <w:pStyle w:val="Heading2"/>
        <w:rPr/>
      </w:pPr>
      <w:r>
        <w:rPr/>
        <w:t>Resultados da partidas</w:t>
      </w:r>
    </w:p>
    <w:p>
      <w:pPr>
        <w:pStyle w:val="TextBody"/>
        <w:rPr/>
      </w:pPr>
      <w:r>
        <w:rPr/>
      </w:r>
    </w:p>
    <w:p>
      <w:pPr>
        <w:pStyle w:val="TextBody"/>
        <w:rPr>
          <w:lang w:val="en-US"/>
        </w:rPr>
      </w:pPr>
      <w:r>
        <w:rPr/>
        <w:t>Os resultados das partidas s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ão apresentados na tabela 2.</w:t>
      </w:r>
    </w:p>
    <w:p>
      <w:pPr>
        <w:pStyle w:val="Tablehead"/>
        <w:numPr>
          <w:ilvl w:val="0"/>
          <w:numId w:val="6"/>
        </w:numPr>
        <w:rPr/>
      </w:pPr>
      <w:r>
        <w:rPr/>
        <w:t>Partidas realizadas para determinaç</w:t>
      </w:r>
      <w:r>
        <w:rPr>
          <w:rFonts w:eastAsia="SimSun" w:cs="Times New Roman"/>
          <w:smallCaps/>
          <w:color w:val="auto"/>
          <w:kern w:val="0"/>
          <w:sz w:val="16"/>
          <w:szCs w:val="16"/>
          <w:lang w:val="en-US" w:eastAsia="en-US" w:bidi="ar-SA"/>
        </w:rPr>
        <w:t>ão do elo</w:t>
      </w:r>
    </w:p>
    <w:tbl>
      <w:tblPr>
        <w:tblW w:w="485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noHBand="0" w:noVBand="0" w:firstColumn="0" w:lastRow="0" w:lastColumn="0" w:firstRow="0"/>
      </w:tblPr>
      <w:tblGrid>
        <w:gridCol w:w="392"/>
        <w:gridCol w:w="2042"/>
        <w:gridCol w:w="1534"/>
        <w:gridCol w:w="889"/>
      </w:tblGrid>
      <w:tr>
        <w:trPr>
          <w:tblHeader w:val="true"/>
          <w:trHeight w:val="240" w:hRule="atLeast"/>
          <w:cantSplit w:val="true"/>
        </w:trPr>
        <w:tc>
          <w:tcPr>
            <w:tcW w:w="392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head"/>
              <w:widowControl w:val="false"/>
              <w:rPr/>
            </w:pPr>
            <w:r>
              <w:rPr/>
              <w:t>#</w:t>
            </w:r>
          </w:p>
        </w:tc>
        <w:tc>
          <w:tcPr>
            <w:tcW w:w="4465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head"/>
              <w:widowControl w:val="false"/>
              <w:rPr/>
            </w:pPr>
            <w:r>
              <w:rPr>
                <w:rFonts w:eastAsia="SimSun" w:cs="Times New Roman"/>
                <w:b/>
                <w:bCs/>
                <w:color w:val="auto"/>
                <w:kern w:val="0"/>
                <w:sz w:val="16"/>
                <w:szCs w:val="16"/>
                <w:lang w:val="en-US" w:eastAsia="en-US" w:bidi="ar-SA"/>
              </w:rPr>
              <w:t>Partidas realizadas para estimar o Elo dos programas</w:t>
            </w:r>
          </w:p>
        </w:tc>
      </w:tr>
      <w:tr>
        <w:trPr>
          <w:tblHeader w:val="true"/>
          <w:trHeight w:val="240" w:hRule="atLeast"/>
          <w:cantSplit w:val="true"/>
        </w:trPr>
        <w:tc>
          <w:tcPr>
            <w:tcW w:w="392" w:type="dxa"/>
            <w:vMerge w:val="continue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subhead"/>
              <w:widowControl w:val="false"/>
              <w:rPr/>
            </w:pPr>
            <w:r>
              <w:rPr/>
              <w:t>Nome do programa</w:t>
            </w:r>
          </w:p>
        </w:tc>
        <w:tc>
          <w:tcPr>
            <w:tcW w:w="15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subhead"/>
              <w:widowControl w:val="false"/>
              <w:rPr/>
            </w:pPr>
            <w:r>
              <w:rPr/>
              <w:t>Oponente</w:t>
            </w:r>
          </w:p>
        </w:tc>
        <w:tc>
          <w:tcPr>
            <w:tcW w:w="8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lsubhead"/>
              <w:widowControl w:val="false"/>
              <w:rPr/>
            </w:pPr>
            <w:r>
              <w:rPr>
                <w:rFonts w:eastAsia="SimSun" w:cs="Times New Roman"/>
                <w:b/>
                <w:bCs/>
                <w:i/>
                <w:iCs/>
                <w:color w:val="auto"/>
                <w:kern w:val="0"/>
                <w:sz w:val="15"/>
                <w:szCs w:val="15"/>
                <w:lang w:val="en-US" w:eastAsia="en-US" w:bidi="ar-SA"/>
              </w:rPr>
              <w:t xml:space="preserve">VxD (E) </w:t>
            </w:r>
            <w:r>
              <w:rPr>
                <w:rFonts w:eastAsia="SimSun" w:cs="Times New Roman"/>
                <w:b/>
                <w:bCs/>
                <w:i/>
                <w:iCs/>
                <w:color w:val="auto"/>
                <w:kern w:val="0"/>
                <w:sz w:val="15"/>
                <w:szCs w:val="15"/>
                <w:vertAlign w:val="superscript"/>
                <w:lang w:val="en-US" w:eastAsia="en-US" w:bidi="ar-SA"/>
              </w:rPr>
              <w:t>b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Chat GPT 4</w:t>
            </w:r>
          </w:p>
        </w:tc>
        <w:tc>
          <w:tcPr>
            <w:tcW w:w="15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 Aleat</w:t>
            </w: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ório</w:t>
            </w:r>
          </w:p>
        </w:tc>
        <w:tc>
          <w:tcPr>
            <w:tcW w:w="8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2x0 (3)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Chat GPT 4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Martin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 (1)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Chat GPT 4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Elani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Chat GPT 4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Aron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Chat GPT 4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Emir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MLP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 Aleat</w:t>
            </w: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ório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5x0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MLP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Martin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5x0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MLP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Elani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5x0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MLP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Aron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3x1 (1)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MLP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Emir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0x4 (1)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CNN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 Aleat</w:t>
            </w:r>
            <w:r>
              <w:rPr>
                <w:rFonts w:eastAsia="SimSun" w:cs="Times New Roman"/>
                <w:color w:val="auto"/>
                <w:kern w:val="0"/>
                <w:sz w:val="16"/>
                <w:szCs w:val="16"/>
                <w:lang w:val="en-US" w:eastAsia="en-US" w:bidi="ar-SA"/>
              </w:rPr>
              <w:t>ório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5x0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CNN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Martin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5x0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CNN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Elani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2x1 (2)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CNN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Aron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2x3 (0)</w:t>
            </w:r>
          </w:p>
        </w:tc>
      </w:tr>
      <w:tr>
        <w:trPr>
          <w:trHeight w:val="320" w:hRule="atLeast"/>
        </w:trPr>
        <w:tc>
          <w:tcPr>
            <w:tcW w:w="3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20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MiniMax + CNN</w:t>
            </w:r>
          </w:p>
        </w:tc>
        <w:tc>
          <w:tcPr>
            <w:tcW w:w="153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py"/>
              <w:widowControl w:val="false"/>
              <w:rPr/>
            </w:pPr>
            <w:r>
              <w:rPr/>
              <w:t>Programa Emir</w:t>
            </w:r>
          </w:p>
        </w:tc>
        <w:tc>
          <w:tcPr>
            <w:tcW w:w="88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0x5 (0)</w:t>
            </w:r>
          </w:p>
        </w:tc>
      </w:tr>
    </w:tbl>
    <w:p>
      <w:pPr>
        <w:pStyle w:val="Tablefootnote"/>
        <w:numPr>
          <w:ilvl w:val="0"/>
          <w:numId w:val="7"/>
        </w:numPr>
        <w:ind w:start="58" w:hanging="29"/>
        <w:rPr/>
      </w:pPr>
      <w:r>
        <w:rPr>
          <w:rFonts w:eastAsia="SimSun" w:cs="Times New Roman"/>
          <w:color w:val="auto"/>
          <w:kern w:val="0"/>
          <w:sz w:val="12"/>
          <w:szCs w:val="12"/>
          <w:lang w:val="en-US" w:eastAsia="en-US" w:bidi="ar-SA"/>
        </w:rPr>
        <w:t>Vitórias x Derrotas (Empates).</w:t>
      </w:r>
    </w:p>
    <w:p>
      <w:pPr>
        <w:pStyle w:val="TextBody"/>
        <w:rPr/>
      </w:pPr>
      <w:r>
        <w:rPr/>
        <w:t>An excellent style manual for science writers is [7].</w:t>
      </w:r>
    </w:p>
    <w:p>
      <w:pPr>
        <w:pStyle w:val="Heading5"/>
        <w:rPr/>
      </w:pPr>
      <w:r>
        <w:rPr/>
        <w:t xml:space="preserve">Acknowledgment </w:t>
      </w:r>
      <w:r>
        <w:rPr>
          <w:i/>
          <w:iCs/>
        </w:rPr>
        <w:t>(</w:t>
      </w:r>
      <w:r>
        <w:rPr>
          <w:i/>
          <w:iCs/>
          <w:caps w:val="false"/>
          <w:smallCaps w:val="false"/>
        </w:rPr>
        <w:t>Heading 5</w:t>
      </w:r>
      <w:r>
        <w:rPr>
          <w:i/>
          <w:iCs/>
        </w:rPr>
        <w:t>)</w:t>
      </w:r>
    </w:p>
    <w:p>
      <w:pPr>
        <w:pStyle w:val="TextBody"/>
        <w:rPr/>
      </w:pPr>
      <w:r>
        <w:rPr/>
        <w:t>The preferred spelling of the word “acknowledgment” in America is without an “e” after the “g”. Avoid the stilted expression “</w:t>
      </w:r>
      <w:r>
        <w:rPr>
          <w:lang w:val="en-US"/>
        </w:rPr>
        <w:t>o</w:t>
      </w:r>
      <w:r>
        <w:rPr/>
        <w:t>ne of us (R. B. G.) thanks ...</w:t>
      </w:r>
      <w:r>
        <w:rPr>
          <w:lang w:val="en-US"/>
        </w:rPr>
        <w:t xml:space="preserve">”.  </w:t>
      </w:r>
      <w:r>
        <w:rPr/>
        <w:t>Instead, try “R. B. G. thanks...”.</w:t>
      </w:r>
      <w:r>
        <w:rPr>
          <w:lang w:val="en-US"/>
        </w:rPr>
        <w:t xml:space="preserve"> </w:t>
      </w:r>
      <w:r>
        <w:rPr/>
        <w:t>Put sponsor acknowledgments in the unnumbered footnote on the first page.</w:t>
      </w:r>
    </w:p>
    <w:p>
      <w:pPr>
        <w:pStyle w:val="Heading5"/>
        <w:rPr/>
      </w:pPr>
      <w:r>
        <w:rPr/>
        <w:t>References</w:t>
      </w:r>
    </w:p>
    <w:p>
      <w:pPr>
        <w:pStyle w:val="TextBody"/>
        <w:rPr/>
      </w:pPr>
      <w:r>
        <w:rPr/>
        <w:t>The template will number citations consecutively within brackets [1]. The sentence punctuation follows the bracket [2]. Refer simply to the reference number, as in [3]—do not use “Ref. [3]” or “reference [3]” except at the beginning of a sentence: “Reference [3] was the first</w:t>
      </w:r>
      <w:r>
        <w:rPr>
          <w:lang w:val="en-US"/>
        </w:rPr>
        <w:t xml:space="preserve"> </w:t>
      </w:r>
      <w:r>
        <w:rPr/>
        <w:t>...”</w:t>
      </w:r>
    </w:p>
    <w:p>
      <w:pPr>
        <w:pStyle w:val="Normal"/>
        <w:rPr/>
      </w:pPr>
      <w:r>
        <w:rPr/>
      </w:r>
    </w:p>
    <w:p>
      <w:pPr>
        <w:pStyle w:val="References"/>
        <w:numPr>
          <w:ilvl w:val="0"/>
          <w:numId w:val="5"/>
        </w:numPr>
        <w:ind w:start="354" w:hanging="354"/>
        <w:rPr/>
      </w:pPr>
      <w:r>
        <w:rPr/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>
      <w:pPr>
        <w:pStyle w:val="References"/>
        <w:numPr>
          <w:ilvl w:val="0"/>
          <w:numId w:val="5"/>
        </w:numPr>
        <w:ind w:start="354" w:hanging="354"/>
        <w:rPr/>
      </w:pPr>
      <w:r>
        <w:rPr/>
        <w:t>J. Clerk Maxwell, A Treatise on Electricity and Magnetism, 3rd ed., vol. 2. Oxford: Clarendon, 1892, pp.68–73.</w:t>
      </w:r>
    </w:p>
    <w:p>
      <w:pPr>
        <w:pStyle w:val="References"/>
        <w:numPr>
          <w:ilvl w:val="0"/>
          <w:numId w:val="5"/>
        </w:numPr>
        <w:ind w:start="354" w:hanging="354"/>
        <w:rPr/>
      </w:pPr>
      <w:r>
        <w:rPr/>
        <w:t>I. S. Jacobs and C. P. Bean, “Fine particles, thin films and exchange anisotropy,” in Magnetism, vol. III, G. T. Rado and H. Suhl, Eds. New York: Academic, 1963, pp. 271–350.</w:t>
      </w:r>
    </w:p>
    <w:p>
      <w:pPr>
        <w:pStyle w:val="References"/>
        <w:numPr>
          <w:ilvl w:val="0"/>
          <w:numId w:val="5"/>
        </w:numPr>
        <w:ind w:start="354" w:hanging="354"/>
        <w:rPr/>
      </w:pPr>
      <w:r>
        <w:rPr/>
        <w:t>K. Elissa, “Title of paper if known,” unpublished.</w:t>
      </w:r>
    </w:p>
    <w:p>
      <w:pPr>
        <w:pStyle w:val="References"/>
        <w:numPr>
          <w:ilvl w:val="0"/>
          <w:numId w:val="5"/>
        </w:numPr>
        <w:ind w:start="354" w:hanging="354"/>
        <w:rPr/>
      </w:pPr>
      <w:r>
        <w:rPr/>
        <w:t>R. Nicole, “Title of paper with only first word capitalized,” J. Name Stand. Abbrev., in press.</w:t>
      </w:r>
    </w:p>
    <w:p>
      <w:pPr>
        <w:pStyle w:val="References"/>
        <w:numPr>
          <w:ilvl w:val="0"/>
          <w:numId w:val="5"/>
        </w:numPr>
        <w:ind w:start="354" w:hanging="354"/>
        <w:rPr/>
      </w:pPr>
      <w:r>
        <w:rPr/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>
      <w:pPr>
        <w:pStyle w:val="References"/>
        <w:numPr>
          <w:ilvl w:val="0"/>
          <w:numId w:val="5"/>
        </w:numPr>
        <w:ind w:start="354" w:hanging="354"/>
        <w:rPr/>
      </w:pPr>
      <w:r>
        <w:rPr/>
        <w:t>M. Young, The Technical Writer’s Handbook. Mill Valley, CA: University Science, 1989.</w:t>
      </w:r>
    </w:p>
    <w:p>
      <w:pPr>
        <w:pStyle w:val="References"/>
        <w:numPr>
          <w:ilvl w:val="0"/>
          <w:numId w:val="0"/>
        </w:numPr>
        <w:ind w:start="360" w:hanging="360"/>
        <w:rPr/>
      </w:pPr>
      <w:r>
        <w:rPr/>
      </w:r>
    </w:p>
    <w:p>
      <w:pPr>
        <w:pStyle w:val="References"/>
        <w:numPr>
          <w:ilvl w:val="0"/>
          <w:numId w:val="0"/>
        </w:numPr>
        <w:spacing w:lineRule="auto" w:line="240" w:before="0" w:after="50"/>
        <w:ind w:start="360" w:hanging="360"/>
        <w:jc w:val="center"/>
        <w:rPr>
          <w:rFonts w:eastAsia="SimSun"/>
          <w:b/>
          <w:b/>
          <w:color w:val="FF0000"/>
          <w:spacing w:val="-1"/>
          <w:sz w:val="20"/>
          <w:szCs w:val="20"/>
          <w:lang w:val="x-none" w:eastAsia="x-none"/>
        </w:rPr>
      </w:pPr>
      <w:r>
        <w:rPr/>
      </w:r>
    </w:p>
    <w:p>
      <w:pPr>
        <w:sectPr>
          <w:type w:val="continuous"/>
          <w:pgSz w:w="11906" w:h="16838"/>
          <w:pgMar w:left="893" w:right="893" w:gutter="0" w:header="0" w:top="540" w:footer="720" w:bottom="144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893" w:right="893" w:gutter="0" w:header="0" w:top="5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S hne">
    <w:altName w:val="ui-sans-serif"/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start"/>
      <w:rPr>
        <w:sz w:val="16"/>
        <w:szCs w:val="16"/>
      </w:rPr>
    </w:pPr>
    <w:r>
      <w:rPr>
        <w:sz w:val="16"/>
        <w:szCs w:val="16"/>
      </w:rPr>
      <w:t>XXX-X-XXXX-XXXX-X/XX/$XX.00 ©2023 IEEE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center"/>
      <w:pPr>
        <w:tabs>
          <w:tab w:val="num" w:pos="576"/>
        </w:tabs>
        <w:ind w:star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ascii="Times New Roman" w:hAnsi="Times New Roman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pStyle w:val="Heading2"/>
      <w:numFmt w:val="upperLetter"/>
      <w:lvlText w:val="%2."/>
      <w:lvlJc w:val="start"/>
      <w:pPr>
        <w:tabs>
          <w:tab w:val="num" w:pos="360"/>
        </w:tabs>
        <w:ind w:star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ascii="Times New Roman" w:hAnsi="Times New Roman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lvlText w:val="%3)"/>
      <w:lvlJc w:val="start"/>
      <w:pPr>
        <w:tabs>
          <w:tab w:val="num" w:pos="540"/>
        </w:tabs>
        <w:ind w:star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ascii="Times New Roman" w:hAnsi="Times New Roman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pStyle w:val="Heading4"/>
      <w:numFmt w:val="lowerLetter"/>
      <w:lvlText w:val="%4)"/>
      <w:lvlJc w:val="start"/>
      <w:pPr>
        <w:tabs>
          <w:tab w:val="num" w:pos="630"/>
        </w:tabs>
        <w:ind w:start="0" w:firstLine="360"/>
      </w:pPr>
      <w:rPr>
        <w:sz w:val="20"/>
        <w:i/>
        <w:b w:val="false"/>
        <w:szCs w:val="20"/>
        <w:iCs/>
        <w:bCs w:val="false"/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2880" w:hanging="0"/>
      </w:pPr>
      <w:rPr>
        <w:rFonts w:cs="Times New Roman"/>
      </w:rPr>
    </w:lvl>
    <w:lvl w:ilvl="5">
      <w:start w:val="1"/>
      <w:numFmt w:val="lowerLetter"/>
      <w:lvlText w:val="(%6)"/>
      <w:lvlJc w:val="start"/>
      <w:pPr>
        <w:tabs>
          <w:tab w:val="num" w:pos="3960"/>
        </w:tabs>
        <w:ind w:start="3600" w:hanging="0"/>
      </w:pPr>
      <w:rPr>
        <w:rFonts w:cs="Times New Roman"/>
      </w:rPr>
    </w:lvl>
    <w:lvl w:ilvl="6">
      <w:start w:val="1"/>
      <w:numFmt w:val="lowerRoman"/>
      <w:lvlText w:val="(%7)"/>
      <w:lvlJc w:val="start"/>
      <w:pPr>
        <w:tabs>
          <w:tab w:val="num" w:pos="4680"/>
        </w:tabs>
        <w:ind w:start="4320" w:hanging="0"/>
      </w:pPr>
      <w:rPr>
        <w:rFonts w:cs="Times New Roman"/>
      </w:rPr>
    </w:lvl>
    <w:lvl w:ilvl="7">
      <w:start w:val="1"/>
      <w:numFmt w:val="lowerLetter"/>
      <w:lvlText w:val="(%8)"/>
      <w:lvlJc w:val="start"/>
      <w:pPr>
        <w:tabs>
          <w:tab w:val="num" w:pos="5400"/>
        </w:tabs>
        <w:ind w:start="5040" w:hanging="0"/>
      </w:pPr>
      <w:rPr>
        <w:rFonts w:cs="Times New Roman"/>
      </w:rPr>
    </w:lvl>
    <w:lvl w:ilvl="8">
      <w:start w:val="1"/>
      <w:numFmt w:val="lowerRoman"/>
      <w:lvlText w:val="(%9)"/>
      <w:lvlJc w:val="start"/>
      <w:pPr>
        <w:tabs>
          <w:tab w:val="num" w:pos="6120"/>
        </w:tabs>
        <w:ind w:start="5760" w:hanging="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648"/>
        </w:tabs>
        <w:ind w:star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Fig. %1."/>
      <w:lvlJc w:val="start"/>
      <w:pPr>
        <w:tabs>
          <w:tab w:val="num" w:pos="0"/>
        </w:tabs>
        <w:ind w:star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 "/>
      <w:lvlJc w:val="start"/>
      <w:pPr>
        <w:tabs>
          <w:tab w:val="num" w:pos="648"/>
        </w:tabs>
        <w:ind w:start="0" w:firstLine="288"/>
      </w:pPr>
      <w:rPr>
        <w:smallCaps w:val="false"/>
        <w:caps w:val="false"/>
        <w:dstrike w:val="false"/>
        <w:strike w:val="false"/>
        <w:vertAlign w:val="superscript"/>
        <w:sz w:val="16"/>
        <w:i w:val="false"/>
        <w:b w:val="false"/>
        <w:szCs w:val="16"/>
        <w:iCs w:val="false"/>
        <w:bCs w:val="false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[%1]"/>
      <w:lvlJc w:val="start"/>
      <w:pPr>
        <w:tabs>
          <w:tab w:val="num" w:pos="360"/>
        </w:tabs>
        <w:ind w:star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upperRoman"/>
      <w:lvlText w:val="TABELA %1. "/>
      <w:lvlJc w:val="start"/>
      <w:pPr>
        <w:tabs>
          <w:tab w:val="num" w:pos="1080"/>
        </w:tabs>
        <w:ind w:start="0" w:hanging="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lowerLetter"/>
      <w:lvlText w:val="%1."/>
      <w:lvlJc w:val="end"/>
      <w:pPr>
        <w:tabs>
          <w:tab w:val="num" w:pos="0"/>
        </w:tabs>
        <w:ind w:start="418" w:hanging="360"/>
      </w:pPr>
      <w:rPr>
        <w:smallCaps w:val="false"/>
        <w:caps w:val="false"/>
        <w:dstrike w:val="false"/>
        <w:strike w:val="false"/>
        <w:vertAlign w:val="superscript"/>
        <w:sz w:val="16"/>
        <w:spacing w:val="0"/>
        <w:i w:val="false"/>
        <w:b w:val="false"/>
        <w:kern w:val="0"/>
        <w:w w:val="100"/>
        <w:vanish w:val="false"/>
        <w:rFonts w:ascii="Times New Roman" w:hAnsi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clear" w:pos="720"/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clear" w:pos="720"/>
        <w:tab w:val="left" w:pos="288" w:leader="none"/>
      </w:tabs>
      <w:spacing w:before="120" w:after="60"/>
      <w:jc w:val="star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clear" w:pos="720"/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7596c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suppressAutoHyphens w:val="true"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suppressAutoHyphens w:val="true"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TextBody"/>
    <w:qFormat/>
    <w:rsid w:val="001b67dc"/>
    <w:pPr>
      <w:numPr>
        <w:ilvl w:val="0"/>
        <w:numId w:val="2"/>
      </w:numPr>
      <w:ind w:star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lear" w:pos="720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numPr>
        <w:ilvl w:val="0"/>
        <w:numId w:val="3"/>
      </w:numPr>
      <w:tabs>
        <w:tab w:val="clear" w:pos="720"/>
        <w:tab w:val="left" w:pos="533" w:leader="none"/>
      </w:tabs>
      <w:suppressAutoHyphens w:val="true"/>
      <w:bidi w:val="0"/>
      <w:spacing w:before="80" w:after="200"/>
      <w:ind w:star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numPr>
        <w:ilvl w:val="0"/>
        <w:numId w:val="4"/>
      </w:numPr>
      <w:suppressAutoHyphens w:val="true"/>
      <w:bidi w:val="0"/>
      <w:spacing w:before="0" w:after="40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numPr>
        <w:ilvl w:val="0"/>
        <w:numId w:val="5"/>
      </w:numPr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suppressAutoHyphens w:val="true"/>
      <w:bidi w:val="0"/>
      <w:spacing w:before="0" w:after="0"/>
      <w:ind w:firstLine="288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numPr>
        <w:ilvl w:val="0"/>
        <w:numId w:val="7"/>
      </w:numPr>
      <w:suppressAutoHyphens w:val="true"/>
      <w:bidi w:val="0"/>
      <w:spacing w:before="60" w:after="30"/>
      <w:ind w:start="58" w:hanging="29"/>
      <w:jc w:val="end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numPr>
        <w:ilvl w:val="0"/>
        <w:numId w:val="6"/>
      </w:numPr>
      <w:suppressAutoHyphens w:val="true"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472</TotalTime>
  <Application>LibreOffice/7.3.7.2$Linux_X86_64 LibreOffice_project/30$Build-2</Application>
  <AppVersion>15.0000</AppVersion>
  <Pages>2</Pages>
  <Words>1646</Words>
  <Characters>8803</Characters>
  <CharactersWithSpaces>10291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en-US</dc:language>
  <cp:lastModifiedBy/>
  <dcterms:modified xsi:type="dcterms:W3CDTF">2023-12-16T18:54:22Z</dcterms:modified>
  <cp:revision>32</cp:revision>
  <dc:subject/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