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heading=h.btr3powwl4ug" w:id="0"/>
      <w:bookmarkEnd w:id="0"/>
      <w:r w:rsidDel="00000000" w:rsidR="00000000" w:rsidRPr="00000000">
        <w:rPr>
          <w:rFonts w:ascii="Times New Roman" w:cs="Times New Roman" w:eastAsia="Times New Roman" w:hAnsi="Times New Roman"/>
          <w:rtl w:val="0"/>
        </w:rPr>
        <w:t xml:space="preserve">Project Brief - Finance Analytics Nordic Retail Group (NRG)</w:t>
      </w:r>
    </w:p>
    <w:p w:rsidR="00000000" w:rsidDel="00000000" w:rsidP="00000000" w:rsidRDefault="00000000" w:rsidRPr="00000000" w14:paraId="0000000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Project Owner: Muchammad Wildan Alkautsar </w:t>
      </w:r>
    </w:p>
    <w:p w:rsidR="00000000" w:rsidDel="00000000" w:rsidP="00000000" w:rsidRDefault="00000000" w:rsidRPr="00000000" w14:paraId="00000003">
      <w:pPr>
        <w:pStyle w:val="Heading3"/>
        <w:rPr>
          <w:rFonts w:ascii="Times New Roman" w:cs="Times New Roman" w:eastAsia="Times New Roman" w:hAnsi="Times New Roman"/>
          <w:color w:val="000000"/>
        </w:rPr>
      </w:pPr>
      <w:bookmarkStart w:colFirst="0" w:colLast="0" w:name="_heading=h.v84zblokkv2b" w:id="1"/>
      <w:bookmarkEnd w:id="1"/>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analyzes the financial performance of Nordic Retail Group to identify why strong revenue does not translate into profitability. By examining cost structures, operational efficiency, and scenario risks, the analysis uncovers structural inefficiencies and provides actionable recommendations to improve cost management and achieve sustainable profitability.</w:t>
      </w:r>
    </w:p>
    <w:p w:rsidR="00000000" w:rsidDel="00000000" w:rsidP="00000000" w:rsidRDefault="00000000" w:rsidRPr="00000000" w14:paraId="00000005">
      <w:pPr>
        <w:pStyle w:val="Heading3"/>
        <w:rPr>
          <w:rFonts w:ascii="Times New Roman" w:cs="Times New Roman" w:eastAsia="Times New Roman" w:hAnsi="Times New Roman"/>
        </w:rPr>
      </w:pPr>
      <w:bookmarkStart w:colFirst="0" w:colLast="0" w:name="_heading=h.mww5so7g7abe" w:id="2"/>
      <w:bookmarkEnd w:id="2"/>
      <w:r w:rsidDel="00000000" w:rsidR="00000000" w:rsidRPr="00000000">
        <w:rPr>
          <w:rFonts w:ascii="Times New Roman" w:cs="Times New Roman" w:eastAsia="Times New Roman" w:hAnsi="Times New Roman"/>
          <w:rtl w:val="0"/>
        </w:rPr>
        <w:t xml:space="preserve">Background &amp; Objective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Nordic Retail Group (NRG) operates across the electronics, home and kitchen, and furniture departments. Accurate classification of</w:t>
      </w:r>
      <w:r w:rsidDel="00000000" w:rsidR="00000000" w:rsidRPr="00000000">
        <w:rPr>
          <w:rtl w:val="0"/>
        </w:rPr>
        <w:t xml:space="preserve"> Direct Costs (COGS) and Operational Expenses is essential for producing reliable Profit and Loss reporting. Ho</w:t>
      </w:r>
      <w:r w:rsidDel="00000000" w:rsidR="00000000" w:rsidRPr="00000000">
        <w:rPr>
          <w:rFonts w:ascii="Times New Roman" w:cs="Times New Roman" w:eastAsia="Times New Roman" w:hAnsi="Times New Roman"/>
          <w:rtl w:val="0"/>
        </w:rPr>
        <w:t xml:space="preserve">wever, the current reporting process still relies heavily on fragmented and manually managed spreadsheets.</w:t>
      </w:r>
    </w:p>
    <w:p w:rsidR="00000000" w:rsidDel="00000000" w:rsidP="00000000" w:rsidRDefault="00000000" w:rsidRPr="00000000" w14:paraId="0000000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NRG needs to address inconsistent financial data across departments and reporting sources, as well as manual reconciliation processes that increase reporting time and the risk of errors. The absence of a centralized “single version of the truth” limits visibility into departmental profitability, cost performance, and logistics and marketing expenses, ultimately delaying financial and operational decision-making. </w:t>
      </w:r>
    </w:p>
    <w:p w:rsidR="00000000" w:rsidDel="00000000" w:rsidP="00000000" w:rsidRDefault="00000000" w:rsidRPr="00000000" w14:paraId="0000000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expected to produce a structured and validated financial dataset, an accurate Profit and Loss report with clear classifications of COGS and Operational Expenses, a consolidated balance sheet overview, an operational performance dashboard, and an advanced analytics layer. These deliverables will improve the monitoring of Gross Margin %, Operating Profit, and Budget vs. Actual variance, accelerate reporting, reduce reliance on manual spreadsheets, and identify opportunities to increase profitability</w:t>
      </w:r>
    </w:p>
    <w:p w:rsidR="00000000" w:rsidDel="00000000" w:rsidP="00000000" w:rsidRDefault="00000000" w:rsidRPr="00000000" w14:paraId="0000000B">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9.07949790795"/>
        <w:gridCol w:w="2310.627615062762"/>
        <w:gridCol w:w="2619.0376569037658"/>
        <w:gridCol w:w="2281.2552301255228"/>
        <w:tblGridChange w:id="0">
          <w:tblGrid>
            <w:gridCol w:w="2149.07949790795"/>
            <w:gridCol w:w="2310.627615062762"/>
            <w:gridCol w:w="2619.0376569037658"/>
            <w:gridCol w:w="2281.2552301255228"/>
          </w:tblGrid>
        </w:tblGridChange>
      </w:tblGrid>
      <w:tr>
        <w:trPr>
          <w:cantSplit w:val="0"/>
          <w:trHeight w:val="183.0000000000006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sz w:val="18"/>
                <w:szCs w:val="18"/>
              </w:rPr>
            </w:pPr>
            <w:r w:rsidDel="00000000" w:rsidR="00000000" w:rsidRPr="00000000">
              <w:rPr>
                <w:b w:val="1"/>
                <w:bCs w:val="1"/>
                <w:sz w:val="18"/>
                <w:szCs w:val="18"/>
                <w:rtl w:val="0"/>
              </w:rPr>
              <w:t xml:space="preserve">Business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sz w:val="18"/>
                <w:szCs w:val="18"/>
              </w:rPr>
            </w:pPr>
            <w:r w:rsidDel="00000000" w:rsidR="00000000" w:rsidRPr="00000000">
              <w:rPr>
                <w:b w:val="1"/>
                <w:bCs w:val="1"/>
                <w:sz w:val="18"/>
                <w:szCs w:val="18"/>
                <w:rtl w:val="0"/>
              </w:rPr>
              <w:t xml:space="preserve">Business 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sz w:val="18"/>
                <w:szCs w:val="18"/>
              </w:rPr>
            </w:pPr>
            <w:r w:rsidDel="00000000" w:rsidR="00000000" w:rsidRPr="00000000">
              <w:rPr>
                <w:b w:val="1"/>
                <w:bCs w:val="1"/>
                <w:sz w:val="18"/>
                <w:szCs w:val="18"/>
                <w:rtl w:val="0"/>
              </w:rPr>
              <w:t xml:space="preserve">Analytical 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sz w:val="18"/>
                <w:szCs w:val="18"/>
              </w:rPr>
            </w:pPr>
            <w:r w:rsidDel="00000000" w:rsidR="00000000" w:rsidRPr="00000000">
              <w:rPr>
                <w:b w:val="1"/>
                <w:bCs w:val="1"/>
                <w:sz w:val="18"/>
                <w:szCs w:val="18"/>
                <w:rtl w:val="0"/>
              </w:rPr>
              <w:t xml:space="preserve">KPI(s)</w:t>
            </w: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sz w:val="18"/>
                <w:szCs w:val="18"/>
              </w:rPr>
            </w:pPr>
            <w:r w:rsidDel="00000000" w:rsidR="00000000" w:rsidRPr="00000000">
              <w:rPr>
                <w:sz w:val="18"/>
                <w:szCs w:val="18"/>
                <w:rtl w:val="0"/>
              </w:rPr>
              <w:t xml:space="preserve">Financial data is inconsistent and fragmented across departments and reporting 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sz w:val="18"/>
                <w:szCs w:val="18"/>
              </w:rPr>
            </w:pPr>
            <w:r w:rsidDel="00000000" w:rsidR="00000000" w:rsidRPr="00000000">
              <w:rPr>
                <w:sz w:val="18"/>
                <w:szCs w:val="18"/>
                <w:rtl w:val="0"/>
              </w:rPr>
              <w:t xml:space="preserve">Establish a structured, validated, and centralized financial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sz w:val="18"/>
                <w:szCs w:val="18"/>
              </w:rPr>
            </w:pPr>
            <w:r w:rsidDel="00000000" w:rsidR="00000000" w:rsidRPr="00000000">
              <w:rPr>
                <w:sz w:val="18"/>
                <w:szCs w:val="18"/>
                <w:rtl w:val="0"/>
              </w:rPr>
              <w:t xml:space="preserve">How can NRG standardize and validate 100% of financial data from the electronics, home and kitchen, and furniture departments within three months?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sz w:val="18"/>
                <w:szCs w:val="18"/>
              </w:rPr>
            </w:pPr>
            <w:r w:rsidDel="00000000" w:rsidR="00000000" w:rsidRPr="00000000">
              <w:rPr>
                <w:sz w:val="18"/>
                <w:szCs w:val="18"/>
                <w:rtl w:val="0"/>
              </w:rPr>
              <w:t xml:space="preserve">Data Completeness %, Data Accuracy %, Data Error Rate, Validated Records %</w:t>
            </w:r>
          </w:p>
        </w:tc>
      </w:tr>
      <w:tr>
        <w:trPr>
          <w:cantSplit w:val="0"/>
          <w:trHeight w:val="512.999999999997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sz w:val="18"/>
                <w:szCs w:val="18"/>
              </w:rPr>
            </w:pPr>
            <w:r w:rsidDel="00000000" w:rsidR="00000000" w:rsidRPr="00000000">
              <w:rPr>
                <w:sz w:val="18"/>
                <w:szCs w:val="18"/>
                <w:rtl w:val="0"/>
              </w:rPr>
              <w:t xml:space="preserve">COGS and Operational Expenses are not classified consistently, reducing the reliability of P&amp;L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sz w:val="18"/>
                <w:szCs w:val="18"/>
              </w:rPr>
            </w:pPr>
            <w:r w:rsidDel="00000000" w:rsidR="00000000" w:rsidRPr="00000000">
              <w:rPr>
                <w:sz w:val="18"/>
                <w:szCs w:val="18"/>
                <w:rtl w:val="0"/>
              </w:rPr>
              <w:t xml:space="preserve">Improve the accuracy of cost classification and financial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sz w:val="18"/>
                <w:szCs w:val="18"/>
              </w:rPr>
            </w:pPr>
            <w:r w:rsidDel="00000000" w:rsidR="00000000" w:rsidRPr="00000000">
              <w:rPr>
                <w:sz w:val="18"/>
                <w:szCs w:val="18"/>
                <w:rtl w:val="0"/>
              </w:rPr>
              <w:t xml:space="preserve">Which classification rules and corrections are required to achieve at least 98% accuracy in separating COGS and Operational Expenses by the next quarterly reporting cycle?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sz w:val="18"/>
                <w:szCs w:val="18"/>
              </w:rPr>
            </w:pPr>
            <w:r w:rsidDel="00000000" w:rsidR="00000000" w:rsidRPr="00000000">
              <w:rPr>
                <w:sz w:val="18"/>
                <w:szCs w:val="18"/>
                <w:rtl w:val="0"/>
              </w:rPr>
              <w:t xml:space="preserve">Classification Accuracy %, COGS, Operational Expenses, Reclassification Error Rate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sz w:val="18"/>
                <w:szCs w:val="18"/>
              </w:rPr>
            </w:pPr>
            <w:r w:rsidDel="00000000" w:rsidR="00000000" w:rsidRPr="00000000">
              <w:rPr>
                <w:sz w:val="18"/>
                <w:szCs w:val="18"/>
                <w:rtl w:val="0"/>
              </w:rPr>
              <w:t xml:space="preserve">Limited visibility makes it difficult to identify the main drivers of departmental profitability.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sz w:val="18"/>
                <w:szCs w:val="18"/>
              </w:rPr>
            </w:pPr>
            <w:r w:rsidDel="00000000" w:rsidR="00000000" w:rsidRPr="00000000">
              <w:rPr>
                <w:sz w:val="18"/>
                <w:szCs w:val="18"/>
                <w:rtl w:val="0"/>
              </w:rPr>
              <w:t xml:space="preserve">Increase Operating Profit by identifying and prioritizing profitable departments, products, and cost improvements.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sz w:val="18"/>
                <w:szCs w:val="18"/>
              </w:rPr>
            </w:pPr>
            <w:r w:rsidDel="00000000" w:rsidR="00000000" w:rsidRPr="00000000">
              <w:rPr>
                <w:sz w:val="18"/>
                <w:szCs w:val="18"/>
                <w:rtl w:val="0"/>
              </w:rPr>
              <w:t xml:space="preserve">Which revenue, COGS, and operational-expense drivers should NRG prioritize to increase Operating Profit by 10% compared with the previous financial 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sz w:val="18"/>
                <w:szCs w:val="18"/>
              </w:rPr>
            </w:pPr>
            <w:r w:rsidDel="00000000" w:rsidR="00000000" w:rsidRPr="00000000">
              <w:rPr>
                <w:sz w:val="18"/>
                <w:szCs w:val="18"/>
                <w:rtl w:val="0"/>
              </w:rPr>
              <w:t xml:space="preserve">Operating Profit, Operating Margin %, Gross Profit, Gross Margin %, Revenue Growth %</w:t>
            </w:r>
          </w:p>
        </w:tc>
      </w:tr>
      <w:tr>
        <w:trPr>
          <w:cantSplit w:val="0"/>
          <w:trHeight w:val="176.9999999999993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sz w:val="18"/>
                <w:szCs w:val="18"/>
              </w:rPr>
            </w:pPr>
            <w:r w:rsidDel="00000000" w:rsidR="00000000" w:rsidRPr="00000000">
              <w:rPr>
                <w:sz w:val="18"/>
                <w:szCs w:val="18"/>
                <w:rtl w:val="0"/>
              </w:rPr>
              <w:t xml:space="preserve">Logistics and marketing expenses are difficult to monitor against their allocated budgets.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sz w:val="18"/>
                <w:szCs w:val="18"/>
              </w:rPr>
            </w:pPr>
            <w:r w:rsidDel="00000000" w:rsidR="00000000" w:rsidRPr="00000000">
              <w:rPr>
                <w:sz w:val="18"/>
                <w:szCs w:val="18"/>
                <w:rtl w:val="0"/>
              </w:rPr>
              <w:t xml:space="preserve">Strengthen cost control and reduce unfavorable budget variances.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sz w:val="18"/>
                <w:szCs w:val="18"/>
              </w:rPr>
            </w:pPr>
            <w:r w:rsidDel="00000000" w:rsidR="00000000" w:rsidRPr="00000000">
              <w:rPr>
                <w:sz w:val="18"/>
                <w:szCs w:val="18"/>
                <w:rtl w:val="0"/>
              </w:rPr>
              <w:t xml:space="preserve">Which logistics and marketing cost categories should NRG control to maintain monthly Budget vs. Actual variance within ±5% over the next 12 months?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sz w:val="18"/>
                <w:szCs w:val="18"/>
              </w:rPr>
            </w:pPr>
            <w:r w:rsidDel="00000000" w:rsidR="00000000" w:rsidRPr="00000000">
              <w:rPr>
                <w:sz w:val="18"/>
                <w:szCs w:val="18"/>
                <w:rtl w:val="0"/>
              </w:rPr>
              <w:t xml:space="preserve">Logistics Cost, Marketing Cost, Budget vs. Actual Variance, Cost-to-Revenue Ratio</w:t>
            </w:r>
          </w:p>
        </w:tc>
      </w:tr>
      <w:tr>
        <w:trPr>
          <w:cantSplit w:val="0"/>
          <w:trHeight w:val="471.0000000000013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sz w:val="18"/>
                <w:szCs w:val="18"/>
              </w:rPr>
            </w:pPr>
            <w:r w:rsidDel="00000000" w:rsidR="00000000" w:rsidRPr="00000000">
              <w:rPr>
                <w:sz w:val="18"/>
                <w:szCs w:val="18"/>
                <w:rtl w:val="0"/>
              </w:rPr>
              <w:t xml:space="preserve">Manual spreadsheet reconciliation causes reporting delays and increases the risk of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sz w:val="18"/>
                <w:szCs w:val="18"/>
              </w:rPr>
            </w:pPr>
            <w:r w:rsidDel="00000000" w:rsidR="00000000" w:rsidRPr="00000000">
              <w:rPr>
                <w:sz w:val="18"/>
                <w:szCs w:val="18"/>
                <w:rtl w:val="0"/>
              </w:rPr>
              <w:t xml:space="preserve">Automate financial reporting and accelerate management access to reliable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sz w:val="18"/>
                <w:szCs w:val="18"/>
              </w:rPr>
            </w:pPr>
            <w:r w:rsidDel="00000000" w:rsidR="00000000" w:rsidRPr="00000000">
              <w:rPr>
                <w:sz w:val="18"/>
                <w:szCs w:val="18"/>
                <w:rtl w:val="0"/>
              </w:rPr>
              <w:t xml:space="preserve">Which reporting activities should NRG automate to reduce reporting cycle time by 50% and manual reconciliation hours by 70% within six months?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sz w:val="18"/>
                <w:szCs w:val="18"/>
              </w:rPr>
            </w:pPr>
            <w:r w:rsidDel="00000000" w:rsidR="00000000" w:rsidRPr="00000000">
              <w:rPr>
                <w:sz w:val="18"/>
                <w:szCs w:val="18"/>
                <w:rtl w:val="0"/>
              </w:rPr>
              <w:t xml:space="preserve">Reporting Cycle Time, Manual Reconciliation Hours, Automation Rate %, On-Time Reporting %</w:t>
            </w:r>
          </w:p>
        </w:tc>
      </w:tr>
    </w:tbl>
    <w:p w:rsidR="00000000" w:rsidDel="00000000" w:rsidP="00000000" w:rsidRDefault="00000000" w:rsidRPr="00000000" w14:paraId="00000024">
      <w:pPr>
        <w:ind w:left="0" w:firstLine="0"/>
        <w:jc w:val="both"/>
        <w:rPr/>
      </w:pPr>
      <w:r w:rsidDel="00000000" w:rsidR="00000000" w:rsidRPr="00000000">
        <w:rPr>
          <w:rtl w:val="0"/>
        </w:rPr>
      </w:r>
    </w:p>
    <w:p w:rsidR="00000000" w:rsidDel="00000000" w:rsidP="00000000" w:rsidRDefault="00000000" w:rsidRPr="00000000" w14:paraId="00000025">
      <w:pPr>
        <w:pStyle w:val="Heading3"/>
        <w:rPr/>
      </w:pPr>
      <w:r w:rsidDel="00000000" w:rsidR="00000000" w:rsidRPr="00000000">
        <w:rPr>
          <w:rtl w:val="0"/>
        </w:rPr>
      </w:r>
    </w:p>
    <w:p w:rsidR="00000000" w:rsidDel="00000000" w:rsidP="00000000" w:rsidRDefault="00000000" w:rsidRPr="00000000" w14:paraId="0000002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Personnel Involved</w:t>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List</w:t>
      </w:r>
    </w:p>
    <w:p w:rsidR="00000000" w:rsidDel="00000000" w:rsidP="00000000" w:rsidRDefault="00000000" w:rsidRPr="00000000" w14:paraId="00000028">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Doe – Chief Financial Officer, Centerpiece on the company's overall financial health, the CFO requires high-level KPIs such as total revenue, gross margin, and net profit with clear trends over time. They are interested in understanding the 'why' behind changes and identifying which stores or departments are driving growth versus those requiring attention</w:t>
      </w:r>
    </w:p>
    <w:p w:rsidR="00000000" w:rsidDel="00000000" w:rsidP="00000000" w:rsidRDefault="00000000" w:rsidRPr="00000000" w14:paraId="00000029">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Hancock – Financial Controller, Primary concerned with the technical integrity and accuracy of the data. This role focuses on reconciliations, ensuring profit and loss statements balance, and verifying that account names and cost allocations are consistent across all departments. Their goal is to maintain a 'single version of the truth' that they can trust</w:t>
      </w:r>
    </w:p>
    <w:p w:rsidR="00000000" w:rsidDel="00000000" w:rsidP="00000000" w:rsidRDefault="00000000" w:rsidRPr="00000000" w14:paraId="0000002A">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Jack – Department Heads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Responsible for managing areas like sales, marketing, and logistics, these stakeholders require </w:t>
      </w:r>
      <w:r w:rsidDel="00000000" w:rsidR="00000000" w:rsidRPr="00000000">
        <w:rPr>
          <w:rtl w:val="0"/>
        </w:rPr>
        <w:t xml:space="preserve">actionable insights</w:t>
      </w:r>
      <w:r w:rsidDel="00000000" w:rsidR="00000000" w:rsidRPr="00000000">
        <w:rPr>
          <w:rFonts w:ascii="Times New Roman" w:cs="Times New Roman" w:eastAsia="Times New Roman" w:hAnsi="Times New Roman"/>
          <w:rtl w:val="0"/>
        </w:rPr>
        <w:t xml:space="preserve"> relevant to their specific operations. They need to understand how they are performing against their budgets, which products or stores are underperforming, and whether their costs are appropriately aligned with their sales volume</w:t>
      </w:r>
    </w:p>
    <w:p w:rsidR="00000000" w:rsidDel="00000000" w:rsidP="00000000" w:rsidRDefault="00000000" w:rsidRPr="00000000" w14:paraId="0000002B">
      <w:pPr>
        <w:pStyle w:val="Heading3"/>
        <w:rPr>
          <w:rFonts w:ascii="Times New Roman" w:cs="Times New Roman" w:eastAsia="Times New Roman" w:hAnsi="Times New Roman"/>
        </w:rPr>
      </w:pPr>
      <w:bookmarkStart w:colFirst="0" w:colLast="0" w:name="_heading=h.pl3dd0t35b2q" w:id="3"/>
      <w:bookmarkEnd w:id="3"/>
      <w:r w:rsidDel="00000000" w:rsidR="00000000" w:rsidRPr="00000000">
        <w:rPr>
          <w:rFonts w:ascii="Times New Roman" w:cs="Times New Roman" w:eastAsia="Times New Roman" w:hAnsi="Times New Roman"/>
          <w:rtl w:val="0"/>
        </w:rPr>
        <w:t xml:space="preserve">Expected Deliverable</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deliverables include a structured finance dataset, a P&amp;L report, a balance sheet overview, an operational performance dashboard, and an advanced analytics layer</w:t>
      </w:r>
    </w:p>
    <w:p w:rsidR="00000000" w:rsidDel="00000000" w:rsidP="00000000" w:rsidRDefault="00000000" w:rsidRPr="00000000" w14:paraId="0000002D">
      <w:pPr>
        <w:pStyle w:val="Heading3"/>
        <w:rPr>
          <w:rFonts w:ascii="Times New Roman" w:cs="Times New Roman" w:eastAsia="Times New Roman" w:hAnsi="Times New Roman"/>
        </w:rPr>
      </w:pPr>
      <w:bookmarkStart w:colFirst="0" w:colLast="0" w:name="_heading=h.dcqc62p4mbmc" w:id="4"/>
      <w:bookmarkEnd w:id="4"/>
      <w:r w:rsidDel="00000000" w:rsidR="00000000" w:rsidRPr="00000000">
        <w:rPr>
          <w:rFonts w:ascii="Times New Roman" w:cs="Times New Roman" w:eastAsia="Times New Roman" w:hAnsi="Times New Roman"/>
          <w:rtl w:val="0"/>
        </w:rPr>
        <w:t xml:space="preserve">Timeline &amp; Milestone</w:t>
      </w:r>
    </w:p>
    <w:p w:rsidR="00000000" w:rsidDel="00000000" w:rsidP="00000000" w:rsidRDefault="00000000" w:rsidRPr="00000000" w14:paraId="0000002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Preparation &amp; Understanding</w:t>
      </w:r>
    </w:p>
    <w:p w:rsidR="00000000" w:rsidDel="00000000" w:rsidP="00000000" w:rsidRDefault="00000000" w:rsidRPr="00000000" w14:paraId="0000002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and validate dataset (P&amp;L, accounts, transactions)</w:t>
      </w:r>
    </w:p>
    <w:p w:rsidR="00000000" w:rsidDel="00000000" w:rsidP="00000000" w:rsidRDefault="00000000" w:rsidRPr="00000000" w14:paraId="0000003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business objectives, analytical questions, and KPI framework</w:t>
      </w:r>
    </w:p>
    <w:p w:rsidR="00000000" w:rsidDel="00000000" w:rsidP="00000000" w:rsidRDefault="00000000" w:rsidRPr="00000000" w14:paraId="0000003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Progress: Data ready for analysis + KPI structure finalized</w:t>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&amp; Dashboard Development</w:t>
        <w:br w:type="textWrapping"/>
        <w:t xml:space="preserve">Perform profitability, operational, and scenario analysis </w:t>
      </w:r>
    </w:p>
    <w:p w:rsidR="00000000" w:rsidDel="00000000" w:rsidP="00000000" w:rsidRDefault="00000000" w:rsidRPr="00000000" w14:paraId="0000003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visualizations (Profitability, Operation, Scenario layers) </w:t>
      </w:r>
    </w:p>
    <w:p w:rsidR="00000000" w:rsidDel="00000000" w:rsidP="00000000" w:rsidRDefault="00000000" w:rsidRPr="00000000" w14:paraId="00000034">
      <w:pPr>
        <w:ind w:left="720" w:firstLine="0"/>
        <w:rPr/>
      </w:pPr>
      <w:r w:rsidDel="00000000" w:rsidR="00000000" w:rsidRPr="00000000">
        <w:rPr>
          <w:rFonts w:ascii="Times New Roman" w:cs="Times New Roman" w:eastAsia="Times New Roman" w:hAnsi="Times New Roman"/>
          <w:rtl w:val="0"/>
        </w:rPr>
        <w:t xml:space="preserve">Expected Progress: </w:t>
      </w:r>
      <w:r w:rsidDel="00000000" w:rsidR="00000000" w:rsidRPr="00000000">
        <w:rPr>
          <w:rtl w:val="0"/>
        </w:rPr>
        <w:t xml:space="preserve">Core insights identified + dashboard completed </w:t>
      </w:r>
    </w:p>
    <w:p w:rsidR="00000000" w:rsidDel="00000000" w:rsidP="00000000" w:rsidRDefault="00000000" w:rsidRPr="00000000" w14:paraId="0000003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Insight Generation &amp; Presentation</w:t>
      </w:r>
    </w:p>
    <w:p w:rsidR="00000000" w:rsidDel="00000000" w:rsidP="00000000" w:rsidRDefault="00000000" w:rsidRPr="00000000" w14:paraId="0000003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key findings, conclusions, and recommendations </w:t>
      </w:r>
    </w:p>
    <w:p w:rsidR="00000000" w:rsidDel="00000000" w:rsidP="00000000" w:rsidRDefault="00000000" w:rsidRPr="00000000" w14:paraId="0000003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presentation slides (storytelling + business impact) </w:t>
      </w:r>
    </w:p>
    <w:p w:rsidR="00000000" w:rsidDel="00000000" w:rsidP="00000000" w:rsidRDefault="00000000" w:rsidRPr="00000000" w14:paraId="0000003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Progress: Final report and presentation ready for stakeholders </w:t>
      </w:r>
    </w:p>
    <w:p w:rsidR="00000000" w:rsidDel="00000000" w:rsidP="00000000" w:rsidRDefault="00000000" w:rsidRPr="00000000" w14:paraId="00000039">
      <w:pPr>
        <w:pStyle w:val="Heading3"/>
        <w:rPr>
          <w:rFonts w:ascii="Times New Roman" w:cs="Times New Roman" w:eastAsia="Times New Roman" w:hAnsi="Times New Roman"/>
        </w:rPr>
      </w:pPr>
      <w:bookmarkStart w:colFirst="0" w:colLast="0" w:name="_heading=h.3ygxpbs96k78" w:id="5"/>
      <w:bookmarkEnd w:id="5"/>
      <w:r w:rsidDel="00000000" w:rsidR="00000000" w:rsidRPr="00000000">
        <w:rPr>
          <w:rFonts w:ascii="Times New Roman" w:cs="Times New Roman" w:eastAsia="Times New Roman" w:hAnsi="Times New Roman"/>
          <w:rtl w:val="0"/>
        </w:rPr>
        <w:t xml:space="preserve">Communication Plan</w:t>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1 Start of project</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Kick-off Meeting</w:t>
      </w:r>
      <w:r w:rsidDel="00000000" w:rsidR="00000000" w:rsidRPr="00000000">
        <w:rPr>
          <w:rFonts w:ascii="Times New Roman" w:cs="Times New Roman" w:eastAsia="Times New Roman" w:hAnsi="Times New Roman"/>
          <w:rtl w:val="0"/>
        </w:rPr>
        <w:t xml:space="preserve"> </w:t>
        <w:br w:type="textWrapping"/>
        <w:t xml:space="preserve">Purpose: Align on objectives, scope, KPIs, and expectations </w:t>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Daily Check-in / Progress Sync</w:t>
      </w:r>
      <w:r w:rsidDel="00000000" w:rsidR="00000000" w:rsidRPr="00000000">
        <w:rPr>
          <w:rFonts w:ascii="Times New Roman" w:cs="Times New Roman" w:eastAsia="Times New Roman" w:hAnsi="Times New Roman"/>
          <w:rtl w:val="0"/>
        </w:rPr>
        <w:t xml:space="preserve"> </w:t>
        <w:br w:type="textWrapping"/>
        <w:t xml:space="preserve">Purpose: Share progress updates, highlight blockers, and adjust priorities </w:t>
      </w:r>
      <w:r w:rsidDel="00000000" w:rsidR="00000000" w:rsidRPr="00000000">
        <w:rPr>
          <w:rFonts w:ascii="Times New Roman" w:cs="Times New Roman" w:eastAsia="Times New Roman" w:hAnsi="Times New Roman"/>
          <w:b w:val="1"/>
          <w:bCs w:val="1"/>
          <w:rtl w:val="0"/>
        </w:rPr>
        <w:t xml:space="preserve">Daily (Day 1 &amp; Day 2)</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Chat Channel (Slack / WhatsApp)</w:t>
      </w:r>
      <w:r w:rsidDel="00000000" w:rsidR="00000000" w:rsidRPr="00000000">
        <w:rPr>
          <w:rFonts w:ascii="Times New Roman" w:cs="Times New Roman" w:eastAsia="Times New Roman" w:hAnsi="Times New Roman"/>
          <w:rtl w:val="0"/>
        </w:rPr>
        <w:t xml:space="preserve"> </w:t>
        <w:br w:type="textWrapping"/>
        <w:t xml:space="preserve">Purpose: Real-time communication and quick issue resolution </w:t>
      </w:r>
      <w:r w:rsidDel="00000000" w:rsidR="00000000" w:rsidRPr="00000000">
        <w:rPr>
          <w:rFonts w:ascii="Times New Roman" w:cs="Times New Roman" w:eastAsia="Times New Roman" w:hAnsi="Times New Roman"/>
          <w:b w:val="1"/>
          <w:bCs w:val="1"/>
          <w:rtl w:val="0"/>
        </w:rPr>
        <w:t xml:space="preserve">Ongoing (throughout project)</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Interim Update (Quick Review)</w:t>
      </w:r>
      <w:r w:rsidDel="00000000" w:rsidR="00000000" w:rsidRPr="00000000">
        <w:rPr>
          <w:rFonts w:ascii="Times New Roman" w:cs="Times New Roman" w:eastAsia="Times New Roman" w:hAnsi="Times New Roman"/>
          <w:rtl w:val="0"/>
        </w:rPr>
        <w:t xml:space="preserve"> </w:t>
        <w:br w:type="textWrapping"/>
        <w:t xml:space="preserve">Purpose: Share early findings and validate direction with stakeholders </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 of Day 1</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Day 2 Final Presentation Meeting</w:t>
      </w:r>
      <w:r w:rsidDel="00000000" w:rsidR="00000000" w:rsidRPr="00000000">
        <w:rPr>
          <w:rFonts w:ascii="Times New Roman" w:cs="Times New Roman" w:eastAsia="Times New Roman" w:hAnsi="Times New Roman"/>
          <w:rtl w:val="0"/>
        </w:rPr>
        <w:t xml:space="preserve"> </w:t>
        <w:br w:type="textWrapping"/>
        <w:t xml:space="preserve">Purpose: Present insights, conclusions, and recommendations </w:t>
      </w:r>
      <w:r w:rsidDel="00000000" w:rsidR="00000000" w:rsidRPr="00000000">
        <w:rPr>
          <w:rFonts w:ascii="Times New Roman" w:cs="Times New Roman" w:eastAsia="Times New Roman" w:hAnsi="Times New Roman"/>
          <w:b w:val="1"/>
          <w:bCs w:val="1"/>
          <w:rtl w:val="0"/>
        </w:rPr>
        <w:t xml:space="preserve">Day 2 (End of project)</w:t>
      </w:r>
      <w:r w:rsidDel="00000000" w:rsidR="00000000" w:rsidRPr="00000000">
        <w:rPr>
          <w:rtl w:val="0"/>
        </w:rPr>
      </w:r>
    </w:p>
    <w:p w:rsidR="00000000" w:rsidDel="00000000" w:rsidP="00000000" w:rsidRDefault="00000000" w:rsidRPr="00000000" w14:paraId="00000045">
      <w:pPr>
        <w:pStyle w:val="Heading3"/>
        <w:rPr>
          <w:rFonts w:ascii="Times New Roman" w:cs="Times New Roman" w:eastAsia="Times New Roman" w:hAnsi="Times New Roman"/>
        </w:rPr>
      </w:pPr>
      <w:bookmarkStart w:colFirst="0" w:colLast="0" w:name="_heading=h.cgq6d5gn811k" w:id="6"/>
      <w:bookmarkEnd w:id="6"/>
      <w:r w:rsidDel="00000000" w:rsidR="00000000" w:rsidRPr="00000000">
        <w:rPr>
          <w:rFonts w:ascii="Times New Roman" w:cs="Times New Roman" w:eastAsia="Times New Roman" w:hAnsi="Times New Roman"/>
          <w:rtl w:val="0"/>
        </w:rPr>
        <w:t xml:space="preserve">Further Resource &amp; Reference</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 Standardization</w:t>
      </w:r>
    </w:p>
    <w:tbl>
      <w:tblPr>
        <w:tblStyle w:val="Table2"/>
        <w:tblW w:w="9360.0" w:type="dxa"/>
        <w:jc w:val="left"/>
        <w:tblLayout w:type="fixed"/>
        <w:tblLook w:val="04A0"/>
      </w:tblPr>
      <w:tblGrid>
        <w:gridCol w:w="1800"/>
        <w:gridCol w:w="7560"/>
        <w:tblGridChange w:id="0">
          <w:tblGrid>
            <w:gridCol w:w="1800"/>
            <w:gridCol w:w="7560"/>
          </w:tblGrid>
        </w:tblGridChange>
      </w:tblGrid>
      <w:tr>
        <w:trPr>
          <w:cantSplit w:val="0"/>
          <w:tblHeader w:val="0"/>
        </w:trPr>
        <w:tc>
          <w:tcPr/>
          <w:p w:rsidR="00000000" w:rsidDel="00000000" w:rsidP="00000000" w:rsidRDefault="00000000" w:rsidRPr="00000000" w14:paraId="00000047">
            <w:pPr>
              <w:spacing w:line="276"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Metric</w:t>
            </w:r>
          </w:p>
        </w:tc>
        <w:tc>
          <w:tcPr/>
          <w:p w:rsidR="00000000" w:rsidDel="00000000" w:rsidP="00000000" w:rsidRDefault="00000000" w:rsidRPr="00000000" w14:paraId="00000048">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Definition</w:t>
            </w:r>
          </w:p>
        </w:tc>
      </w:tr>
      <w:tr>
        <w:trPr>
          <w:cantSplit w:val="0"/>
          <w:tblHeader w:val="0"/>
        </w:trPr>
        <w:tc>
          <w:tcPr/>
          <w:p w:rsidR="00000000" w:rsidDel="00000000" w:rsidP="00000000" w:rsidRDefault="00000000" w:rsidRPr="00000000" w14:paraId="0000004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Revenue</w:t>
            </w:r>
          </w:p>
        </w:tc>
        <w:tc>
          <w:tcPr/>
          <w:p w:rsidR="00000000" w:rsidDel="00000000" w:rsidP="00000000" w:rsidRDefault="00000000" w:rsidRPr="00000000" w14:paraId="0000004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amount across all accounts</w:t>
            </w:r>
          </w:p>
        </w:tc>
      </w:tr>
      <w:tr>
        <w:trPr>
          <w:cantSplit w:val="0"/>
          <w:tblHeader w:val="0"/>
        </w:trPr>
        <w:tc>
          <w:tcPr/>
          <w:p w:rsidR="00000000" w:rsidDel="00000000" w:rsidP="00000000" w:rsidRDefault="00000000" w:rsidRPr="00000000" w14:paraId="0000004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COGS</w:t>
            </w:r>
          </w:p>
        </w:tc>
        <w:tc>
          <w:tcPr/>
          <w:p w:rsidR="00000000" w:rsidDel="00000000" w:rsidP="00000000" w:rsidRDefault="00000000" w:rsidRPr="00000000" w14:paraId="0000004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 cost of goods sold</w:t>
            </w:r>
          </w:p>
        </w:tc>
      </w:tr>
      <w:tr>
        <w:trPr>
          <w:cantSplit w:val="0"/>
          <w:tblHeader w:val="0"/>
        </w:trPr>
        <w:tc>
          <w:tcPr/>
          <w:p w:rsidR="00000000" w:rsidDel="00000000" w:rsidP="00000000" w:rsidRDefault="00000000" w:rsidRPr="00000000" w14:paraId="0000004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Operating Expenses</w:t>
            </w:r>
          </w:p>
        </w:tc>
        <w:tc>
          <w:tcPr/>
          <w:p w:rsidR="00000000" w:rsidDel="00000000" w:rsidP="00000000" w:rsidRDefault="00000000" w:rsidRPr="00000000" w14:paraId="0000004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indirect costs (marketing, rent, and salaries)</w:t>
            </w:r>
          </w:p>
        </w:tc>
      </w:tr>
      <w:tr>
        <w:trPr>
          <w:cantSplit w:val="0"/>
          <w:tblHeader w:val="0"/>
        </w:trPr>
        <w:tc>
          <w:tcPr/>
          <w:p w:rsidR="00000000" w:rsidDel="00000000" w:rsidP="00000000" w:rsidRDefault="00000000" w:rsidRPr="00000000" w14:paraId="0000004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Gross Profit</w:t>
            </w:r>
          </w:p>
        </w:tc>
        <w:tc>
          <w:tcPr/>
          <w:p w:rsidR="00000000" w:rsidDel="00000000" w:rsidP="00000000" w:rsidRDefault="00000000" w:rsidRPr="00000000" w14:paraId="0000005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Revenue after direct costs</w:t>
            </w:r>
          </w:p>
        </w:tc>
      </w:tr>
      <w:tr>
        <w:trPr>
          <w:cantSplit w:val="0"/>
          <w:tblHeader w:val="0"/>
        </w:trPr>
        <w:tc>
          <w:tcPr/>
          <w:p w:rsidR="00000000" w:rsidDel="00000000" w:rsidP="00000000" w:rsidRDefault="00000000" w:rsidRPr="00000000" w14:paraId="0000005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 Profit</w:t>
            </w:r>
          </w:p>
        </w:tc>
        <w:tc>
          <w:tcPr/>
          <w:p w:rsidR="00000000" w:rsidDel="00000000" w:rsidP="00000000" w:rsidRDefault="00000000" w:rsidRPr="00000000" w14:paraId="0000005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 profit after all expenses</w:t>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Financial Items</w:t>
            </w:r>
          </w:p>
        </w:tc>
        <w:tc>
          <w:tcPr/>
          <w:p w:rsidR="00000000" w:rsidDel="00000000" w:rsidP="00000000" w:rsidRDefault="00000000" w:rsidRPr="00000000" w14:paraId="0000005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Cost of finance (debit, interest)</w:t>
            </w:r>
          </w:p>
        </w:tc>
      </w:tr>
    </w:tbl>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b7b7b7"/>
        <w:sz w:val="22"/>
        <w:szCs w:val="22"/>
        <w:u w:val="none"/>
        <w:shd w:fill="auto" w:val="clear"/>
        <w:vertAlign w:val="baseline"/>
        <w:rtl w:val="0"/>
      </w:rPr>
      <w:t xml:space="preserve">Nordic Retail Group (NRG)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7F09E5"/>
    <w:pPr>
      <w:tabs>
        <w:tab w:val="center" w:pos="4680"/>
        <w:tab w:val="right" w:pos="9360"/>
      </w:tabs>
      <w:spacing w:line="240" w:lineRule="auto"/>
    </w:pPr>
  </w:style>
  <w:style w:type="character" w:styleId="HeaderChar" w:customStyle="1">
    <w:name w:val="Header Char"/>
    <w:basedOn w:val="DefaultParagraphFont"/>
    <w:link w:val="Header"/>
    <w:uiPriority w:val="99"/>
    <w:rsid w:val="007F09E5"/>
  </w:style>
  <w:style w:type="paragraph" w:styleId="Footer">
    <w:name w:val="footer"/>
    <w:basedOn w:val="Normal"/>
    <w:link w:val="FooterChar"/>
    <w:uiPriority w:val="99"/>
    <w:unhideWhenUsed w:val="1"/>
    <w:rsid w:val="007F09E5"/>
    <w:pPr>
      <w:tabs>
        <w:tab w:val="center" w:pos="4680"/>
        <w:tab w:val="right" w:pos="9360"/>
      </w:tabs>
      <w:spacing w:line="240" w:lineRule="auto"/>
    </w:pPr>
  </w:style>
  <w:style w:type="character" w:styleId="FooterChar" w:customStyle="1">
    <w:name w:val="Footer Char"/>
    <w:basedOn w:val="DefaultParagraphFont"/>
    <w:link w:val="Footer"/>
    <w:uiPriority w:val="99"/>
    <w:rsid w:val="007F09E5"/>
  </w:style>
  <w:style w:type="table" w:styleId="TableGrid">
    <w:name w:val="Table Grid"/>
    <w:basedOn w:val="TableNormal"/>
    <w:uiPriority w:val="39"/>
    <w:rsid w:val="007554D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99"/>
    <w:rsid w:val="00D0579F"/>
    <w:pPr>
      <w:spacing w:line="240" w:lineRule="auto"/>
    </w:pPr>
    <w:rPr>
      <w:rFonts w:asciiTheme="minorHAnsi" w:cstheme="minorBidi" w:eastAsiaTheme="minorEastAsia" w:hAnsiTheme="minorHAnsi"/>
      <w:lang w:val="en-US"/>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5">
    <w:name w:val="Plain Table 5"/>
    <w:basedOn w:val="TableNormal"/>
    <w:uiPriority w:val="45"/>
    <w:rsid w:val="00F335D5"/>
    <w:pPr>
      <w:spacing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GridTable1Light">
    <w:name w:val="Grid Table 1 Light"/>
    <w:basedOn w:val="TableNormal"/>
    <w:uiPriority w:val="46"/>
    <w:rsid w:val="00F335D5"/>
    <w:pPr>
      <w:spacing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PlainTable2">
    <w:name w:val="Plain Table 2"/>
    <w:basedOn w:val="TableNormal"/>
    <w:uiPriority w:val="42"/>
    <w:rsid w:val="00994B9C"/>
    <w:pPr>
      <w:spacing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PlainTable3">
    <w:name w:val="Plain Table 3"/>
    <w:basedOn w:val="TableNormal"/>
    <w:uiPriority w:val="43"/>
    <w:rsid w:val="00994B9C"/>
    <w:pPr>
      <w:spacing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4">
    <w:name w:val="Plain Table 4"/>
    <w:basedOn w:val="TableNormal"/>
    <w:uiPriority w:val="44"/>
    <w:rsid w:val="00787952"/>
    <w:pPr>
      <w:spacing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iCs w:val="1"/>
        <w:sz w:val="26"/>
        <w:szCs w:val="26"/>
      </w:rPr>
      <w:tcPr>
        <w:tcBorders>
          <w:right w:color="7f7f7f" w:space="0" w:sz="4" w:val="single"/>
        </w:tcBorders>
        <w:shd w:fill="ffffff" w:val="clear"/>
      </w:tcPr>
    </w:tblStylePr>
    <w:tblStylePr w:type="firstRow">
      <w:rPr>
        <w:rFonts w:ascii="Calibri" w:cs="Calibri" w:eastAsia="Calibri" w:hAnsi="Calibri"/>
        <w:i w:val="1"/>
        <w:iCs w:val="1"/>
        <w:sz w:val="26"/>
        <w:szCs w:val="26"/>
      </w:rPr>
      <w:tcPr>
        <w:tcBorders>
          <w:bottom w:color="7f7f7f" w:space="0" w:sz="4" w:val="single"/>
        </w:tcBorders>
        <w:shd w:fill="ffffff" w:val="clear"/>
      </w:tcPr>
    </w:tblStylePr>
    <w:tblStylePr w:type="lastCol">
      <w:rPr>
        <w:rFonts w:ascii="Calibri" w:cs="Calibri" w:eastAsia="Calibri" w:hAnsi="Calibri"/>
        <w:i w:val="1"/>
        <w:iCs w:val="1"/>
        <w:sz w:val="26"/>
        <w:szCs w:val="26"/>
      </w:rPr>
      <w:tcPr>
        <w:tcBorders>
          <w:left w:color="7f7f7f" w:space="0" w:sz="4" w:val="single"/>
        </w:tcBorders>
        <w:shd w:fill="ffffff" w:val="clear"/>
      </w:tcPr>
    </w:tblStylePr>
    <w:tblStylePr w:type="lastRow">
      <w:rPr>
        <w:rFonts w:ascii="Calibri" w:cs="Calibri" w:eastAsia="Calibri" w:hAnsi="Calibri"/>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iEDp6Or9S6HWUqMTiUYEJyPoA==">CgMxLjAyDmguYnRyM3Bvd3dsNHVnMg5oLnY4NHpibG9ra3YyYjIOaC5td3c1c283ZzdhYmUyDmgucGwzZGQwdDM1YjJxMg5oLmRjcWM2MnA0bWJtYzIOaC4zeWd4cGJzOTZrNzgyDmguY2dxNmQ1Z244MTFrOAByITFjZ0JxRVJCOGFqZVpYckZxUXJlYW5scE9pQlhPdi1oXw==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2026-04-02T07:52:00Z</dcterms:created>
</cp:coreProperties>
</file>