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</w:t>
      </w:r>
      <w:r>
        <w:t xml:space="preserve"> Descriptor schema: information requirements derived in Study 1, the descriptors computed for each, the method used, and the data status of the resulting entry.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bottom w:val="single" w:sz="6" w:color="000000"/>
          <w:left w:val="none" w:sz="0"/>
          <w:right w:val="none" w:sz="0"/>
          <w:insideV w:val="none" w:sz="0"/>
          <w:insideH w:val="none" w:sz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6" w:color="000000"/>
            </w:tcBorders>
          </w:tcPr>
          <w:p>
            <w:r>
              <w:rPr>
                <w:b/>
              </w:rPr>
              <w:t>Requirement (Study 1)</w:t>
            </w:r>
          </w:p>
        </w:tc>
        <w:tc>
          <w:tcPr>
            <w:tcW w:type="dxa" w:w="2160"/>
            <w:tcBorders>
              <w:bottom w:val="single" w:sz="6" w:color="000000"/>
            </w:tcBorders>
          </w:tcPr>
          <w:p>
            <w:r>
              <w:rPr>
                <w:b/>
              </w:rPr>
              <w:t>Descriptor</w:t>
            </w:r>
          </w:p>
        </w:tc>
        <w:tc>
          <w:tcPr>
            <w:tcW w:type="dxa" w:w="2160"/>
            <w:tcBorders>
              <w:bottom w:val="single" w:sz="6" w:color="000000"/>
            </w:tcBorders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  <w:tcBorders>
              <w:bottom w:val="single" w:sz="6" w:color="000000"/>
            </w:tcBorders>
          </w:tcPr>
          <w:p>
            <w:r>
              <w:rPr>
                <w:b/>
              </w:rPr>
              <w:t>Data status</w:t>
            </w:r>
          </w:p>
        </w:tc>
      </w:tr>
      <w:tr>
        <w:tc>
          <w:tcPr>
            <w:tcW w:type="dxa" w:w="2160"/>
          </w:tcPr>
          <w:p>
            <w:r>
              <w:t>Volume, mass, centre of mass</w:t>
            </w:r>
          </w:p>
        </w:tc>
        <w:tc>
          <w:tcPr>
            <w:tcW w:type="dxa" w:w="2160"/>
          </w:tcPr>
          <w:p>
            <w:r>
              <w:t>obb_dims, volume, convexity, mass_est</w:t>
            </w:r>
          </w:p>
        </w:tc>
        <w:tc>
          <w:tcPr>
            <w:tcW w:type="dxa" w:w="2160"/>
          </w:tcPr>
          <w:p>
            <w:r>
              <w:t>PCA on vertices; mesh volume with hull fallback; density assumption</w:t>
            </w:r>
          </w:p>
        </w:tc>
        <w:tc>
          <w:tcPr>
            <w:tcW w:type="dxa" w:w="2160"/>
          </w:tcPr>
          <w:p>
            <w:r>
              <w:t>computed / provisional</w:t>
            </w:r>
          </w:p>
        </w:tc>
      </w:tr>
      <w:tr>
        <w:tc>
          <w:tcPr>
            <w:tcW w:type="dxa" w:w="2160"/>
          </w:tcPr>
          <w:p>
            <w:r>
              <w:t>Planar surfaces, contact geometry</w:t>
            </w:r>
          </w:p>
        </w:tc>
        <w:tc>
          <w:tcPr>
            <w:tcW w:type="dxa" w:w="2160"/>
          </w:tcPr>
          <w:p>
            <w:r>
              <w:t>area, fit_rms, normal_xyz, scan_reliable</w:t>
            </w:r>
          </w:p>
        </w:tc>
        <w:tc>
          <w:tcPr>
            <w:tcW w:type="dxa" w:w="2160"/>
          </w:tcPr>
          <w:p>
            <w:r>
              <w:t>RANSAC plane segmentation; comparison with unscanned-face normal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</w:tr>
      <w:tr>
        <w:tc>
          <w:tcPr>
            <w:tcW w:type="dxa" w:w="2160"/>
          </w:tcPr>
          <w:p>
            <w:r>
              <w:t>Surface roughness, aggregate size</w:t>
            </w:r>
          </w:p>
        </w:tc>
        <w:tc>
          <w:tcPr>
            <w:tcW w:type="dxa" w:w="2160"/>
          </w:tcPr>
          <w:p>
            <w:r>
              <w:t>roughness_fine, roughness_coarse, curvature_stats</w:t>
            </w:r>
          </w:p>
        </w:tc>
        <w:tc>
          <w:tcPr>
            <w:tcW w:type="dxa" w:w="2160"/>
          </w:tcPr>
          <w:p>
            <w:r>
              <w:t>RMS deviation from region plane; discrete per-vertex curvature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</w:tr>
      <w:tr>
        <w:tc>
          <w:tcPr>
            <w:tcW w:type="dxa" w:w="2160"/>
          </w:tcPr>
          <w:p>
            <w:r>
              <w:t>Colour</w:t>
            </w:r>
          </w:p>
        </w:tc>
        <w:tc>
          <w:tcPr>
            <w:tcW w:type="dxa" w:w="2160"/>
          </w:tcPr>
          <w:p>
            <w:r>
              <w:t>colour_entropy</w:t>
            </w:r>
          </w:p>
        </w:tc>
        <w:tc>
          <w:tcPr>
            <w:tcW w:type="dxa" w:w="2160"/>
          </w:tcPr>
          <w:p>
            <w:r>
              <w:t>Shannon entropy of texture crop per region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</w:tr>
      <w:tr>
        <w:tc>
          <w:tcPr>
            <w:tcW w:type="dxa" w:w="2160"/>
          </w:tcPr>
          <w:p>
            <w:r>
              <w:t>Categorised surface features</w:t>
            </w:r>
          </w:p>
        </w:tc>
        <w:tc>
          <w:tcPr>
            <w:tcW w:type="dxa" w:w="2160"/>
          </w:tcPr>
          <w:p>
            <w:r>
              <w:t>texture_class (seven-class taxonomy)</w:t>
            </w:r>
          </w:p>
        </w:tc>
        <w:tc>
          <w:tcPr>
            <w:tcW w:type="dxa" w:w="2160"/>
          </w:tcPr>
          <w:p>
            <w:r>
              <w:t>Vision-language model per surface region, multi-run majority voting</w:t>
            </w:r>
          </w:p>
        </w:tc>
        <w:tc>
          <w:tcPr>
            <w:tcW w:type="dxa" w:w="2160"/>
          </w:tcPr>
          <w:p>
            <w:r>
              <w:t>AI-annotated</w:t>
            </w:r>
          </w:p>
        </w:tc>
      </w:tr>
      <w:tr>
        <w:tc>
          <w:tcPr>
            <w:tcW w:type="dxa" w:w="2160"/>
          </w:tcPr>
          <w:p>
            <w:r>
              <w:t>Machinery per mass class</w:t>
            </w:r>
          </w:p>
        </w:tc>
        <w:tc>
          <w:tcPr>
            <w:tcW w:type="dxa" w:w="2160"/>
          </w:tcPr>
          <w:p>
            <w:r>
              <w:t>handling_class</w:t>
            </w:r>
          </w:p>
        </w:tc>
        <w:tc>
          <w:tcPr>
            <w:tcW w:type="dxa" w:w="2160"/>
          </w:tcPr>
          <w:p>
            <w:r>
              <w:t>Rule from mass and bounding dimensions</w:t>
            </w:r>
          </w:p>
        </w:tc>
        <w:tc>
          <w:tcPr>
            <w:tcW w:type="dxa" w:w="2160"/>
          </w:tcPr>
          <w:p>
            <w:r>
              <w:t>proposed</w:t>
            </w:r>
          </w:p>
        </w:tc>
      </w:tr>
      <w:tr>
        <w:tc>
          <w:tcPr>
            <w:tcW w:type="dxa" w:w="2160"/>
          </w:tcPr>
          <w:p>
            <w:r>
              <w:t>Connection feasibility per face</w:t>
            </w:r>
          </w:p>
        </w:tc>
        <w:tc>
          <w:tcPr>
            <w:tcW w:type="dxa" w:w="2160"/>
          </w:tcPr>
          <w:p>
            <w:r>
              <w:t>connection_strategy</w:t>
            </w:r>
          </w:p>
        </w:tc>
        <w:tc>
          <w:tcPr>
            <w:tcW w:type="dxa" w:w="2160"/>
          </w:tcPr>
          <w:p>
            <w:r>
              <w:t>Rule from planarity and surface condition</w:t>
            </w:r>
          </w:p>
        </w:tc>
        <w:tc>
          <w:tcPr>
            <w:tcW w:type="dxa" w:w="2160"/>
          </w:tcPr>
          <w:p>
            <w:r>
              <w:t>proposed</w:t>
            </w:r>
          </w:p>
        </w:tc>
      </w:tr>
      <w:tr>
        <w:tc>
          <w:tcPr>
            <w:tcW w:type="dxa" w:w="2160"/>
          </w:tcPr>
          <w:p>
            <w:r>
              <w:t>Concrete class, reinforcement</w:t>
            </w:r>
          </w:p>
        </w:tc>
        <w:tc>
          <w:tcPr>
            <w:tcW w:type="dxa" w:w="2160"/>
          </w:tcPr>
          <w:p>
            <w:r>
              <w:t>(not scan-derivable)</w:t>
            </w:r>
          </w:p>
        </w:tc>
        <w:tc>
          <w:tcPr>
            <w:tcW w:type="dxa" w:w="2160"/>
          </w:tcPr>
          <w:p>
            <w:r>
              <w:t>Placeholder pending measurement or source-element inference</w:t>
            </w:r>
          </w:p>
        </w:tc>
        <w:tc>
          <w:tcPr>
            <w:tcW w:type="dxa" w:w="2160"/>
          </w:tcPr>
          <w:p>
            <w:r>
              <w:t>unvalidated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