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Telecom Customer Churn Analysis</w:t>
      </w:r>
    </w:p>
    <w:p>
      <w:pPr>
        <w:jc w:val="center"/>
      </w:pPr>
      <w:r>
        <w:rPr>
          <w:b/>
          <w:sz w:val="24"/>
        </w:rPr>
        <w:t>Checkpoint 2: Exploratory Data Analysis (EDA) – Learning &amp; Process Documentation</w:t>
      </w:r>
    </w:p>
    <w:p>
      <w:pPr>
        <w:jc w:val="center"/>
      </w:pPr>
      <w:r>
        <w:rPr>
          <w:i/>
        </w:rPr>
        <w:t>Scope: Work completed after Checkpoint 1 through Age Group analysis</w:t>
      </w:r>
    </w:p>
    <w:p>
      <w:pPr>
        <w:pStyle w:val="Heading1"/>
      </w:pPr>
      <w:r>
        <w:t>1. Purpose of Checkpoint 2</w:t>
      </w:r>
    </w:p>
    <w:p>
      <w:r>
        <w:t>This checkpoint records the second coherent stage of the project: exploratory analysis of churn patterns, relationships among behavioural variables, and early business interpretation. It is designed both as project documentation and as a learning reference for the Python/pandas commands used.</w:t>
      </w:r>
    </w:p>
    <w:p>
      <w:pPr>
        <w:pStyle w:val="ListBullet"/>
        <w:spacing w:after="40"/>
      </w:pPr>
      <w:r>
        <w:t>Compare churned and non-churned customers using descriptive statistics and visualisations.</w:t>
      </w:r>
    </w:p>
    <w:p>
      <w:pPr>
        <w:pStyle w:val="ListBullet"/>
        <w:spacing w:after="40"/>
      </w:pPr>
      <w:r>
        <w:t>Distinguish descriptive association from formal statistical significance.</w:t>
      </w:r>
    </w:p>
    <w:p>
      <w:pPr>
        <w:pStyle w:val="ListBullet"/>
        <w:spacing w:after="40"/>
      </w:pPr>
      <w:r>
        <w:t>Identify variables that may capture overlapping business concepts such as customer engagement.</w:t>
      </w:r>
    </w:p>
    <w:p>
      <w:pPr>
        <w:pStyle w:val="ListBullet"/>
        <w:spacing w:after="40"/>
      </w:pPr>
      <w:r>
        <w:t>Translate analytical findings into cautious, evidence-based business interpretations.</w:t>
      </w:r>
    </w:p>
    <w:p>
      <w:pPr>
        <w:pStyle w:val="ListBullet"/>
        <w:spacing w:after="40"/>
      </w:pPr>
      <w:r>
        <w:t>Prepare the project for the next phase: formal statistical analysis.</w:t>
      </w:r>
    </w:p>
    <w:p>
      <w:pPr>
        <w:pStyle w:val="Heading1"/>
      </w:pPr>
      <w:r>
        <w:t>2. Jupyter Notebook Session Refresher</w:t>
      </w:r>
    </w:p>
    <w:p>
      <w:r>
        <w:t>A saved Jupyter notebook preserves code, Markdown and saved outputs, but restarting Jupyter or its kernel clears Python's working memory. Imports, DataFrames and calculated variables must therefore be recreated by executing the relevant cells again.</w:t>
      </w:r>
    </w:p>
    <w:p>
      <w:pPr>
        <w:spacing w:after="80"/>
        <w:ind w:left="259"/>
      </w:pPr>
      <w:r>
        <w:rPr>
          <w:rFonts w:ascii="Consolas" w:hAnsi="Consolas"/>
          <w:sz w:val="17"/>
        </w:rPr>
        <w:t>import pandas as pd</w:t>
      </w:r>
    </w:p>
    <w:p>
      <w:r>
        <w:t>Imports pandas and assigns the conventional alias pd.</w:t>
      </w:r>
    </w:p>
    <w:p>
      <w:pPr>
        <w:spacing w:after="80"/>
        <w:ind w:left="259"/>
      </w:pPr>
      <w:r>
        <w:rPr>
          <w:rFonts w:ascii="Consolas" w:hAnsi="Consolas"/>
          <w:sz w:val="17"/>
        </w:rPr>
        <w:t>df = pd.read_csv("data/raw/Customer Churn.csv")</w:t>
      </w:r>
    </w:p>
    <w:p>
      <w:r>
        <w:t>Loads the CSV into a pandas DataFrame named df.</w:t>
      </w:r>
    </w:p>
    <w:p>
      <w:r>
        <w:t>When a restarted session produced “NameError: name 'pd' is not defined”, the correct recovery was to run the notebook from the beginning (Run All Cells), thereby reconstructing the working state.</w:t>
      </w:r>
    </w:p>
    <w:p>
      <w:pPr>
        <w:pStyle w:val="Heading1"/>
      </w:pPr>
      <w:r>
        <w:t>3. Core EDA Commands and What They Mean</w:t>
      </w:r>
    </w:p>
    <w:tbl>
      <w:tblPr>
        <w:tblStyle w:val="TableGrid"/>
        <w:tblW w:type="auto" w:w="0"/>
        <w:jc w:val="center"/>
        <w:tblLook w:firstColumn="1" w:firstRow="1" w:lastColumn="0" w:lastRow="0" w:noHBand="0" w:noVBand="1" w:val="04A0"/>
      </w:tblPr>
      <w:tblGrid>
        <w:gridCol w:w="5112"/>
        <w:gridCol w:w="5112"/>
      </w:tblGrid>
      <w:tr>
        <w:tc>
          <w:tcPr>
            <w:tcW w:type="dxa" w:w="4320"/>
            <w:shd w:fill="D9EAF7"/>
          </w:tcPr>
          <w:p>
            <w:r>
              <w:rPr>
                <w:b/>
              </w:rPr>
              <w:t>Command / Pattern</w:t>
            </w:r>
          </w:p>
        </w:tc>
        <w:tc>
          <w:tcPr>
            <w:tcW w:type="dxa" w:w="5184"/>
            <w:shd w:fill="D9EAF7"/>
          </w:tcPr>
          <w:p>
            <w:r>
              <w:rPr>
                <w:b/>
              </w:rPr>
              <w:t>Purpose</w:t>
            </w:r>
          </w:p>
        </w:tc>
      </w:tr>
      <w:tr>
        <w:tc>
          <w:tcPr>
            <w:tcW w:type="dxa" w:w="4320"/>
            <w:vAlign w:val="center"/>
          </w:tcPr>
          <w:p>
            <w:r>
              <w:t>df.groupby("churn")["variable"].describe()</w:t>
            </w:r>
          </w:p>
        </w:tc>
        <w:tc>
          <w:tcPr>
            <w:tcW w:type="dxa" w:w="5184"/>
            <w:vAlign w:val="center"/>
          </w:tcPr>
          <w:p>
            <w:r>
              <w:t>Splits records by churn status and returns count, mean, standard deviation, minimum, quartiles, median and maximum for a numerical variable.</w:t>
            </w:r>
          </w:p>
        </w:tc>
      </w:tr>
      <w:tr>
        <w:tc>
          <w:tcPr>
            <w:tcW w:type="dxa" w:w="4320"/>
            <w:vAlign w:val="center"/>
          </w:tcPr>
          <w:p>
            <w:r>
              <w:t>df.boxplot(column="variable", by="churn")</w:t>
            </w:r>
          </w:p>
        </w:tc>
        <w:tc>
          <w:tcPr>
            <w:tcW w:type="dxa" w:w="5184"/>
            <w:vAlign w:val="center"/>
          </w:tcPr>
          <w:p>
            <w:r>
              <w:t>Compares the distributions of a numerical variable for churned and non-churned customers.</w:t>
            </w:r>
          </w:p>
        </w:tc>
      </w:tr>
      <w:tr>
        <w:tc>
          <w:tcPr>
            <w:tcW w:type="dxa" w:w="4320"/>
            <w:vAlign w:val="center"/>
          </w:tcPr>
          <w:p>
            <w:r>
              <w:t>df[["x", "y"]].corr()</w:t>
            </w:r>
          </w:p>
        </w:tc>
        <w:tc>
          <w:tcPr>
            <w:tcW w:type="dxa" w:w="5184"/>
            <w:vAlign w:val="center"/>
          </w:tcPr>
          <w:p>
            <w:r>
              <w:t>Calculates Pearson correlation coefficients between numerical variables.</w:t>
            </w:r>
          </w:p>
        </w:tc>
      </w:tr>
      <w:tr>
        <w:tc>
          <w:tcPr>
            <w:tcW w:type="dxa" w:w="4320"/>
            <w:vAlign w:val="center"/>
          </w:tcPr>
          <w:p>
            <w:r>
              <w:t>plt.scatter(df["x"], df["y"], alpha=0.4)</w:t>
            </w:r>
          </w:p>
        </w:tc>
        <w:tc>
          <w:tcPr>
            <w:tcW w:type="dxa" w:w="5184"/>
            <w:vAlign w:val="center"/>
          </w:tcPr>
          <w:p>
            <w:r>
              <w:t>Displays the relationship between two numerical variables; alpha adds transparency to reveal overlapping points.</w:t>
            </w:r>
          </w:p>
        </w:tc>
      </w:tr>
      <w:tr>
        <w:tc>
          <w:tcPr>
            <w:tcW w:type="dxa" w:w="4320"/>
            <w:vAlign w:val="center"/>
          </w:tcPr>
          <w:p>
            <w:r>
              <w:t>pd.crosstab(df["category"], df["churn"])</w:t>
            </w:r>
          </w:p>
        </w:tc>
        <w:tc>
          <w:tcPr>
            <w:tcW w:type="dxa" w:w="5184"/>
            <w:vAlign w:val="center"/>
          </w:tcPr>
          <w:p>
            <w:r>
              <w:t>Creates a matrix of counts for category values against churn outcomes.</w:t>
            </w:r>
          </w:p>
        </w:tc>
      </w:tr>
      <w:tr>
        <w:tc>
          <w:tcPr>
            <w:tcW w:type="dxa" w:w="4320"/>
            <w:vAlign w:val="center"/>
          </w:tcPr>
          <w:p>
            <w:r>
              <w:t>df.groupby("category")["churn"].mean().mul(100)</w:t>
            </w:r>
          </w:p>
        </w:tc>
        <w:tc>
          <w:tcPr>
            <w:tcW w:type="dxa" w:w="5184"/>
            <w:vAlign w:val="center"/>
          </w:tcPr>
          <w:p>
            <w:r>
              <w:t>Calculates churn rate within each category because churn is encoded 0/1.</w:t>
            </w:r>
          </w:p>
        </w:tc>
      </w:tr>
      <w:tr>
        <w:tc>
          <w:tcPr>
            <w:tcW w:type="dxa" w:w="4320"/>
            <w:vAlign w:val="center"/>
          </w:tcPr>
          <w:p>
            <w:r>
              <w:t>.agg(customer_count="count", total_customer_value="sum", ...)</w:t>
            </w:r>
          </w:p>
        </w:tc>
        <w:tc>
          <w:tcPr>
            <w:tcW w:type="dxa" w:w="5184"/>
            <w:vAlign w:val="center"/>
          </w:tcPr>
          <w:p>
            <w:r>
              <w:t>Calculates several named summary measures in a single grouped operation.</w:t>
            </w:r>
          </w:p>
        </w:tc>
      </w:tr>
      <w:tr>
        <w:tc>
          <w:tcPr>
            <w:tcW w:type="dxa" w:w="4320"/>
            <w:vAlign w:val="center"/>
          </w:tcPr>
          <w:p>
            <w:r>
              <w:t>.round(2)</w:t>
            </w:r>
          </w:p>
        </w:tc>
        <w:tc>
          <w:tcPr>
            <w:tcW w:type="dxa" w:w="5184"/>
            <w:vAlign w:val="center"/>
          </w:tcPr>
          <w:p>
            <w:r>
              <w:t>Rounds results to two decimal places for readable reporting.</w:t>
            </w:r>
          </w:p>
        </w:tc>
      </w:tr>
    </w:tbl>
    <w:p/>
    <w:p>
      <w:pPr>
        <w:pStyle w:val="Heading1"/>
      </w:pPr>
      <w:r>
        <w:t>4. Statistical and Visual Concepts Reinforced</w:t>
      </w:r>
    </w:p>
    <w:tbl>
      <w:tblPr>
        <w:tblStyle w:val="TableGrid"/>
        <w:tblW w:type="auto" w:w="0"/>
        <w:jc w:val="center"/>
        <w:tblLook w:firstColumn="1" w:firstRow="1" w:lastColumn="0" w:lastRow="0" w:noHBand="0" w:noVBand="1" w:val="04A0"/>
      </w:tblPr>
      <w:tblGrid>
        <w:gridCol w:w="5112"/>
        <w:gridCol w:w="5112"/>
      </w:tblGrid>
      <w:tr>
        <w:tc>
          <w:tcPr>
            <w:tcW w:type="dxa" w:w="2376"/>
            <w:shd w:fill="D9EAF7"/>
          </w:tcPr>
          <w:p>
            <w:r>
              <w:rPr>
                <w:b/>
              </w:rPr>
              <w:t>Concept</w:t>
            </w:r>
          </w:p>
        </w:tc>
        <w:tc>
          <w:tcPr>
            <w:tcW w:type="dxa" w:w="7128"/>
            <w:shd w:fill="D9EAF7"/>
          </w:tcPr>
          <w:p>
            <w:r>
              <w:rPr>
                <w:b/>
              </w:rPr>
              <w:t>Interpretation</w:t>
            </w:r>
          </w:p>
        </w:tc>
      </w:tr>
      <w:tr>
        <w:tc>
          <w:tcPr>
            <w:tcW w:type="dxa" w:w="2376"/>
            <w:vAlign w:val="center"/>
          </w:tcPr>
          <w:p>
            <w:r>
              <w:t>Mean vs median</w:t>
            </w:r>
          </w:p>
        </w:tc>
        <w:tc>
          <w:tcPr>
            <w:tcW w:type="dxa" w:w="7128"/>
            <w:vAlign w:val="center"/>
          </w:tcPr>
          <w:p>
            <w:r>
              <w:t>The mean is sensitive to extreme values; the median is often more representative for strongly skewed distributions.</w:t>
            </w:r>
          </w:p>
        </w:tc>
      </w:tr>
      <w:tr>
        <w:tc>
          <w:tcPr>
            <w:tcW w:type="dxa" w:w="2376"/>
            <w:vAlign w:val="center"/>
          </w:tcPr>
          <w:p>
            <w:r>
              <w:t>Quartiles / IQR</w:t>
            </w:r>
          </w:p>
        </w:tc>
        <w:tc>
          <w:tcPr>
            <w:tcW w:type="dxa" w:w="7128"/>
            <w:vAlign w:val="center"/>
          </w:tcPr>
          <w:p>
            <w:r>
              <w:t>Q1 and Q3 bound the middle 50% of observations. IQR = Q3 − Q1 and is commonly used to identify potential box-plot outliers.</w:t>
            </w:r>
          </w:p>
        </w:tc>
      </w:tr>
      <w:tr>
        <w:tc>
          <w:tcPr>
            <w:tcW w:type="dxa" w:w="2376"/>
            <w:vAlign w:val="center"/>
          </w:tcPr>
          <w:p>
            <w:r>
              <w:t>Box overlap</w:t>
            </w:r>
          </w:p>
        </w:tc>
        <w:tc>
          <w:tcPr>
            <w:tcW w:type="dxa" w:w="7128"/>
            <w:vAlign w:val="center"/>
          </w:tcPr>
          <w:p>
            <w:r>
              <w:t>Less overlap can indicate stronger descriptive separation between groups, but box overlap is not a statistical significance test.</w:t>
            </w:r>
          </w:p>
        </w:tc>
      </w:tr>
      <w:tr>
        <w:tc>
          <w:tcPr>
            <w:tcW w:type="dxa" w:w="2376"/>
            <w:vAlign w:val="center"/>
          </w:tcPr>
          <w:p>
            <w:r>
              <w:t>Outliers</w:t>
            </w:r>
          </w:p>
        </w:tc>
        <w:tc>
          <w:tcPr>
            <w:tcW w:type="dxa" w:w="7128"/>
            <w:vAlign w:val="center"/>
          </w:tcPr>
          <w:p>
            <w:r>
              <w:t>Points beyond box-plot whiskers are unusual relative to the distribution; they are not automatically errors.</w:t>
            </w:r>
          </w:p>
        </w:tc>
      </w:tr>
      <w:tr>
        <w:tc>
          <w:tcPr>
            <w:tcW w:type="dxa" w:w="2376"/>
            <w:vAlign w:val="center"/>
          </w:tcPr>
          <w:p>
            <w:r>
              <w:t>Correlation</w:t>
            </w:r>
          </w:p>
        </w:tc>
        <w:tc>
          <w:tcPr>
            <w:tcW w:type="dxa" w:w="7128"/>
            <w:vAlign w:val="center"/>
          </w:tcPr>
          <w:p>
            <w:r>
              <w:t>Pearson r ranges from −1 to +1 and describes direction and strength of a linear relationship.</w:t>
            </w:r>
          </w:p>
        </w:tc>
      </w:tr>
      <w:tr>
        <w:tc>
          <w:tcPr>
            <w:tcW w:type="dxa" w:w="2376"/>
            <w:vAlign w:val="center"/>
          </w:tcPr>
          <w:p>
            <w:r>
              <w:t>Correlation ≠ causation</w:t>
            </w:r>
          </w:p>
        </w:tc>
        <w:tc>
          <w:tcPr>
            <w:tcW w:type="dxa" w:w="7128"/>
            <w:vAlign w:val="center"/>
          </w:tcPr>
          <w:p>
            <w:r>
              <w:t>A strong relationship does not prove that one variable causes another.</w:t>
            </w:r>
          </w:p>
        </w:tc>
      </w:tr>
      <w:tr>
        <w:tc>
          <w:tcPr>
            <w:tcW w:type="dxa" w:w="2376"/>
            <w:vAlign w:val="center"/>
          </w:tcPr>
          <w:p>
            <w:r>
              <w:t>Association vs significance</w:t>
            </w:r>
          </w:p>
        </w:tc>
        <w:tc>
          <w:tcPr>
            <w:tcW w:type="dxa" w:w="7128"/>
            <w:vAlign w:val="center"/>
          </w:tcPr>
          <w:p>
            <w:r>
              <w:t>EDA can reveal strong descriptive associations. The term statistically significant should be reserved for results supported by formal hypothesis testing.</w:t>
            </w:r>
          </w:p>
        </w:tc>
      </w:tr>
      <w:tr>
        <w:tc>
          <w:tcPr>
            <w:tcW w:type="dxa" w:w="2376"/>
            <w:vAlign w:val="center"/>
          </w:tcPr>
          <w:p>
            <w:r>
              <w:t>Percentage points</w:t>
            </w:r>
          </w:p>
        </w:tc>
        <w:tc>
          <w:tcPr>
            <w:tcW w:type="dxa" w:w="7128"/>
            <w:vAlign w:val="center"/>
          </w:tcPr>
          <w:p>
            <w:r>
              <w:t>A change from 2.45% to 16.83% is 14.38 percentage points, not 14.38%.</w:t>
            </w:r>
          </w:p>
        </w:tc>
      </w:tr>
    </w:tbl>
    <w:p/>
    <w:p>
      <w:pPr>
        <w:pStyle w:val="Heading1"/>
      </w:pPr>
      <w:r>
        <w:t>5. Numerical and Behavioural EDA Findings</w:t>
      </w:r>
    </w:p>
    <w:p>
      <w:pPr>
        <w:pStyle w:val="Heading2"/>
      </w:pPr>
      <w:r>
        <w:t>5.1 Complaints and Churn</w:t>
      </w:r>
    </w:p>
    <w:p>
      <w:r>
        <w:t>Complaint status showed one of the clearest descriptive churn differences. Customers without a complaint had a churn rate of approximately 10.14%, while customers with a complaint had a churn rate of approximately 82.99%.</w:t>
      </w:r>
    </w:p>
    <w:p>
      <w:r>
        <w:t>Interpretation: complaint behaviour is strongly associated with churn descriptively. Formal testing is still required before describing the association as statistically significant.</w:t>
      </w:r>
    </w:p>
    <w:p>
      <w:pPr>
        <w:pStyle w:val="Heading2"/>
      </w:pPr>
      <w:r>
        <w:t>5.2 Subscription Length</w:t>
      </w:r>
    </w:p>
    <w:p>
      <w:r>
        <w:t>Subscription length showed little separation between churned and non-churned customers. The non-churn mean was approximately 32.66 versus 31.89 for churners, and both groups had a median of 35.</w:t>
      </w:r>
    </w:p>
    <w:p>
      <w:r>
        <w:t>Interpretation: subscription length appears to be a relatively weak standalone discriminator of churn in the descriptive analysis.</w:t>
      </w:r>
    </w:p>
    <w:p>
      <w:pPr>
        <w:pStyle w:val="Heading2"/>
      </w:pPr>
      <w:r>
        <w:t>5.3 Seconds of Use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tcPr>
          <w:p>
            <w:r>
              <w:rPr>
                <w:b/>
              </w:rPr>
              <w:t>Metric</w:t>
            </w:r>
          </w:p>
        </w:tc>
        <w:tc>
          <w:tcPr>
            <w:tcW w:type="dxa" w:w="3024"/>
            <w:shd w:fill="D9EAF7"/>
          </w:tcPr>
          <w:p>
            <w:r>
              <w:rPr>
                <w:b/>
              </w:rPr>
              <w:t>Non-Churn</w:t>
            </w:r>
          </w:p>
        </w:tc>
        <w:tc>
          <w:tcPr>
            <w:tcW w:type="dxa" w:w="3024"/>
            <w:shd w:fill="D9EAF7"/>
          </w:tcPr>
          <w:p>
            <w:r>
              <w:rPr>
                <w:b/>
              </w:rPr>
              <w:t>Churn</w:t>
            </w:r>
          </w:p>
        </w:tc>
      </w:tr>
      <w:tr>
        <w:tc>
          <w:tcPr>
            <w:tcW w:type="dxa" w:w="3168"/>
            <w:vAlign w:val="center"/>
          </w:tcPr>
          <w:p>
            <w:r>
              <w:t>Mean</w:t>
            </w:r>
          </w:p>
        </w:tc>
        <w:tc>
          <w:tcPr>
            <w:tcW w:type="dxa" w:w="3024"/>
            <w:vAlign w:val="center"/>
          </w:tcPr>
          <w:p>
            <w:r>
              <w:t>5,014.22</w:t>
            </w:r>
          </w:p>
        </w:tc>
        <w:tc>
          <w:tcPr>
            <w:tcW w:type="dxa" w:w="3024"/>
            <w:vAlign w:val="center"/>
          </w:tcPr>
          <w:p>
            <w:r>
              <w:t>1,566.63</w:t>
            </w:r>
          </w:p>
        </w:tc>
      </w:tr>
      <w:tr>
        <w:tc>
          <w:tcPr>
            <w:tcW w:type="dxa" w:w="3168"/>
            <w:vAlign w:val="center"/>
          </w:tcPr>
          <w:p>
            <w:r>
              <w:t>Median</w:t>
            </w:r>
          </w:p>
        </w:tc>
        <w:tc>
          <w:tcPr>
            <w:tcW w:type="dxa" w:w="3024"/>
            <w:vAlign w:val="center"/>
          </w:tcPr>
          <w:p>
            <w:r>
              <w:t>3,530</w:t>
            </w:r>
          </w:p>
        </w:tc>
        <w:tc>
          <w:tcPr>
            <w:tcW w:type="dxa" w:w="3024"/>
            <w:vAlign w:val="center"/>
          </w:tcPr>
          <w:p>
            <w:r>
              <w:t>1,182</w:t>
            </w:r>
          </w:p>
        </w:tc>
      </w:tr>
      <w:tr>
        <w:tc>
          <w:tcPr>
            <w:tcW w:type="dxa" w:w="3168"/>
            <w:vAlign w:val="center"/>
          </w:tcPr>
          <w:p>
            <w:r>
              <w:t>Q1</w:t>
            </w:r>
          </w:p>
        </w:tc>
        <w:tc>
          <w:tcPr>
            <w:tcW w:type="dxa" w:w="3024"/>
            <w:vAlign w:val="center"/>
          </w:tcPr>
          <w:p>
            <w:r>
              <w:t>1,819</w:t>
            </w:r>
          </w:p>
        </w:tc>
        <w:tc>
          <w:tcPr>
            <w:tcW w:type="dxa" w:w="3024"/>
            <w:vAlign w:val="center"/>
          </w:tcPr>
          <w:p>
            <w:r>
              <w:t>318</w:t>
            </w:r>
          </w:p>
        </w:tc>
      </w:tr>
      <w:tr>
        <w:tc>
          <w:tcPr>
            <w:tcW w:type="dxa" w:w="3168"/>
            <w:vAlign w:val="center"/>
          </w:tcPr>
          <w:p>
            <w:r>
              <w:t>Q3</w:t>
            </w:r>
          </w:p>
        </w:tc>
        <w:tc>
          <w:tcPr>
            <w:tcW w:type="dxa" w:w="3024"/>
            <w:vAlign w:val="center"/>
          </w:tcPr>
          <w:p>
            <w:r>
              <w:t>6,892.5</w:t>
            </w:r>
          </w:p>
        </w:tc>
        <w:tc>
          <w:tcPr>
            <w:tcW w:type="dxa" w:w="3024"/>
            <w:vAlign w:val="center"/>
          </w:tcPr>
          <w:p>
            <w:r>
              <w:t>2,391.5</w:t>
            </w:r>
          </w:p>
        </w:tc>
      </w:tr>
    </w:tbl>
    <w:p/>
    <w:p>
      <w:r>
        <w:t>Churned customers exhibit substantially lower total usage. The central distributions overlap somewhat, but the churn distribution is clearly shifted toward lower usage. This provides descriptive evidence of a strong association between lower service usage and churn.</w:t>
      </w:r>
    </w:p>
    <w:p>
      <w:pPr>
        <w:pStyle w:val="Heading2"/>
      </w:pPr>
      <w:r>
        <w:t>5.4 Frequency of Use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tcPr>
          <w:p>
            <w:r>
              <w:rPr>
                <w:b/>
              </w:rPr>
              <w:t>Metric</w:t>
            </w:r>
          </w:p>
        </w:tc>
        <w:tc>
          <w:tcPr>
            <w:tcW w:type="dxa" w:w="3024"/>
            <w:shd w:fill="D9EAF7"/>
          </w:tcPr>
          <w:p>
            <w:r>
              <w:rPr>
                <w:b/>
              </w:rPr>
              <w:t>Non-Churn</w:t>
            </w:r>
          </w:p>
        </w:tc>
        <w:tc>
          <w:tcPr>
            <w:tcW w:type="dxa" w:w="3024"/>
            <w:shd w:fill="D9EAF7"/>
          </w:tcPr>
          <w:p>
            <w:r>
              <w:rPr>
                <w:b/>
              </w:rPr>
              <w:t>Churn</w:t>
            </w:r>
          </w:p>
        </w:tc>
      </w:tr>
      <w:tr>
        <w:tc>
          <w:tcPr>
            <w:tcW w:type="dxa" w:w="3168"/>
            <w:vAlign w:val="center"/>
          </w:tcPr>
          <w:p>
            <w:r>
              <w:t>Mean</w:t>
            </w:r>
          </w:p>
        </w:tc>
        <w:tc>
          <w:tcPr>
            <w:tcW w:type="dxa" w:w="3024"/>
            <w:vAlign w:val="center"/>
          </w:tcPr>
          <w:p>
            <w:r>
              <w:t>76.98</w:t>
            </w:r>
          </w:p>
        </w:tc>
        <w:tc>
          <w:tcPr>
            <w:tcW w:type="dxa" w:w="3024"/>
            <w:vAlign w:val="center"/>
          </w:tcPr>
          <w:p>
            <w:r>
              <w:t>29.13</w:t>
            </w:r>
          </w:p>
        </w:tc>
      </w:tr>
      <w:tr>
        <w:tc>
          <w:tcPr>
            <w:tcW w:type="dxa" w:w="3168"/>
            <w:vAlign w:val="center"/>
          </w:tcPr>
          <w:p>
            <w:r>
              <w:t>Median</w:t>
            </w:r>
          </w:p>
        </w:tc>
        <w:tc>
          <w:tcPr>
            <w:tcW w:type="dxa" w:w="3024"/>
            <w:vAlign w:val="center"/>
          </w:tcPr>
          <w:p>
            <w:r>
              <w:t>63</w:t>
            </w:r>
          </w:p>
        </w:tc>
        <w:tc>
          <w:tcPr>
            <w:tcW w:type="dxa" w:w="3024"/>
            <w:vAlign w:val="center"/>
          </w:tcPr>
          <w:p>
            <w:r>
              <w:t>25</w:t>
            </w:r>
          </w:p>
        </w:tc>
      </w:tr>
      <w:tr>
        <w:tc>
          <w:tcPr>
            <w:tcW w:type="dxa" w:w="3168"/>
            <w:vAlign w:val="center"/>
          </w:tcPr>
          <w:p>
            <w:r>
              <w:t>Q1</w:t>
            </w:r>
          </w:p>
        </w:tc>
        <w:tc>
          <w:tcPr>
            <w:tcW w:type="dxa" w:w="3024"/>
            <w:vAlign w:val="center"/>
          </w:tcPr>
          <w:p>
            <w:r>
              <w:t>32</w:t>
            </w:r>
          </w:p>
        </w:tc>
        <w:tc>
          <w:tcPr>
            <w:tcW w:type="dxa" w:w="3024"/>
            <w:vAlign w:val="center"/>
          </w:tcPr>
          <w:p>
            <w:r>
              <w:t>6</w:t>
            </w:r>
          </w:p>
        </w:tc>
      </w:tr>
      <w:tr>
        <w:tc>
          <w:tcPr>
            <w:tcW w:type="dxa" w:w="3168"/>
            <w:vAlign w:val="center"/>
          </w:tcPr>
          <w:p>
            <w:r>
              <w:t>Q3</w:t>
            </w:r>
          </w:p>
        </w:tc>
        <w:tc>
          <w:tcPr>
            <w:tcW w:type="dxa" w:w="3024"/>
            <w:vAlign w:val="center"/>
          </w:tcPr>
          <w:p>
            <w:r>
              <w:t>104</w:t>
            </w:r>
          </w:p>
        </w:tc>
        <w:tc>
          <w:tcPr>
            <w:tcW w:type="dxa" w:w="3024"/>
            <w:vAlign w:val="center"/>
          </w:tcPr>
          <w:p>
            <w:r>
              <w:t>45</w:t>
            </w:r>
          </w:p>
        </w:tc>
      </w:tr>
    </w:tbl>
    <w:p/>
    <w:p>
      <w:r>
        <w:t>Frequency of use follows the same broad churn pattern as seconds of use: churned customers use the service less frequently.</w:t>
      </w:r>
    </w:p>
    <w:p>
      <w:r>
        <w:t>Correlation between seconds_of_use and frequency_of_use: r ≈ 0.9465 (very strong positive linear relationship).</w:t>
      </w:r>
    </w:p>
    <w:p>
      <w:pPr>
        <w:pStyle w:val="Heading2"/>
      </w:pPr>
      <w:r>
        <w:t>5.5 Frequency of SMS</w:t>
      </w:r>
    </w:p>
    <w:p>
      <w:r>
        <w:t>Mean SMS frequency was approximately 83.87 for non-churners versus 15.80 for churners; medians were 25 and 9, respectively. The large mean–median difference, especially among non-churners, demonstrates strong right skew.</w:t>
      </w:r>
    </w:p>
    <w:p>
      <w:r>
        <w:t>Despite showing lower values among churners, SMS frequency is only weakly correlated with seconds_of_use (r ≈ 0.102) and frequency_of_use (r ≈ 0.100). SMS therefore appears to capture a relatively distinct dimension of customer behaviour.</w:t>
      </w:r>
    </w:p>
    <w:p>
      <w:pPr>
        <w:pStyle w:val="Heading2"/>
      </w:pPr>
      <w:r>
        <w:t>5.6 Usage Correlation Structure</w:t>
      </w:r>
    </w:p>
    <w:tbl>
      <w:tblPr>
        <w:tblStyle w:val="TableGrid"/>
        <w:tblW w:type="auto" w:w="0"/>
        <w:jc w:val="center"/>
        <w:tblLook w:firstColumn="1" w:firstRow="1" w:lastColumn="0" w:lastRow="0" w:noHBand="0" w:noVBand="1" w:val="04A0"/>
      </w:tblPr>
      <w:tblGrid>
        <w:gridCol w:w="3408"/>
        <w:gridCol w:w="3408"/>
        <w:gridCol w:w="3408"/>
      </w:tblGrid>
      <w:tr>
        <w:tc>
          <w:tcPr>
            <w:tcW w:type="dxa" w:w="4320"/>
            <w:shd w:fill="D9EAF7"/>
          </w:tcPr>
          <w:p>
            <w:r>
              <w:rPr>
                <w:b/>
              </w:rPr>
              <w:t>Variable Pair</w:t>
            </w:r>
          </w:p>
        </w:tc>
        <w:tc>
          <w:tcPr>
            <w:tcW w:type="dxa" w:w="1728"/>
            <w:shd w:fill="D9EAF7"/>
          </w:tcPr>
          <w:p>
            <w:r>
              <w:rPr>
                <w:b/>
              </w:rPr>
              <w:t>Pearson r</w:t>
            </w:r>
          </w:p>
        </w:tc>
        <w:tc>
          <w:tcPr>
            <w:tcW w:type="dxa" w:w="3168"/>
            <w:shd w:fill="D9EAF7"/>
          </w:tcPr>
          <w:p>
            <w:r>
              <w:rPr>
                <w:b/>
              </w:rPr>
              <w:t>Interpretation</w:t>
            </w:r>
          </w:p>
        </w:tc>
      </w:tr>
      <w:tr>
        <w:tc>
          <w:tcPr>
            <w:tcW w:type="dxa" w:w="4320"/>
            <w:vAlign w:val="center"/>
          </w:tcPr>
          <w:p>
            <w:r>
              <w:t>seconds_of_use vs. frequency_of_use</w:t>
            </w:r>
          </w:p>
        </w:tc>
        <w:tc>
          <w:tcPr>
            <w:tcW w:type="dxa" w:w="1728"/>
            <w:vAlign w:val="center"/>
          </w:tcPr>
          <w:p>
            <w:r>
              <w:t>0.946</w:t>
            </w:r>
          </w:p>
        </w:tc>
        <w:tc>
          <w:tcPr>
            <w:tcW w:type="dxa" w:w="3168"/>
            <w:vAlign w:val="center"/>
          </w:tcPr>
          <w:p>
            <w:r>
              <w:t>Very strong positive</w:t>
            </w:r>
          </w:p>
        </w:tc>
      </w:tr>
      <w:tr>
        <w:tc>
          <w:tcPr>
            <w:tcW w:type="dxa" w:w="4320"/>
            <w:vAlign w:val="center"/>
          </w:tcPr>
          <w:p>
            <w:r>
              <w:t>seconds_of_use vs. frequency_of_sms</w:t>
            </w:r>
          </w:p>
        </w:tc>
        <w:tc>
          <w:tcPr>
            <w:tcW w:type="dxa" w:w="1728"/>
            <w:vAlign w:val="center"/>
          </w:tcPr>
          <w:p>
            <w:r>
              <w:t>0.102</w:t>
            </w:r>
          </w:p>
        </w:tc>
        <w:tc>
          <w:tcPr>
            <w:tcW w:type="dxa" w:w="3168"/>
            <w:vAlign w:val="center"/>
          </w:tcPr>
          <w:p>
            <w:r>
              <w:t>Weak positive linear</w:t>
            </w:r>
          </w:p>
        </w:tc>
      </w:tr>
      <w:tr>
        <w:tc>
          <w:tcPr>
            <w:tcW w:type="dxa" w:w="4320"/>
            <w:vAlign w:val="center"/>
          </w:tcPr>
          <w:p>
            <w:r>
              <w:t>frequency_of_use vs. frequency_of_sms</w:t>
            </w:r>
          </w:p>
        </w:tc>
        <w:tc>
          <w:tcPr>
            <w:tcW w:type="dxa" w:w="1728"/>
            <w:vAlign w:val="center"/>
          </w:tcPr>
          <w:p>
            <w:r>
              <w:t>0.100</w:t>
            </w:r>
          </w:p>
        </w:tc>
        <w:tc>
          <w:tcPr>
            <w:tcW w:type="dxa" w:w="3168"/>
            <w:vAlign w:val="center"/>
          </w:tcPr>
          <w:p>
            <w:r>
              <w:t>Weak positive linear</w:t>
            </w:r>
          </w:p>
        </w:tc>
      </w:tr>
    </w:tbl>
    <w:p/>
    <w:p>
      <w:r>
        <w:t>Key learning: variables can each be associated with churn without being strongly correlated with one another. Seconds of use and frequency of use appear to capture overlapping general-service engagement, whereas SMS behaviour is more distinct.</w:t>
      </w:r>
    </w:p>
    <w:p>
      <w:pPr>
        <w:pStyle w:val="Heading2"/>
      </w:pPr>
      <w:r>
        <w:t>5.7 Customer Value</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D9EAF7"/>
          </w:tcPr>
          <w:p>
            <w:r>
              <w:rPr>
                <w:b/>
              </w:rPr>
              <w:t>Metric</w:t>
            </w:r>
          </w:p>
        </w:tc>
        <w:tc>
          <w:tcPr>
            <w:tcW w:type="dxa" w:w="2880"/>
            <w:shd w:fill="D9EAF7"/>
          </w:tcPr>
          <w:p>
            <w:r>
              <w:rPr>
                <w:b/>
              </w:rPr>
              <w:t>Non-Churn</w:t>
            </w:r>
          </w:p>
        </w:tc>
        <w:tc>
          <w:tcPr>
            <w:tcW w:type="dxa" w:w="2880"/>
            <w:shd w:fill="D9EAF7"/>
          </w:tcPr>
          <w:p>
            <w:r>
              <w:rPr>
                <w:b/>
              </w:rPr>
              <w:t>Churn</w:t>
            </w:r>
          </w:p>
        </w:tc>
      </w:tr>
      <w:tr>
        <w:tc>
          <w:tcPr>
            <w:tcW w:type="dxa" w:w="3456"/>
            <w:vAlign w:val="center"/>
          </w:tcPr>
          <w:p>
            <w:r>
              <w:t>Customer count</w:t>
            </w:r>
          </w:p>
        </w:tc>
        <w:tc>
          <w:tcPr>
            <w:tcW w:type="dxa" w:w="2880"/>
            <w:vAlign w:val="center"/>
          </w:tcPr>
          <w:p>
            <w:r>
              <w:t>2,655</w:t>
            </w:r>
          </w:p>
        </w:tc>
        <w:tc>
          <w:tcPr>
            <w:tcW w:type="dxa" w:w="2880"/>
            <w:vAlign w:val="center"/>
          </w:tcPr>
          <w:p>
            <w:r>
              <w:t>495</w:t>
            </w:r>
          </w:p>
        </w:tc>
      </w:tr>
      <w:tr>
        <w:tc>
          <w:tcPr>
            <w:tcW w:type="dxa" w:w="3456"/>
            <w:vAlign w:val="center"/>
          </w:tcPr>
          <w:p>
            <w:r>
              <w:t>Total customer value</w:t>
            </w:r>
          </w:p>
        </w:tc>
        <w:tc>
          <w:tcPr>
            <w:tcW w:type="dxa" w:w="2880"/>
            <w:vAlign w:val="center"/>
          </w:tcPr>
          <w:p>
            <w:r>
              <w:t>1,421,783.035</w:t>
            </w:r>
          </w:p>
        </w:tc>
        <w:tc>
          <w:tcPr>
            <w:tcW w:type="dxa" w:w="2880"/>
            <w:vAlign w:val="center"/>
          </w:tcPr>
          <w:p>
            <w:r>
              <w:t>61,781.650</w:t>
            </w:r>
          </w:p>
        </w:tc>
      </w:tr>
      <w:tr>
        <w:tc>
          <w:tcPr>
            <w:tcW w:type="dxa" w:w="3456"/>
            <w:vAlign w:val="center"/>
          </w:tcPr>
          <w:p>
            <w:r>
              <w:t>Average customer value</w:t>
            </w:r>
          </w:p>
        </w:tc>
        <w:tc>
          <w:tcPr>
            <w:tcW w:type="dxa" w:w="2880"/>
            <w:vAlign w:val="center"/>
          </w:tcPr>
          <w:p>
            <w:r>
              <w:t>535.51</w:t>
            </w:r>
          </w:p>
        </w:tc>
        <w:tc>
          <w:tcPr>
            <w:tcW w:type="dxa" w:w="2880"/>
            <w:vAlign w:val="center"/>
          </w:tcPr>
          <w:p>
            <w:r>
              <w:t>124.81</w:t>
            </w:r>
          </w:p>
        </w:tc>
      </w:tr>
      <w:tr>
        <w:tc>
          <w:tcPr>
            <w:tcW w:type="dxa" w:w="3456"/>
            <w:vAlign w:val="center"/>
          </w:tcPr>
          <w:p>
            <w:r>
              <w:t>Median customer value</w:t>
            </w:r>
          </w:p>
        </w:tc>
        <w:tc>
          <w:tcPr>
            <w:tcW w:type="dxa" w:w="2880"/>
            <w:vAlign w:val="center"/>
          </w:tcPr>
          <w:p>
            <w:r>
              <w:t>268.07</w:t>
            </w:r>
          </w:p>
        </w:tc>
        <w:tc>
          <w:tcPr>
            <w:tcW w:type="dxa" w:w="2880"/>
            <w:vAlign w:val="center"/>
          </w:tcPr>
          <w:p>
            <w:r>
              <w:t>96.84</w:t>
            </w:r>
          </w:p>
        </w:tc>
      </w:tr>
      <w:tr>
        <w:tc>
          <w:tcPr>
            <w:tcW w:type="dxa" w:w="3456"/>
            <w:vAlign w:val="center"/>
          </w:tcPr>
          <w:p>
            <w:r>
              <w:t>Share of total customer value</w:t>
            </w:r>
          </w:p>
        </w:tc>
        <w:tc>
          <w:tcPr>
            <w:tcW w:type="dxa" w:w="2880"/>
            <w:vAlign w:val="center"/>
          </w:tcPr>
          <w:p>
            <w:r>
              <w:t>95.84%</w:t>
            </w:r>
          </w:p>
        </w:tc>
        <w:tc>
          <w:tcPr>
            <w:tcW w:type="dxa" w:w="2880"/>
            <w:vAlign w:val="center"/>
          </w:tcPr>
          <w:p>
            <w:r>
              <w:t>4.16%</w:t>
            </w:r>
          </w:p>
        </w:tc>
      </w:tr>
    </w:tbl>
    <w:p/>
    <w:p>
      <w:r>
        <w:t>Although approximately 15.71% of customers churned, they accounted for only 4.16% of the dataset's total customer-value measure. Churn is therefore disproportionately concentrated among lower-value customers in this dataset.</w:t>
      </w:r>
    </w:p>
    <w:p>
      <w:r>
        <w:t>Business caution: customer_value should not automatically be described as revenue or profit unless the dataset documentation defines it that way. A useful retention strategy may ultimately consider both churn risk and customer value rather than treating every churn case as equally important.</w:t>
      </w:r>
    </w:p>
    <w:p>
      <w:pPr>
        <w:pStyle w:val="Heading2"/>
      </w:pPr>
      <w:r>
        <w:t>5.8 Distinct Called Numbers</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tcPr>
          <w:p>
            <w:r>
              <w:rPr>
                <w:b/>
              </w:rPr>
              <w:t>Metric</w:t>
            </w:r>
          </w:p>
        </w:tc>
        <w:tc>
          <w:tcPr>
            <w:tcW w:type="dxa" w:w="3024"/>
            <w:shd w:fill="D9EAF7"/>
          </w:tcPr>
          <w:p>
            <w:r>
              <w:rPr>
                <w:b/>
              </w:rPr>
              <w:t>Non-Churn</w:t>
            </w:r>
          </w:p>
        </w:tc>
        <w:tc>
          <w:tcPr>
            <w:tcW w:type="dxa" w:w="3024"/>
            <w:shd w:fill="D9EAF7"/>
          </w:tcPr>
          <w:p>
            <w:r>
              <w:rPr>
                <w:b/>
              </w:rPr>
              <w:t>Churn</w:t>
            </w:r>
          </w:p>
        </w:tc>
      </w:tr>
      <w:tr>
        <w:tc>
          <w:tcPr>
            <w:tcW w:type="dxa" w:w="3168"/>
            <w:vAlign w:val="center"/>
          </w:tcPr>
          <w:p>
            <w:r>
              <w:t>Mean</w:t>
            </w:r>
          </w:p>
        </w:tc>
        <w:tc>
          <w:tcPr>
            <w:tcW w:type="dxa" w:w="3024"/>
            <w:vAlign w:val="center"/>
          </w:tcPr>
          <w:p>
            <w:r>
              <w:t>25.58</w:t>
            </w:r>
          </w:p>
        </w:tc>
        <w:tc>
          <w:tcPr>
            <w:tcW w:type="dxa" w:w="3024"/>
            <w:vAlign w:val="center"/>
          </w:tcPr>
          <w:p>
            <w:r>
              <w:t>12.39</w:t>
            </w:r>
          </w:p>
        </w:tc>
      </w:tr>
      <w:tr>
        <w:tc>
          <w:tcPr>
            <w:tcW w:type="dxa" w:w="3168"/>
            <w:vAlign w:val="center"/>
          </w:tcPr>
          <w:p>
            <w:r>
              <w:t>Median</w:t>
            </w:r>
          </w:p>
        </w:tc>
        <w:tc>
          <w:tcPr>
            <w:tcW w:type="dxa" w:w="3024"/>
            <w:vAlign w:val="center"/>
          </w:tcPr>
          <w:p>
            <w:r>
              <w:t>23</w:t>
            </w:r>
          </w:p>
        </w:tc>
        <w:tc>
          <w:tcPr>
            <w:tcW w:type="dxa" w:w="3024"/>
            <w:vAlign w:val="center"/>
          </w:tcPr>
          <w:p>
            <w:r>
              <w:t>10</w:t>
            </w:r>
          </w:p>
        </w:tc>
      </w:tr>
      <w:tr>
        <w:tc>
          <w:tcPr>
            <w:tcW w:type="dxa" w:w="3168"/>
            <w:vAlign w:val="center"/>
          </w:tcPr>
          <w:p>
            <w:r>
              <w:t>Q1</w:t>
            </w:r>
          </w:p>
        </w:tc>
        <w:tc>
          <w:tcPr>
            <w:tcW w:type="dxa" w:w="3024"/>
            <w:vAlign w:val="center"/>
          </w:tcPr>
          <w:p>
            <w:r>
              <w:t>12</w:t>
            </w:r>
          </w:p>
        </w:tc>
        <w:tc>
          <w:tcPr>
            <w:tcW w:type="dxa" w:w="3024"/>
            <w:vAlign w:val="center"/>
          </w:tcPr>
          <w:p>
            <w:r>
              <w:t>2</w:t>
            </w:r>
          </w:p>
        </w:tc>
      </w:tr>
      <w:tr>
        <w:tc>
          <w:tcPr>
            <w:tcW w:type="dxa" w:w="3168"/>
            <w:vAlign w:val="center"/>
          </w:tcPr>
          <w:p>
            <w:r>
              <w:t>Q3</w:t>
            </w:r>
          </w:p>
        </w:tc>
        <w:tc>
          <w:tcPr>
            <w:tcW w:type="dxa" w:w="3024"/>
            <w:vAlign w:val="center"/>
          </w:tcPr>
          <w:p>
            <w:r>
              <w:t>36</w:t>
            </w:r>
          </w:p>
        </w:tc>
        <w:tc>
          <w:tcPr>
            <w:tcW w:type="dxa" w:w="3024"/>
            <w:vAlign w:val="center"/>
          </w:tcPr>
          <w:p>
            <w:r>
              <w:t>20</w:t>
            </w:r>
          </w:p>
        </w:tc>
      </w:tr>
    </w:tbl>
    <w:p/>
    <w:p>
      <w:r>
        <w:t>Non-churned customers call substantially more distinct numbers. The distributions partially overlap, but the non-churn distribution is clearly shifted upward.</w:t>
      </w:r>
    </w:p>
    <w:tbl>
      <w:tblPr>
        <w:tblStyle w:val="TableGrid"/>
        <w:tblW w:type="auto" w:w="0"/>
        <w:jc w:val="center"/>
        <w:tblLook w:firstColumn="1" w:firstRow="1" w:lastColumn="0" w:lastRow="0" w:noHBand="0" w:noVBand="1" w:val="04A0"/>
      </w:tblPr>
      <w:tblGrid>
        <w:gridCol w:w="5112"/>
        <w:gridCol w:w="5112"/>
      </w:tblGrid>
      <w:tr>
        <w:tc>
          <w:tcPr>
            <w:tcW w:type="dxa" w:w="6480"/>
            <w:shd w:fill="D9EAF7"/>
          </w:tcPr>
          <w:p>
            <w:r>
              <w:rPr>
                <w:b/>
              </w:rPr>
              <w:t>Relationship</w:t>
            </w:r>
          </w:p>
        </w:tc>
        <w:tc>
          <w:tcPr>
            <w:tcW w:type="dxa" w:w="2160"/>
            <w:shd w:fill="D9EAF7"/>
          </w:tcPr>
          <w:p>
            <w:r>
              <w:rPr>
                <w:b/>
              </w:rPr>
              <w:t>Pearson r</w:t>
            </w:r>
          </w:p>
        </w:tc>
      </w:tr>
      <w:tr>
        <w:tc>
          <w:tcPr>
            <w:tcW w:type="dxa" w:w="6480"/>
            <w:vAlign w:val="center"/>
          </w:tcPr>
          <w:p>
            <w:r>
              <w:t>distinct_called_numbers vs. frequency_of_use</w:t>
            </w:r>
          </w:p>
        </w:tc>
        <w:tc>
          <w:tcPr>
            <w:tcW w:type="dxa" w:w="2160"/>
            <w:vAlign w:val="center"/>
          </w:tcPr>
          <w:p>
            <w:r>
              <w:t>0.736</w:t>
            </w:r>
          </w:p>
        </w:tc>
      </w:tr>
      <w:tr>
        <w:tc>
          <w:tcPr>
            <w:tcW w:type="dxa" w:w="6480"/>
            <w:vAlign w:val="center"/>
          </w:tcPr>
          <w:p>
            <w:r>
              <w:t>distinct_called_numbers vs. seconds_of_use</w:t>
            </w:r>
          </w:p>
        </w:tc>
        <w:tc>
          <w:tcPr>
            <w:tcW w:type="dxa" w:w="2160"/>
            <w:vAlign w:val="center"/>
          </w:tcPr>
          <w:p>
            <w:r>
              <w:t>0.677</w:t>
            </w:r>
          </w:p>
        </w:tc>
      </w:tr>
      <w:tr>
        <w:tc>
          <w:tcPr>
            <w:tcW w:type="dxa" w:w="6480"/>
            <w:vAlign w:val="center"/>
          </w:tcPr>
          <w:p>
            <w:r>
              <w:t>distinct_called_numbers vs. frequency_of_sms</w:t>
            </w:r>
          </w:p>
        </w:tc>
        <w:tc>
          <w:tcPr>
            <w:tcW w:type="dxa" w:w="2160"/>
            <w:vAlign w:val="center"/>
          </w:tcPr>
          <w:p>
            <w:r>
              <w:t>0.080</w:t>
            </w:r>
          </w:p>
        </w:tc>
      </w:tr>
    </w:tbl>
    <w:p/>
    <w:p>
      <w:r>
        <w:t>Interpretation: breadth of calling activity appears to be another aspect of general service engagement. It should not be linked directly to profit margin without evidence.</w:t>
      </w:r>
    </w:p>
    <w:p>
      <w:pPr>
        <w:pStyle w:val="Heading1"/>
      </w:pPr>
      <w:r>
        <w:t>6. Categorical EDA Findings</w:t>
      </w:r>
    </w:p>
    <w:p>
      <w:pPr>
        <w:pStyle w:val="Heading2"/>
      </w:pPr>
      <w:r>
        <w:t>6.1 Tariff Plan and Churn</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D9EAF7"/>
          </w:tcPr>
          <w:p>
            <w:r>
              <w:rPr>
                <w:b/>
              </w:rPr>
              <w:t>Tariff Plan</w:t>
            </w:r>
          </w:p>
        </w:tc>
        <w:tc>
          <w:tcPr>
            <w:tcW w:type="dxa" w:w="2880"/>
            <w:shd w:fill="D9EAF7"/>
          </w:tcPr>
          <w:p>
            <w:r>
              <w:rPr>
                <w:b/>
              </w:rPr>
              <w:t>Customers</w:t>
            </w:r>
          </w:p>
        </w:tc>
        <w:tc>
          <w:tcPr>
            <w:tcW w:type="dxa" w:w="2880"/>
            <w:shd w:fill="D9EAF7"/>
          </w:tcPr>
          <w:p>
            <w:r>
              <w:rPr>
                <w:b/>
              </w:rPr>
              <w:t>Churn Rate</w:t>
            </w:r>
          </w:p>
        </w:tc>
      </w:tr>
      <w:tr>
        <w:tc>
          <w:tcPr>
            <w:tcW w:type="dxa" w:w="3168"/>
            <w:vAlign w:val="center"/>
          </w:tcPr>
          <w:p>
            <w:r>
              <w:t>Plan 1</w:t>
            </w:r>
          </w:p>
        </w:tc>
        <w:tc>
          <w:tcPr>
            <w:tcW w:type="dxa" w:w="2880"/>
            <w:vAlign w:val="center"/>
          </w:tcPr>
          <w:p>
            <w:r>
              <w:t>2,905</w:t>
            </w:r>
          </w:p>
        </w:tc>
        <w:tc>
          <w:tcPr>
            <w:tcW w:type="dxa" w:w="2880"/>
            <w:vAlign w:val="center"/>
          </w:tcPr>
          <w:p>
            <w:r>
              <w:t>16.83%</w:t>
            </w:r>
          </w:p>
        </w:tc>
      </w:tr>
      <w:tr>
        <w:tc>
          <w:tcPr>
            <w:tcW w:type="dxa" w:w="3168"/>
            <w:vAlign w:val="center"/>
          </w:tcPr>
          <w:p>
            <w:r>
              <w:t>Plan 2</w:t>
            </w:r>
          </w:p>
        </w:tc>
        <w:tc>
          <w:tcPr>
            <w:tcW w:type="dxa" w:w="2880"/>
            <w:vAlign w:val="center"/>
          </w:tcPr>
          <w:p>
            <w:r>
              <w:t>245</w:t>
            </w:r>
          </w:p>
        </w:tc>
        <w:tc>
          <w:tcPr>
            <w:tcW w:type="dxa" w:w="2880"/>
            <w:vAlign w:val="center"/>
          </w:tcPr>
          <w:p>
            <w:r>
              <w:t>2.45%</w:t>
            </w:r>
          </w:p>
        </w:tc>
      </w:tr>
    </w:tbl>
    <w:p/>
    <w:p>
      <w:r>
        <w:t>Plan 1's churn rate exceeds Plan 2's by 14.38 percentage points and is approximately 6.9 times as high. This is a large descriptive difference, but the plan groups are highly unequal in size and the result does not establish causation.</w:t>
      </w:r>
    </w:p>
    <w:p>
      <w:pPr>
        <w:pStyle w:val="Heading2"/>
      </w:pPr>
      <w:r>
        <w:t>6.2 Customer Status and Churn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D9EAF7"/>
          </w:tcPr>
          <w:p>
            <w:r>
              <w:rPr>
                <w:b/>
              </w:rPr>
              <w:t>Status</w:t>
            </w:r>
          </w:p>
        </w:tc>
        <w:tc>
          <w:tcPr>
            <w:tcW w:type="dxa" w:w="2304"/>
            <w:shd w:fill="D9EAF7"/>
          </w:tcPr>
          <w:p>
            <w:r>
              <w:rPr>
                <w:b/>
              </w:rPr>
              <w:t>Customers</w:t>
            </w:r>
          </w:p>
        </w:tc>
        <w:tc>
          <w:tcPr>
            <w:tcW w:type="dxa" w:w="2304"/>
            <w:shd w:fill="D9EAF7"/>
          </w:tcPr>
          <w:p>
            <w:r>
              <w:rPr>
                <w:b/>
              </w:rPr>
              <w:t>Churners</w:t>
            </w:r>
          </w:p>
        </w:tc>
        <w:tc>
          <w:tcPr>
            <w:tcW w:type="dxa" w:w="2304"/>
            <w:shd w:fill="D9EAF7"/>
          </w:tcPr>
          <w:p>
            <w:r>
              <w:rPr>
                <w:b/>
              </w:rPr>
              <w:t>Churn Rate</w:t>
            </w:r>
          </w:p>
        </w:tc>
      </w:tr>
      <w:tr>
        <w:tc>
          <w:tcPr>
            <w:tcW w:type="dxa" w:w="2304"/>
            <w:vAlign w:val="center"/>
          </w:tcPr>
          <w:p>
            <w:r>
              <w:t>Status 1</w:t>
            </w:r>
          </w:p>
        </w:tc>
        <w:tc>
          <w:tcPr>
            <w:tcW w:type="dxa" w:w="2304"/>
            <w:vAlign w:val="center"/>
          </w:tcPr>
          <w:p>
            <w:r>
              <w:t>2,368</w:t>
            </w:r>
          </w:p>
        </w:tc>
        <w:tc>
          <w:tcPr>
            <w:tcW w:type="dxa" w:w="2304"/>
            <w:vAlign w:val="center"/>
          </w:tcPr>
          <w:p>
            <w:r>
              <w:t>125</w:t>
            </w:r>
          </w:p>
        </w:tc>
        <w:tc>
          <w:tcPr>
            <w:tcW w:type="dxa" w:w="2304"/>
            <w:vAlign w:val="center"/>
          </w:tcPr>
          <w:p>
            <w:r>
              <w:t>5.28%</w:t>
            </w:r>
          </w:p>
        </w:tc>
      </w:tr>
      <w:tr>
        <w:tc>
          <w:tcPr>
            <w:tcW w:type="dxa" w:w="2304"/>
            <w:vAlign w:val="center"/>
          </w:tcPr>
          <w:p>
            <w:r>
              <w:t>Status 2</w:t>
            </w:r>
          </w:p>
        </w:tc>
        <w:tc>
          <w:tcPr>
            <w:tcW w:type="dxa" w:w="2304"/>
            <w:vAlign w:val="center"/>
          </w:tcPr>
          <w:p>
            <w:r>
              <w:t>782</w:t>
            </w:r>
          </w:p>
        </w:tc>
        <w:tc>
          <w:tcPr>
            <w:tcW w:type="dxa" w:w="2304"/>
            <w:vAlign w:val="center"/>
          </w:tcPr>
          <w:p>
            <w:r>
              <w:t>370</w:t>
            </w:r>
          </w:p>
        </w:tc>
        <w:tc>
          <w:tcPr>
            <w:tcW w:type="dxa" w:w="2304"/>
            <w:vAlign w:val="center"/>
          </w:tcPr>
          <w:p>
            <w:r>
              <w:t>47.31%</w:t>
            </w:r>
          </w:p>
        </w:tc>
      </w:tr>
    </w:tbl>
    <w:p/>
    <w:p>
      <w:r>
        <w:t>The difference is 42.03 percentage points; Status 2 has approximately nine times the churn rate of Status 1. This is one of the strongest descriptive differences identified.</w:t>
      </w:r>
    </w:p>
    <w:p>
      <w:r>
        <w:t>Important limitation: the business meaning of Status 1 and Status 2 must be established from source documentation before making a specific recommendation. Codes must not be assigned invented meanings such as 'high-value customer'.</w:t>
      </w:r>
    </w:p>
    <w:p>
      <w:pPr>
        <w:pStyle w:val="Heading2"/>
      </w:pPr>
      <w:r>
        <w:t>6.3 Age Group and Churn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656"/>
            <w:shd w:fill="D9EAF7"/>
          </w:tcPr>
          <w:p>
            <w:r>
              <w:rPr>
                <w:b/>
              </w:rPr>
              <w:t>Age Group</w:t>
            </w:r>
          </w:p>
        </w:tc>
        <w:tc>
          <w:tcPr>
            <w:tcW w:type="dxa" w:w="2088"/>
            <w:shd w:fill="D9EAF7"/>
          </w:tcPr>
          <w:p>
            <w:r>
              <w:rPr>
                <w:b/>
              </w:rPr>
              <w:t>Age represented</w:t>
            </w:r>
          </w:p>
        </w:tc>
        <w:tc>
          <w:tcPr>
            <w:tcW w:type="dxa" w:w="1944"/>
            <w:shd w:fill="D9EAF7"/>
          </w:tcPr>
          <w:p>
            <w:r>
              <w:rPr>
                <w:b/>
              </w:rPr>
              <w:t>Customers</w:t>
            </w:r>
          </w:p>
        </w:tc>
        <w:tc>
          <w:tcPr>
            <w:tcW w:type="dxa" w:w="1800"/>
            <w:shd w:fill="D9EAF7"/>
          </w:tcPr>
          <w:p>
            <w:r>
              <w:rPr>
                <w:b/>
              </w:rPr>
              <w:t>Churners</w:t>
            </w:r>
          </w:p>
        </w:tc>
        <w:tc>
          <w:tcPr>
            <w:tcW w:type="dxa" w:w="1944"/>
            <w:shd w:fill="D9EAF7"/>
          </w:tcPr>
          <w:p>
            <w:r>
              <w:rPr>
                <w:b/>
              </w:rPr>
              <w:t>Churn Rate</w:t>
            </w:r>
          </w:p>
        </w:tc>
      </w:tr>
      <w:tr>
        <w:tc>
          <w:tcPr>
            <w:tcW w:type="dxa" w:w="1656"/>
            <w:vAlign w:val="center"/>
          </w:tcPr>
          <w:p>
            <w:r>
              <w:t>1</w:t>
            </w:r>
          </w:p>
        </w:tc>
        <w:tc>
          <w:tcPr>
            <w:tcW w:type="dxa" w:w="2088"/>
            <w:vAlign w:val="center"/>
          </w:tcPr>
          <w:p>
            <w:r>
              <w:t>15</w:t>
            </w:r>
          </w:p>
        </w:tc>
        <w:tc>
          <w:tcPr>
            <w:tcW w:type="dxa" w:w="1944"/>
            <w:vAlign w:val="center"/>
          </w:tcPr>
          <w:p>
            <w:r>
              <w:t>123</w:t>
            </w:r>
          </w:p>
        </w:tc>
        <w:tc>
          <w:tcPr>
            <w:tcW w:type="dxa" w:w="1800"/>
            <w:vAlign w:val="center"/>
          </w:tcPr>
          <w:p>
            <w:r>
              <w:t>0</w:t>
            </w:r>
          </w:p>
        </w:tc>
        <w:tc>
          <w:tcPr>
            <w:tcW w:type="dxa" w:w="1944"/>
            <w:vAlign w:val="center"/>
          </w:tcPr>
          <w:p>
            <w:r>
              <w:t>0.00%</w:t>
            </w:r>
          </w:p>
        </w:tc>
      </w:tr>
      <w:tr>
        <w:tc>
          <w:tcPr>
            <w:tcW w:type="dxa" w:w="1656"/>
            <w:vAlign w:val="center"/>
          </w:tcPr>
          <w:p>
            <w:r>
              <w:t>2</w:t>
            </w:r>
          </w:p>
        </w:tc>
        <w:tc>
          <w:tcPr>
            <w:tcW w:type="dxa" w:w="2088"/>
            <w:vAlign w:val="center"/>
          </w:tcPr>
          <w:p>
            <w:r>
              <w:t>25</w:t>
            </w:r>
          </w:p>
        </w:tc>
        <w:tc>
          <w:tcPr>
            <w:tcW w:type="dxa" w:w="1944"/>
            <w:vAlign w:val="center"/>
          </w:tcPr>
          <w:p>
            <w:r>
              <w:t>1,037</w:t>
            </w:r>
          </w:p>
        </w:tc>
        <w:tc>
          <w:tcPr>
            <w:tcW w:type="dxa" w:w="1800"/>
            <w:vAlign w:val="center"/>
          </w:tcPr>
          <w:p>
            <w:r>
              <w:t>184</w:t>
            </w:r>
          </w:p>
        </w:tc>
        <w:tc>
          <w:tcPr>
            <w:tcW w:type="dxa" w:w="1944"/>
            <w:vAlign w:val="center"/>
          </w:tcPr>
          <w:p>
            <w:r>
              <w:t>17.74%</w:t>
            </w:r>
          </w:p>
        </w:tc>
      </w:tr>
      <w:tr>
        <w:tc>
          <w:tcPr>
            <w:tcW w:type="dxa" w:w="1656"/>
            <w:vAlign w:val="center"/>
          </w:tcPr>
          <w:p>
            <w:r>
              <w:t>3</w:t>
            </w:r>
          </w:p>
        </w:tc>
        <w:tc>
          <w:tcPr>
            <w:tcW w:type="dxa" w:w="2088"/>
            <w:vAlign w:val="center"/>
          </w:tcPr>
          <w:p>
            <w:r>
              <w:t>30</w:t>
            </w:r>
          </w:p>
        </w:tc>
        <w:tc>
          <w:tcPr>
            <w:tcW w:type="dxa" w:w="1944"/>
            <w:vAlign w:val="center"/>
          </w:tcPr>
          <w:p>
            <w:r>
              <w:t>1,425</w:t>
            </w:r>
          </w:p>
        </w:tc>
        <w:tc>
          <w:tcPr>
            <w:tcW w:type="dxa" w:w="1800"/>
            <w:vAlign w:val="center"/>
          </w:tcPr>
          <w:p>
            <w:r>
              <w:t>230</w:t>
            </w:r>
          </w:p>
        </w:tc>
        <w:tc>
          <w:tcPr>
            <w:tcW w:type="dxa" w:w="1944"/>
            <w:vAlign w:val="center"/>
          </w:tcPr>
          <w:p>
            <w:r>
              <w:t>16.14%</w:t>
            </w:r>
          </w:p>
        </w:tc>
      </w:tr>
      <w:tr>
        <w:tc>
          <w:tcPr>
            <w:tcW w:type="dxa" w:w="1656"/>
            <w:vAlign w:val="center"/>
          </w:tcPr>
          <w:p>
            <w:r>
              <w:t>4</w:t>
            </w:r>
          </w:p>
        </w:tc>
        <w:tc>
          <w:tcPr>
            <w:tcW w:type="dxa" w:w="2088"/>
            <w:vAlign w:val="center"/>
          </w:tcPr>
          <w:p>
            <w:r>
              <w:t>45</w:t>
            </w:r>
          </w:p>
        </w:tc>
        <w:tc>
          <w:tcPr>
            <w:tcW w:type="dxa" w:w="1944"/>
            <w:vAlign w:val="center"/>
          </w:tcPr>
          <w:p>
            <w:r>
              <w:t>395</w:t>
            </w:r>
          </w:p>
        </w:tc>
        <w:tc>
          <w:tcPr>
            <w:tcW w:type="dxa" w:w="1800"/>
            <w:vAlign w:val="center"/>
          </w:tcPr>
          <w:p>
            <w:r>
              <w:t>79</w:t>
            </w:r>
          </w:p>
        </w:tc>
        <w:tc>
          <w:tcPr>
            <w:tcW w:type="dxa" w:w="1944"/>
            <w:vAlign w:val="center"/>
          </w:tcPr>
          <w:p>
            <w:r>
              <w:t>20.00%</w:t>
            </w:r>
          </w:p>
        </w:tc>
      </w:tr>
      <w:tr>
        <w:tc>
          <w:tcPr>
            <w:tcW w:type="dxa" w:w="1656"/>
            <w:vAlign w:val="center"/>
          </w:tcPr>
          <w:p>
            <w:r>
              <w:t>5</w:t>
            </w:r>
          </w:p>
        </w:tc>
        <w:tc>
          <w:tcPr>
            <w:tcW w:type="dxa" w:w="2088"/>
            <w:vAlign w:val="center"/>
          </w:tcPr>
          <w:p>
            <w:r>
              <w:t>55</w:t>
            </w:r>
          </w:p>
        </w:tc>
        <w:tc>
          <w:tcPr>
            <w:tcW w:type="dxa" w:w="1944"/>
            <w:vAlign w:val="center"/>
          </w:tcPr>
          <w:p>
            <w:r>
              <w:t>170</w:t>
            </w:r>
          </w:p>
        </w:tc>
        <w:tc>
          <w:tcPr>
            <w:tcW w:type="dxa" w:w="1800"/>
            <w:vAlign w:val="center"/>
          </w:tcPr>
          <w:p>
            <w:r>
              <w:t>2</w:t>
            </w:r>
          </w:p>
        </w:tc>
        <w:tc>
          <w:tcPr>
            <w:tcW w:type="dxa" w:w="1944"/>
            <w:vAlign w:val="center"/>
          </w:tcPr>
          <w:p>
            <w:r>
              <w:t>1.18%</w:t>
            </w:r>
          </w:p>
        </w:tc>
      </w:tr>
    </w:tbl>
    <w:p/>
    <w:p>
      <w:r>
        <w:t>The relationship is non-linear and irregular. Churn is concentrated in the middle age categories represented in the data, with Age Group 4 (age 45) recording the highest churn rate at 20.00%. Groups 1 and 5 show very low churn, but they also contain substantially fewer observations and should be interpreted cautiously.</w:t>
      </w:r>
    </w:p>
    <w:p>
      <w:r>
        <w:t>The dataset establishes that each age-group code maps to a single recorded age (1→15, 2→25, 3→30, 4→45, 5→55). It does not establish broader ranges such as 15–24; ranges should therefore not be invented.</w:t>
      </w:r>
    </w:p>
    <w:p>
      <w:pPr>
        <w:pStyle w:val="Heading1"/>
      </w:pPr>
      <w:r>
        <w:t>7. Emerging Business Story</w:t>
      </w:r>
    </w:p>
    <w:p>
      <w:pPr>
        <w:pStyle w:val="ListBullet"/>
        <w:spacing w:after="40"/>
      </w:pPr>
      <w:r>
        <w:t>Complaint behaviour is associated with a very large increase in observed churn rate.</w:t>
      </w:r>
    </w:p>
    <w:p>
      <w:pPr>
        <w:pStyle w:val="ListBullet"/>
        <w:spacing w:after="40"/>
      </w:pPr>
      <w:r>
        <w:t>Lower general service engagement is repeatedly associated with churn: lower seconds of use, lower frequency of use, and fewer distinct called numbers.</w:t>
      </w:r>
    </w:p>
    <w:p>
      <w:pPr>
        <w:pStyle w:val="ListBullet"/>
        <w:spacing w:after="40"/>
      </w:pPr>
      <w:r>
        <w:t>Seconds of use and frequency of use are highly correlated and should not automatically be treated as independent churn drivers.</w:t>
      </w:r>
    </w:p>
    <w:p>
      <w:pPr>
        <w:pStyle w:val="ListBullet"/>
        <w:spacing w:after="40"/>
      </w:pPr>
      <w:r>
        <w:t>SMS behaviour also differs by churn, but is only weakly correlated with the general usage measures and may represent a distinct behavioural dimension.</w:t>
      </w:r>
    </w:p>
    <w:p>
      <w:pPr>
        <w:pStyle w:val="ListBullet"/>
        <w:spacing w:after="40"/>
      </w:pPr>
      <w:r>
        <w:t>Churned customers have substantially lower customer-value measures on average and represent only 4.16% of total customer value despite making up about 15.71% of customers.</w:t>
      </w:r>
    </w:p>
    <w:p>
      <w:pPr>
        <w:pStyle w:val="ListBullet"/>
        <w:spacing w:after="40"/>
      </w:pPr>
      <w:r>
        <w:t>Tariff plan, customer status and age group all show notable descriptive churn differences, with customer status showing an especially large separation.</w:t>
      </w:r>
    </w:p>
    <w:p>
      <w:pPr>
        <w:pStyle w:val="ListBullet"/>
        <w:spacing w:after="40"/>
      </w:pPr>
      <w:r>
        <w:t>The analysis identifies candidate churn indicators, not proven causal drivers.</w:t>
      </w:r>
    </w:p>
    <w:p>
      <w:pPr>
        <w:pStyle w:val="Heading1"/>
      </w:pPr>
      <w:r>
        <w:t>8. Analytical Discipline / Common Pitfalls Avoided</w:t>
      </w:r>
    </w:p>
    <w:p>
      <w:pPr>
        <w:pStyle w:val="ListBullet"/>
        <w:spacing w:after="40"/>
      </w:pPr>
      <w:r>
        <w:t>Do not use the word 'statistically significant' based only on EDA charts or descriptive statistics.</w:t>
      </w:r>
    </w:p>
    <w:p>
      <w:pPr>
        <w:pStyle w:val="ListBullet"/>
        <w:spacing w:after="40"/>
      </w:pPr>
      <w:r>
        <w:t>Do not infer causation from correlation or group differences.</w:t>
      </w:r>
    </w:p>
    <w:p>
      <w:pPr>
        <w:pStyle w:val="ListBullet"/>
        <w:spacing w:after="40"/>
      </w:pPr>
      <w:r>
        <w:t>Do not assume coded categories have a business meaning that is not documented.</w:t>
      </w:r>
    </w:p>
    <w:p>
      <w:pPr>
        <w:pStyle w:val="ListBullet"/>
        <w:spacing w:after="40"/>
      </w:pPr>
      <w:r>
        <w:t>Do not assume box-plot outliers are errors.</w:t>
      </w:r>
    </w:p>
    <w:p>
      <w:pPr>
        <w:pStyle w:val="ListBullet"/>
        <w:spacing w:after="40"/>
      </w:pPr>
      <w:r>
        <w:t>Do not interpret a low average customer value among churners as proof that churn is commercially unimportant.</w:t>
      </w:r>
    </w:p>
    <w:p>
      <w:pPr>
        <w:pStyle w:val="ListBullet"/>
        <w:spacing w:after="40"/>
      </w:pPr>
      <w:r>
        <w:t>Do not treat strongly correlated variables as completely independent findings.</w:t>
      </w:r>
    </w:p>
    <w:p>
      <w:pPr>
        <w:pStyle w:val="ListBullet"/>
        <w:spacing w:after="40"/>
      </w:pPr>
      <w:r>
        <w:t>Always consider group size when comparing percentages across categories.</w:t>
      </w:r>
    </w:p>
    <w:p>
      <w:pPr>
        <w:pStyle w:val="Heading1"/>
      </w:pPr>
      <w:r>
        <w:t>9. Checkpoint 2 Completion and Next Phase</w:t>
      </w:r>
    </w:p>
    <w:p>
      <w:r>
        <w:t>Checkpoint 2 marks the completion of the main exploratory churn analysis covered in this stage. The next phase should move from descriptive evidence toward formal statistical analysis. Candidate tests should be selected according to variable type and assumptions, with the goal of determining whether observed churn differences are statistically supported and of quantifying effect sizes where appropriate.</w:t>
      </w:r>
    </w:p>
    <w:p>
      <w:r>
        <w:t>Recommended workflow before proceeding: save the Jupyter notebook, confirm it runs cleanly from the top, review Git status, commit the completed EDA stage, push to GitHub, and then begin the formal statistics section in a clearly separated notebook or project section.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Telecom Customer Churn Analysis | Checkpoint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