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Telecom Customer Churn Analysis</w:t>
      </w:r>
    </w:p>
    <w:p>
      <w:pPr>
        <w:jc w:val="center"/>
      </w:pPr>
      <w:r>
        <w:rPr>
          <w:b/>
          <w:sz w:val="26"/>
        </w:rPr>
        <w:t>Checkpoint 4 — Predictive Modelling Documentation</w:t>
      </w:r>
    </w:p>
    <w:p>
      <w:pPr>
        <w:jc w:val="center"/>
      </w:pPr>
      <w:r>
        <w:rPr>
          <w:i/>
        </w:rPr>
        <w:t>Portfolio Project | Python • scikit-learn • Statistical Learning</w:t>
      </w:r>
    </w:p>
    <w:p/>
    <w:p>
      <w:pPr>
        <w:pStyle w:val="Heading1"/>
      </w:pPr>
      <w:r>
        <w:t>1. Checkpoint Objective</w:t>
      </w:r>
    </w:p>
    <w:p>
      <w:r>
        <w:t>This checkpoint documents the predictive-modelling phase of the telecom customer churn project. The objective was to build, compare, tune, and evaluate classification models that predict whether a customer will churn, while using evaluation methods appropriate for an imbalanced target variable.</w:t>
      </w:r>
    </w:p>
    <w:p>
      <w:r>
        <w:t>The modelling workflow progressed from interpretable baseline models to tree-based ensemble methods. Model selection was based primarily on churn-class F1-score using stratified five-fold cross-validation on the training data. The final selected model was then evaluated once on the held-out test set.</w:t>
      </w:r>
    </w:p>
    <w:p>
      <w:pPr>
        <w:pStyle w:val="Heading1"/>
      </w:pPr>
      <w:r>
        <w:t>2. Core Modelling Concepts 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Concept</w:t>
            </w:r>
          </w:p>
        </w:tc>
        <w:tc>
          <w:tcPr>
            <w:tcW w:type="dxa" w:w="5112"/>
            <w:vAlign w:val="center"/>
            <w:shd w:fill="D9EAF7"/>
          </w:tcPr>
          <w:p>
            <w:r/>
            <w:r>
              <w:rPr>
                <w:rFonts w:ascii="Aptos" w:hAnsi="Aptos"/>
                <w:b/>
                <w:sz w:val="18"/>
              </w:rPr>
              <w:t>Meaning in This Project</w:t>
            </w:r>
          </w:p>
        </w:tc>
      </w:tr>
      <w:tr>
        <w:tc>
          <w:tcPr>
            <w:tcW w:type="dxa" w:w="5112"/>
            <w:vAlign w:val="center"/>
          </w:tcPr>
          <w:p>
            <w:r/>
            <w:r>
              <w:rPr>
                <w:rFonts w:ascii="Aptos" w:hAnsi="Aptos"/>
                <w:b/>
                <w:sz w:val="18"/>
              </w:rPr>
              <w:t>Target (y)</w:t>
            </w:r>
          </w:p>
        </w:tc>
        <w:tc>
          <w:tcPr>
            <w:tcW w:type="dxa" w:w="5112"/>
            <w:vAlign w:val="center"/>
          </w:tcPr>
          <w:p>
            <w:r/>
            <w:r>
              <w:rPr>
                <w:rFonts w:ascii="Aptos" w:hAnsi="Aptos"/>
                <w:b w:val="0"/>
                <w:sz w:val="18"/>
              </w:rPr>
              <w:t>The variable being predicted: churn, where 0 = non-churn and 1 = churn.</w:t>
            </w:r>
          </w:p>
        </w:tc>
      </w:tr>
      <w:tr>
        <w:tc>
          <w:tcPr>
            <w:tcW w:type="dxa" w:w="5112"/>
            <w:vAlign w:val="center"/>
          </w:tcPr>
          <w:p>
            <w:r/>
            <w:r>
              <w:rPr>
                <w:rFonts w:ascii="Aptos" w:hAnsi="Aptos"/>
                <w:b/>
                <w:sz w:val="18"/>
              </w:rPr>
              <w:t>Features (X)</w:t>
            </w:r>
          </w:p>
        </w:tc>
        <w:tc>
          <w:tcPr>
            <w:tcW w:type="dxa" w:w="5112"/>
            <w:vAlign w:val="center"/>
          </w:tcPr>
          <w:p>
            <w:r/>
            <w:r>
              <w:rPr>
                <w:rFonts w:ascii="Aptos" w:hAnsi="Aptos"/>
                <w:b w:val="0"/>
                <w:sz w:val="18"/>
              </w:rPr>
              <w:t>Customer characteristics and usage variables used as predictors.</w:t>
            </w:r>
          </w:p>
        </w:tc>
      </w:tr>
      <w:tr>
        <w:tc>
          <w:tcPr>
            <w:tcW w:type="dxa" w:w="5112"/>
            <w:vAlign w:val="center"/>
          </w:tcPr>
          <w:p>
            <w:r/>
            <w:r>
              <w:rPr>
                <w:rFonts w:ascii="Aptos" w:hAnsi="Aptos"/>
                <w:b/>
                <w:sz w:val="18"/>
              </w:rPr>
              <w:t>Train/Test Split</w:t>
            </w:r>
          </w:p>
        </w:tc>
        <w:tc>
          <w:tcPr>
            <w:tcW w:type="dxa" w:w="5112"/>
            <w:vAlign w:val="center"/>
          </w:tcPr>
          <w:p>
            <w:r/>
            <w:r>
              <w:rPr>
                <w:rFonts w:ascii="Aptos" w:hAnsi="Aptos"/>
                <w:b w:val="0"/>
                <w:sz w:val="18"/>
              </w:rPr>
              <w:t>80% of customers were used for model development and 20% were held out for final evaluation.</w:t>
            </w:r>
          </w:p>
        </w:tc>
      </w:tr>
      <w:tr>
        <w:tc>
          <w:tcPr>
            <w:tcW w:type="dxa" w:w="5112"/>
            <w:vAlign w:val="center"/>
          </w:tcPr>
          <w:p>
            <w:r/>
            <w:r>
              <w:rPr>
                <w:rFonts w:ascii="Aptos" w:hAnsi="Aptos"/>
                <w:b/>
                <w:sz w:val="18"/>
              </w:rPr>
              <w:t>Stratification</w:t>
            </w:r>
          </w:p>
        </w:tc>
        <w:tc>
          <w:tcPr>
            <w:tcW w:type="dxa" w:w="5112"/>
            <w:vAlign w:val="center"/>
          </w:tcPr>
          <w:p>
            <w:r/>
            <w:r>
              <w:rPr>
                <w:rFonts w:ascii="Aptos" w:hAnsi="Aptos"/>
                <w:b w:val="0"/>
                <w:sz w:val="18"/>
              </w:rPr>
              <w:t>The churn/non-churn proportions were preserved in the training and test sets.</w:t>
            </w:r>
          </w:p>
        </w:tc>
      </w:tr>
      <w:tr>
        <w:tc>
          <w:tcPr>
            <w:tcW w:type="dxa" w:w="5112"/>
            <w:vAlign w:val="center"/>
          </w:tcPr>
          <w:p>
            <w:r/>
            <w:r>
              <w:rPr>
                <w:rFonts w:ascii="Aptos" w:hAnsi="Aptos"/>
                <w:b/>
                <w:sz w:val="18"/>
              </w:rPr>
              <w:t>Precision</w:t>
            </w:r>
          </w:p>
        </w:tc>
        <w:tc>
          <w:tcPr>
            <w:tcW w:type="dxa" w:w="5112"/>
            <w:vAlign w:val="center"/>
          </w:tcPr>
          <w:p>
            <w:r/>
            <w:r>
              <w:rPr>
                <w:rFonts w:ascii="Aptos" w:hAnsi="Aptos"/>
                <w:b w:val="0"/>
                <w:sz w:val="18"/>
              </w:rPr>
              <w:t>Of customers predicted to churn, the proportion who actually churned.</w:t>
            </w:r>
          </w:p>
        </w:tc>
      </w:tr>
      <w:tr>
        <w:tc>
          <w:tcPr>
            <w:tcW w:type="dxa" w:w="5112"/>
            <w:vAlign w:val="center"/>
          </w:tcPr>
          <w:p>
            <w:r/>
            <w:r>
              <w:rPr>
                <w:rFonts w:ascii="Aptos" w:hAnsi="Aptos"/>
                <w:b/>
                <w:sz w:val="18"/>
              </w:rPr>
              <w:t>Recall</w:t>
            </w:r>
          </w:p>
        </w:tc>
        <w:tc>
          <w:tcPr>
            <w:tcW w:type="dxa" w:w="5112"/>
            <w:vAlign w:val="center"/>
          </w:tcPr>
          <w:p>
            <w:r/>
            <w:r>
              <w:rPr>
                <w:rFonts w:ascii="Aptos" w:hAnsi="Aptos"/>
                <w:b w:val="0"/>
                <w:sz w:val="18"/>
              </w:rPr>
              <w:t>Of customers who actually churned, the proportion the model successfully identified.</w:t>
            </w:r>
          </w:p>
        </w:tc>
      </w:tr>
      <w:tr>
        <w:tc>
          <w:tcPr>
            <w:tcW w:type="dxa" w:w="5112"/>
            <w:vAlign w:val="center"/>
          </w:tcPr>
          <w:p>
            <w:r/>
            <w:r>
              <w:rPr>
                <w:rFonts w:ascii="Aptos" w:hAnsi="Aptos"/>
                <w:b/>
                <w:sz w:val="18"/>
              </w:rPr>
              <w:t>F1-score</w:t>
            </w:r>
          </w:p>
        </w:tc>
        <w:tc>
          <w:tcPr>
            <w:tcW w:type="dxa" w:w="5112"/>
            <w:vAlign w:val="center"/>
          </w:tcPr>
          <w:p>
            <w:r/>
            <w:r>
              <w:rPr>
                <w:rFonts w:ascii="Aptos" w:hAnsi="Aptos"/>
                <w:b w:val="0"/>
                <w:sz w:val="18"/>
              </w:rPr>
              <w:t>A harmonic-mean summary of precision and recall; used as the main model-comparison metric.</w:t>
            </w:r>
          </w:p>
        </w:tc>
      </w:tr>
      <w:tr>
        <w:tc>
          <w:tcPr>
            <w:tcW w:type="dxa" w:w="5112"/>
            <w:vAlign w:val="center"/>
          </w:tcPr>
          <w:p>
            <w:r/>
            <w:r>
              <w:rPr>
                <w:rFonts w:ascii="Aptos" w:hAnsi="Aptos"/>
                <w:b/>
                <w:sz w:val="18"/>
              </w:rPr>
              <w:t>Cross-validation</w:t>
            </w:r>
          </w:p>
        </w:tc>
        <w:tc>
          <w:tcPr>
            <w:tcW w:type="dxa" w:w="5112"/>
            <w:vAlign w:val="center"/>
          </w:tcPr>
          <w:p>
            <w:r/>
            <w:r>
              <w:rPr>
                <w:rFonts w:ascii="Aptos" w:hAnsi="Aptos"/>
                <w:b w:val="0"/>
                <w:sz w:val="18"/>
              </w:rPr>
              <w:t>Five-fold stratified validation used to compare models and tune hyperparameters without repeatedly consulting the test set.</w:t>
            </w:r>
          </w:p>
        </w:tc>
      </w:tr>
    </w:tbl>
    <w:p>
      <w:pPr>
        <w:pStyle w:val="Heading1"/>
      </w:pPr>
      <w:r>
        <w:t>3. Data Preparation</w:t>
      </w:r>
    </w:p>
    <w:p>
      <w:r>
        <w:t>The raw column names were standardized to snake_case for consistency and easier coding. The final modelling feature matrix contained 12 predictors across 3,150 customers.</w:t>
      </w:r>
    </w:p>
    <w:p>
      <w:r>
        <w:rPr>
          <w:b/>
        </w:rPr>
        <w:t xml:space="preserve">Features retained: </w:t>
      </w:r>
      <w:r>
        <w:t>call_failure, complains, subscription_length, charge_amount, seconds_of_use, frequency_of_use, frequency_of_sms, distinct_called_numbers, tariff_plan, status, age, customer_value.</w:t>
      </w:r>
    </w:p>
    <w:p>
      <w:r>
        <w:rPr>
          <w:b/>
        </w:rPr>
        <w:t xml:space="preserve">Feature excluded: </w:t>
      </w:r>
      <w:r>
        <w:t>age_group, because it duplicates information already represented by age.</w:t>
      </w:r>
    </w:p>
    <w:p>
      <w:r>
        <w:rPr>
          <w:b/>
        </w:rPr>
        <w:t xml:space="preserve">Split: </w:t>
      </w:r>
      <w:r>
        <w:t>2,520 customers for training and 630 for testing. Both retained the original target distribution of approximately 84.3% non-churn and 15.7% churn.</w:t>
      </w:r>
    </w:p>
    <w:p>
      <w:pPr>
        <w:pStyle w:val="Heading1"/>
      </w:pPr>
      <w:r>
        <w:t>4. Model Development and Comparison</w:t>
      </w:r>
    </w:p>
    <w:p>
      <w:r>
        <w:t>The following models were evaluated using the same stratified five-fold cross-validation framework. Mean churn-class F1-score was used as the primary comparison metric.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8"/>
              </w:rPr>
              <w:t>Model</w:t>
            </w:r>
          </w:p>
        </w:tc>
        <w:tc>
          <w:tcPr>
            <w:tcW w:type="dxa" w:w="2556"/>
            <w:vAlign w:val="center"/>
            <w:shd w:fill="D9EAF7"/>
          </w:tcPr>
          <w:p>
            <w:r/>
            <w:r>
              <w:rPr>
                <w:rFonts w:ascii="Aptos" w:hAnsi="Aptos"/>
                <w:b/>
                <w:sz w:val="18"/>
              </w:rPr>
              <w:t>Mean CV F1</w:t>
            </w:r>
          </w:p>
        </w:tc>
        <w:tc>
          <w:tcPr>
            <w:tcW w:type="dxa" w:w="2556"/>
            <w:vAlign w:val="center"/>
            <w:shd w:fill="D9EAF7"/>
          </w:tcPr>
          <w:p>
            <w:r/>
            <w:r>
              <w:rPr>
                <w:rFonts w:ascii="Aptos" w:hAnsi="Aptos"/>
                <w:b/>
                <w:sz w:val="18"/>
              </w:rPr>
              <w:t>CV Std</w:t>
            </w:r>
          </w:p>
        </w:tc>
        <w:tc>
          <w:tcPr>
            <w:tcW w:type="dxa" w:w="2556"/>
            <w:vAlign w:val="center"/>
            <w:shd w:fill="D9EAF7"/>
          </w:tcPr>
          <w:p>
            <w:r/>
            <w:r>
              <w:rPr>
                <w:rFonts w:ascii="Aptos" w:hAnsi="Aptos"/>
                <w:b/>
                <w:sz w:val="18"/>
              </w:rPr>
              <w:t>Interpretation</w:t>
            </w:r>
          </w:p>
        </w:tc>
      </w:tr>
      <w:tr>
        <w:tc>
          <w:tcPr>
            <w:tcW w:type="dxa" w:w="2556"/>
            <w:vAlign w:val="center"/>
          </w:tcPr>
          <w:p>
            <w:r/>
            <w:r>
              <w:rPr>
                <w:rFonts w:ascii="Aptos" w:hAnsi="Aptos"/>
                <w:b/>
                <w:sz w:val="18"/>
              </w:rPr>
              <w:t>Original Logistic Regression</w:t>
            </w:r>
          </w:p>
        </w:tc>
        <w:tc>
          <w:tcPr>
            <w:tcW w:type="dxa" w:w="2556"/>
            <w:vAlign w:val="center"/>
          </w:tcPr>
          <w:p>
            <w:r/>
            <w:r>
              <w:rPr>
                <w:rFonts w:ascii="Aptos" w:hAnsi="Aptos"/>
                <w:b w:val="0"/>
                <w:sz w:val="18"/>
              </w:rPr>
              <w:t>0.558</w:t>
            </w:r>
          </w:p>
        </w:tc>
        <w:tc>
          <w:tcPr>
            <w:tcW w:type="dxa" w:w="2556"/>
            <w:vAlign w:val="center"/>
          </w:tcPr>
          <w:p>
            <w:r/>
            <w:r>
              <w:rPr>
                <w:rFonts w:ascii="Aptos" w:hAnsi="Aptos"/>
                <w:b w:val="0"/>
                <w:sz w:val="18"/>
              </w:rPr>
              <w:t>0.067</w:t>
            </w:r>
          </w:p>
        </w:tc>
        <w:tc>
          <w:tcPr>
            <w:tcW w:type="dxa" w:w="2556"/>
            <w:vAlign w:val="center"/>
          </w:tcPr>
          <w:p>
            <w:r/>
            <w:r>
              <w:rPr>
                <w:rFonts w:ascii="Aptos" w:hAnsi="Aptos"/>
                <w:b w:val="0"/>
                <w:sz w:val="18"/>
              </w:rPr>
              <w:t>Strong overall accuracy but low churn recall.</w:t>
            </w:r>
          </w:p>
        </w:tc>
      </w:tr>
      <w:tr>
        <w:tc>
          <w:tcPr>
            <w:tcW w:type="dxa" w:w="2556"/>
            <w:vAlign w:val="center"/>
          </w:tcPr>
          <w:p>
            <w:r/>
            <w:r>
              <w:rPr>
                <w:rFonts w:ascii="Aptos" w:hAnsi="Aptos"/>
                <w:b/>
                <w:sz w:val="18"/>
              </w:rPr>
              <w:t>Balanced Logistic Regression</w:t>
            </w:r>
          </w:p>
        </w:tc>
        <w:tc>
          <w:tcPr>
            <w:tcW w:type="dxa" w:w="2556"/>
            <w:vAlign w:val="center"/>
          </w:tcPr>
          <w:p>
            <w:r/>
            <w:r>
              <w:rPr>
                <w:rFonts w:ascii="Aptos" w:hAnsi="Aptos"/>
                <w:b w:val="0"/>
                <w:sz w:val="18"/>
              </w:rPr>
              <w:t>0.649</w:t>
            </w:r>
          </w:p>
        </w:tc>
        <w:tc>
          <w:tcPr>
            <w:tcW w:type="dxa" w:w="2556"/>
            <w:vAlign w:val="center"/>
          </w:tcPr>
          <w:p>
            <w:r/>
            <w:r>
              <w:rPr>
                <w:rFonts w:ascii="Aptos" w:hAnsi="Aptos"/>
                <w:b w:val="0"/>
                <w:sz w:val="18"/>
              </w:rPr>
              <w:t>0.012</w:t>
            </w:r>
          </w:p>
        </w:tc>
        <w:tc>
          <w:tcPr>
            <w:tcW w:type="dxa" w:w="2556"/>
            <w:vAlign w:val="center"/>
          </w:tcPr>
          <w:p>
            <w:r/>
            <w:r>
              <w:rPr>
                <w:rFonts w:ascii="Aptos" w:hAnsi="Aptos"/>
                <w:b w:val="0"/>
                <w:sz w:val="18"/>
              </w:rPr>
              <w:t>Class weighting improved churn recall and stability.</w:t>
            </w:r>
          </w:p>
        </w:tc>
      </w:tr>
      <w:tr>
        <w:tc>
          <w:tcPr>
            <w:tcW w:type="dxa" w:w="2556"/>
            <w:vAlign w:val="center"/>
          </w:tcPr>
          <w:p>
            <w:r/>
            <w:r>
              <w:rPr>
                <w:rFonts w:ascii="Aptos" w:hAnsi="Aptos"/>
                <w:b/>
                <w:sz w:val="18"/>
              </w:rPr>
              <w:t>Decision Tree</w:t>
            </w:r>
          </w:p>
        </w:tc>
        <w:tc>
          <w:tcPr>
            <w:tcW w:type="dxa" w:w="2556"/>
            <w:vAlign w:val="center"/>
          </w:tcPr>
          <w:p>
            <w:r/>
            <w:r>
              <w:rPr>
                <w:rFonts w:ascii="Aptos" w:hAnsi="Aptos"/>
                <w:b w:val="0"/>
                <w:sz w:val="18"/>
              </w:rPr>
              <w:t>0.810</w:t>
            </w:r>
          </w:p>
        </w:tc>
        <w:tc>
          <w:tcPr>
            <w:tcW w:type="dxa" w:w="2556"/>
            <w:vAlign w:val="center"/>
          </w:tcPr>
          <w:p>
            <w:r/>
            <w:r>
              <w:rPr>
                <w:rFonts w:ascii="Aptos" w:hAnsi="Aptos"/>
                <w:b w:val="0"/>
                <w:sz w:val="18"/>
              </w:rPr>
              <w:t>0.018</w:t>
            </w:r>
          </w:p>
        </w:tc>
        <w:tc>
          <w:tcPr>
            <w:tcW w:type="dxa" w:w="2556"/>
            <w:vAlign w:val="center"/>
          </w:tcPr>
          <w:p>
            <w:r/>
            <w:r>
              <w:rPr>
                <w:rFonts w:ascii="Aptos" w:hAnsi="Aptos"/>
                <w:b w:val="0"/>
                <w:sz w:val="18"/>
              </w:rPr>
              <w:t>Strong non-linear performance; tuning did not improve the unrestricted tree.</w:t>
            </w:r>
          </w:p>
        </w:tc>
      </w:tr>
      <w:tr>
        <w:tc>
          <w:tcPr>
            <w:tcW w:type="dxa" w:w="2556"/>
            <w:vAlign w:val="center"/>
          </w:tcPr>
          <w:p>
            <w:r/>
            <w:r>
              <w:rPr>
                <w:rFonts w:ascii="Aptos" w:hAnsi="Aptos"/>
                <w:b/>
                <w:sz w:val="18"/>
              </w:rPr>
              <w:t>Random Forest</w:t>
            </w:r>
          </w:p>
        </w:tc>
        <w:tc>
          <w:tcPr>
            <w:tcW w:type="dxa" w:w="2556"/>
            <w:vAlign w:val="center"/>
          </w:tcPr>
          <w:p>
            <w:r/>
            <w:r>
              <w:rPr>
                <w:rFonts w:ascii="Aptos" w:hAnsi="Aptos"/>
                <w:b w:val="0"/>
                <w:sz w:val="18"/>
              </w:rPr>
              <w:t>0.876</w:t>
            </w:r>
          </w:p>
        </w:tc>
        <w:tc>
          <w:tcPr>
            <w:tcW w:type="dxa" w:w="2556"/>
            <w:vAlign w:val="center"/>
          </w:tcPr>
          <w:p>
            <w:r/>
            <w:r>
              <w:rPr>
                <w:rFonts w:ascii="Aptos" w:hAnsi="Aptos"/>
                <w:b w:val="0"/>
                <w:sz w:val="18"/>
              </w:rPr>
              <w:t>0.017</w:t>
            </w:r>
          </w:p>
        </w:tc>
        <w:tc>
          <w:tcPr>
            <w:tcW w:type="dxa" w:w="2556"/>
            <w:vAlign w:val="center"/>
          </w:tcPr>
          <w:p>
            <w:r/>
            <w:r>
              <w:rPr>
                <w:rFonts w:ascii="Aptos" w:hAnsi="Aptos"/>
                <w:b w:val="0"/>
                <w:sz w:val="18"/>
              </w:rPr>
              <w:t>Substantially stronger than the single Decision Tree.</w:t>
            </w:r>
          </w:p>
        </w:tc>
      </w:tr>
      <w:tr>
        <w:tc>
          <w:tcPr>
            <w:tcW w:type="dxa" w:w="2556"/>
            <w:vAlign w:val="center"/>
          </w:tcPr>
          <w:p>
            <w:r/>
            <w:r>
              <w:rPr>
                <w:rFonts w:ascii="Aptos" w:hAnsi="Aptos"/>
                <w:b/>
                <w:sz w:val="18"/>
              </w:rPr>
              <w:t>Tuned Random Forest</w:t>
            </w:r>
          </w:p>
        </w:tc>
        <w:tc>
          <w:tcPr>
            <w:tcW w:type="dxa" w:w="2556"/>
            <w:vAlign w:val="center"/>
          </w:tcPr>
          <w:p>
            <w:r/>
            <w:r>
              <w:rPr>
                <w:rFonts w:ascii="Aptos" w:hAnsi="Aptos"/>
                <w:b w:val="0"/>
                <w:sz w:val="18"/>
              </w:rPr>
              <w:t>0.882</w:t>
            </w:r>
          </w:p>
        </w:tc>
        <w:tc>
          <w:tcPr>
            <w:tcW w:type="dxa" w:w="2556"/>
            <w:vAlign w:val="center"/>
          </w:tcPr>
          <w:p>
            <w:r/>
            <w:r>
              <w:rPr>
                <w:rFonts w:ascii="Aptos" w:hAnsi="Aptos"/>
                <w:b w:val="0"/>
                <w:sz w:val="18"/>
              </w:rPr>
              <w:t>≈0.022</w:t>
            </w:r>
          </w:p>
        </w:tc>
        <w:tc>
          <w:tcPr>
            <w:tcW w:type="dxa" w:w="2556"/>
            <w:vAlign w:val="center"/>
          </w:tcPr>
          <w:p>
            <w:r/>
            <w:r>
              <w:rPr>
                <w:rFonts w:ascii="Aptos" w:hAnsi="Aptos"/>
                <w:b w:val="0"/>
                <w:sz w:val="18"/>
              </w:rPr>
              <w:t>Highest mean CV F1 among tested models.</w:t>
            </w:r>
          </w:p>
        </w:tc>
      </w:tr>
    </w:tbl>
    <w:p>
      <w:pPr>
        <w:pStyle w:val="Heading2"/>
      </w:pPr>
      <w:r>
        <w:t>4.1 Logistic Regression Findings</w:t>
      </w:r>
    </w:p>
    <w:p>
      <w:r>
        <w:t>The original logistic regression achieved approximately 90% accuracy on the test set but only 42% churn recall. This illustrated why accuracy alone is misleading for an imbalanced churn problem.</w:t>
      </w:r>
    </w:p>
    <w:p>
      <w:r>
        <w:t>Using class_weight="balanced" increased churn recall to 86%, but precision fell from 84% to 50%. This demonstrated the precision–recall trade-off: catching more churners produced more false churn alerts.</w:t>
      </w:r>
    </w:p>
    <w:p>
      <w:r>
        <w:t>A threshold experiment at 0.30 improved churn recall to 77% with precision of 63% and F1 of 0.69. This was treated as an illustrative experiment rather than a final tuned threshold because repeated test-set threshold selection would compromise the independence of the held-out test set.</w:t>
      </w:r>
    </w:p>
    <w:p>
      <w:pPr>
        <w:pStyle w:val="Heading2"/>
      </w:pPr>
      <w:r>
        <w:t>4.2 Decision Tree Findings</w:t>
      </w:r>
    </w:p>
    <w:p>
      <w:r>
        <w:t>The unrestricted Decision Tree reached approximately 0.97 churn F1 on the training data, indicating a very close fit to the training sample. Its five-fold cross-validation mean F1 was lower at approximately 0.810, but still substantially stronger than the logistic models.</w:t>
      </w:r>
    </w:p>
    <w:p>
      <w:r>
        <w:t>The tree had depth 19 and 151 leaves. Hyperparameter experiments with max_depth, min_samples_leaf, and min_samples_split showed diminishing returns after roughly depth 10, but no tested complexity restriction improved mean cross-validation F1 beyond the unrestricted configuration.</w:t>
      </w:r>
    </w:p>
    <w:p>
      <w:pPr>
        <w:pStyle w:val="Heading2"/>
        <w:pageBreakBefore/>
      </w:pPr>
      <w:r>
        <w:t>4.3 Random Forest Tuning</w:t>
      </w:r>
    </w:p>
    <w:p>
      <w:r>
        <w:t>Random Forest improved validation performance by combining many randomized Decision Trees. A GridSearchCV search tested n_estimators, max_depth, min_samples_leaf, and max_features.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3E8"/>
          </w:tcPr>
          <w:p>
            <w:r/>
            <w:r>
              <w:rPr>
                <w:rFonts w:ascii="Aptos" w:hAnsi="Aptos"/>
                <w:b/>
                <w:sz w:val="18"/>
              </w:rPr>
              <w:t>Selected Hyperparameter</w:t>
            </w:r>
          </w:p>
        </w:tc>
        <w:tc>
          <w:tcPr>
            <w:tcW w:type="dxa" w:w="5112"/>
            <w:vAlign w:val="center"/>
            <w:shd w:fill="E8F3E8"/>
          </w:tcPr>
          <w:p>
            <w:r/>
            <w:r>
              <w:rPr>
                <w:rFonts w:ascii="Aptos" w:hAnsi="Aptos"/>
                <w:b/>
                <w:sz w:val="18"/>
              </w:rPr>
              <w:t>Value</w:t>
            </w:r>
          </w:p>
        </w:tc>
      </w:tr>
      <w:tr>
        <w:tc>
          <w:tcPr>
            <w:tcW w:type="dxa" w:w="5112"/>
            <w:vAlign w:val="center"/>
          </w:tcPr>
          <w:p>
            <w:r/>
            <w:r>
              <w:rPr>
                <w:rFonts w:ascii="Aptos" w:hAnsi="Aptos"/>
                <w:b/>
                <w:sz w:val="18"/>
              </w:rPr>
              <w:t>n_estimators</w:t>
            </w:r>
          </w:p>
        </w:tc>
        <w:tc>
          <w:tcPr>
            <w:tcW w:type="dxa" w:w="5112"/>
            <w:vAlign w:val="center"/>
          </w:tcPr>
          <w:p>
            <w:r/>
            <w:r>
              <w:rPr>
                <w:rFonts w:ascii="Aptos" w:hAnsi="Aptos"/>
                <w:b w:val="0"/>
                <w:sz w:val="18"/>
              </w:rPr>
              <w:t>300</w:t>
            </w:r>
          </w:p>
        </w:tc>
      </w:tr>
      <w:tr>
        <w:tc>
          <w:tcPr>
            <w:tcW w:type="dxa" w:w="5112"/>
            <w:vAlign w:val="center"/>
          </w:tcPr>
          <w:p>
            <w:r/>
            <w:r>
              <w:rPr>
                <w:rFonts w:ascii="Aptos" w:hAnsi="Aptos"/>
                <w:b/>
                <w:sz w:val="18"/>
              </w:rPr>
              <w:t>max_depth</w:t>
            </w:r>
          </w:p>
        </w:tc>
        <w:tc>
          <w:tcPr>
            <w:tcW w:type="dxa" w:w="5112"/>
            <w:vAlign w:val="center"/>
          </w:tcPr>
          <w:p>
            <w:r/>
            <w:r>
              <w:rPr>
                <w:rFonts w:ascii="Aptos" w:hAnsi="Aptos"/>
                <w:b w:val="0"/>
                <w:sz w:val="18"/>
              </w:rPr>
              <w:t>None</w:t>
            </w:r>
          </w:p>
        </w:tc>
      </w:tr>
      <w:tr>
        <w:tc>
          <w:tcPr>
            <w:tcW w:type="dxa" w:w="5112"/>
            <w:vAlign w:val="center"/>
          </w:tcPr>
          <w:p>
            <w:r/>
            <w:r>
              <w:rPr>
                <w:rFonts w:ascii="Aptos" w:hAnsi="Aptos"/>
                <w:b/>
                <w:sz w:val="18"/>
              </w:rPr>
              <w:t>min_samples_leaf</w:t>
            </w:r>
          </w:p>
        </w:tc>
        <w:tc>
          <w:tcPr>
            <w:tcW w:type="dxa" w:w="5112"/>
            <w:vAlign w:val="center"/>
          </w:tcPr>
          <w:p>
            <w:r/>
            <w:r>
              <w:rPr>
                <w:rFonts w:ascii="Aptos" w:hAnsi="Aptos"/>
                <w:b w:val="0"/>
                <w:sz w:val="18"/>
              </w:rPr>
              <w:t>1</w:t>
            </w:r>
          </w:p>
        </w:tc>
      </w:tr>
      <w:tr>
        <w:tc>
          <w:tcPr>
            <w:tcW w:type="dxa" w:w="5112"/>
            <w:vAlign w:val="center"/>
          </w:tcPr>
          <w:p>
            <w:r/>
            <w:r>
              <w:rPr>
                <w:rFonts w:ascii="Aptos" w:hAnsi="Aptos"/>
                <w:b/>
                <w:sz w:val="18"/>
              </w:rPr>
              <w:t>max_features</w:t>
            </w:r>
          </w:p>
        </w:tc>
        <w:tc>
          <w:tcPr>
            <w:tcW w:type="dxa" w:w="5112"/>
            <w:vAlign w:val="center"/>
          </w:tcPr>
          <w:p>
            <w:r/>
            <w:r>
              <w:rPr>
                <w:rFonts w:ascii="Aptos" w:hAnsi="Aptos"/>
                <w:b w:val="0"/>
                <w:sz w:val="18"/>
              </w:rPr>
              <w:t>sqrt</w:t>
            </w:r>
          </w:p>
        </w:tc>
      </w:tr>
    </w:tbl>
    <w:p>
      <w:r>
        <w:t>The tuned Random Forest achieved a best cross-validation F1 of approximately 0.882. The improvement over the untuned Random Forest (≈0.876) was modest, indicating that most of the performance gain came from the ensemble method itself rather than extensive tuning.</w:t>
      </w:r>
    </w:p>
    <w:p>
      <w:pPr>
        <w:pStyle w:val="Heading1"/>
      </w:pPr>
      <w:r>
        <w:t>5. Final Held-Out Test Evaluation</w:t>
      </w:r>
    </w:p>
    <w:p>
      <w:r>
        <w:t>After model selection and tuning were completed using training data and cross-validation, the tuned Random Forest was evaluated on the held-out test set of 630 customers.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Metric</w:t>
            </w:r>
          </w:p>
        </w:tc>
        <w:tc>
          <w:tcPr>
            <w:tcW w:type="dxa" w:w="3408"/>
            <w:vAlign w:val="center"/>
            <w:shd w:fill="D9EAF7"/>
          </w:tcPr>
          <w:p>
            <w:r/>
            <w:r>
              <w:rPr>
                <w:rFonts w:ascii="Aptos" w:hAnsi="Aptos"/>
                <w:b/>
                <w:sz w:val="18"/>
              </w:rPr>
              <w:t>Result</w:t>
            </w:r>
          </w:p>
        </w:tc>
        <w:tc>
          <w:tcPr>
            <w:tcW w:type="dxa" w:w="3408"/>
            <w:vAlign w:val="center"/>
            <w:shd w:fill="D9EAF7"/>
          </w:tcPr>
          <w:p>
            <w:r/>
            <w:r>
              <w:rPr>
                <w:rFonts w:ascii="Aptos" w:hAnsi="Aptos"/>
                <w:b/>
                <w:sz w:val="18"/>
              </w:rPr>
              <w:t>Interpretation</w:t>
            </w:r>
          </w:p>
        </w:tc>
      </w:tr>
      <w:tr>
        <w:tc>
          <w:tcPr>
            <w:tcW w:type="dxa" w:w="3408"/>
            <w:vAlign w:val="center"/>
          </w:tcPr>
          <w:p>
            <w:r/>
            <w:r>
              <w:rPr>
                <w:rFonts w:ascii="Aptos" w:hAnsi="Aptos"/>
                <w:b/>
                <w:sz w:val="18"/>
              </w:rPr>
              <w:t>Accuracy</w:t>
            </w:r>
          </w:p>
        </w:tc>
        <w:tc>
          <w:tcPr>
            <w:tcW w:type="dxa" w:w="3408"/>
            <w:vAlign w:val="center"/>
          </w:tcPr>
          <w:p>
            <w:r/>
            <w:r>
              <w:rPr>
                <w:rFonts w:ascii="Aptos" w:hAnsi="Aptos"/>
                <w:b w:val="0"/>
                <w:sz w:val="18"/>
              </w:rPr>
              <w:t>0.97</w:t>
            </w:r>
          </w:p>
        </w:tc>
        <w:tc>
          <w:tcPr>
            <w:tcW w:type="dxa" w:w="3408"/>
            <w:vAlign w:val="center"/>
          </w:tcPr>
          <w:p>
            <w:r/>
            <w:r>
              <w:rPr>
                <w:rFonts w:ascii="Aptos" w:hAnsi="Aptos"/>
                <w:b w:val="0"/>
                <w:sz w:val="18"/>
              </w:rPr>
              <w:t>Overall proportion of correct predictions.</w:t>
            </w:r>
          </w:p>
        </w:tc>
      </w:tr>
      <w:tr>
        <w:tc>
          <w:tcPr>
            <w:tcW w:type="dxa" w:w="3408"/>
            <w:vAlign w:val="center"/>
          </w:tcPr>
          <w:p>
            <w:r/>
            <w:r>
              <w:rPr>
                <w:rFonts w:ascii="Aptos" w:hAnsi="Aptos"/>
                <w:b/>
                <w:sz w:val="18"/>
              </w:rPr>
              <w:t>Churn Precision</w:t>
            </w:r>
          </w:p>
        </w:tc>
        <w:tc>
          <w:tcPr>
            <w:tcW w:type="dxa" w:w="3408"/>
            <w:vAlign w:val="center"/>
          </w:tcPr>
          <w:p>
            <w:r/>
            <w:r>
              <w:rPr>
                <w:rFonts w:ascii="Aptos" w:hAnsi="Aptos"/>
                <w:b w:val="0"/>
                <w:sz w:val="18"/>
              </w:rPr>
              <w:t>0.88</w:t>
            </w:r>
          </w:p>
        </w:tc>
        <w:tc>
          <w:tcPr>
            <w:tcW w:type="dxa" w:w="3408"/>
            <w:vAlign w:val="center"/>
          </w:tcPr>
          <w:p>
            <w:r/>
            <w:r>
              <w:rPr>
                <w:rFonts w:ascii="Aptos" w:hAnsi="Aptos"/>
                <w:b w:val="0"/>
                <w:sz w:val="18"/>
              </w:rPr>
              <w:t>88% of customers flagged as churners actually churned.</w:t>
            </w:r>
          </w:p>
        </w:tc>
      </w:tr>
      <w:tr>
        <w:tc>
          <w:tcPr>
            <w:tcW w:type="dxa" w:w="3408"/>
            <w:vAlign w:val="center"/>
          </w:tcPr>
          <w:p>
            <w:r/>
            <w:r>
              <w:rPr>
                <w:rFonts w:ascii="Aptos" w:hAnsi="Aptos"/>
                <w:b/>
                <w:sz w:val="18"/>
              </w:rPr>
              <w:t>Churn Recall</w:t>
            </w:r>
          </w:p>
        </w:tc>
        <w:tc>
          <w:tcPr>
            <w:tcW w:type="dxa" w:w="3408"/>
            <w:vAlign w:val="center"/>
          </w:tcPr>
          <w:p>
            <w:r/>
            <w:r>
              <w:rPr>
                <w:rFonts w:ascii="Aptos" w:hAnsi="Aptos"/>
                <w:b w:val="0"/>
                <w:sz w:val="18"/>
              </w:rPr>
              <w:t>0.95</w:t>
            </w:r>
          </w:p>
        </w:tc>
        <w:tc>
          <w:tcPr>
            <w:tcW w:type="dxa" w:w="3408"/>
            <w:vAlign w:val="center"/>
          </w:tcPr>
          <w:p>
            <w:r/>
            <w:r>
              <w:rPr>
                <w:rFonts w:ascii="Aptos" w:hAnsi="Aptos"/>
                <w:b w:val="0"/>
                <w:sz w:val="18"/>
              </w:rPr>
              <w:t>95% of actual churners were identified.</w:t>
            </w:r>
          </w:p>
        </w:tc>
      </w:tr>
      <w:tr>
        <w:tc>
          <w:tcPr>
            <w:tcW w:type="dxa" w:w="3408"/>
            <w:vAlign w:val="center"/>
          </w:tcPr>
          <w:p>
            <w:r/>
            <w:r>
              <w:rPr>
                <w:rFonts w:ascii="Aptos" w:hAnsi="Aptos"/>
                <w:b/>
                <w:sz w:val="18"/>
              </w:rPr>
              <w:t>Churn F1-score</w:t>
            </w:r>
          </w:p>
        </w:tc>
        <w:tc>
          <w:tcPr>
            <w:tcW w:type="dxa" w:w="3408"/>
            <w:vAlign w:val="center"/>
          </w:tcPr>
          <w:p>
            <w:r/>
            <w:r>
              <w:rPr>
                <w:rFonts w:ascii="Aptos" w:hAnsi="Aptos"/>
                <w:b w:val="0"/>
                <w:sz w:val="18"/>
              </w:rPr>
              <w:t>0.91</w:t>
            </w:r>
          </w:p>
        </w:tc>
        <w:tc>
          <w:tcPr>
            <w:tcW w:type="dxa" w:w="3408"/>
            <w:vAlign w:val="center"/>
          </w:tcPr>
          <w:p>
            <w:r/>
            <w:r>
              <w:rPr>
                <w:rFonts w:ascii="Aptos" w:hAnsi="Aptos"/>
                <w:b w:val="0"/>
                <w:sz w:val="18"/>
              </w:rPr>
              <w:t>Strong balance between churn precision and recall.</w:t>
            </w:r>
          </w:p>
        </w:tc>
      </w:tr>
      <w:tr>
        <w:tc>
          <w:tcPr>
            <w:tcW w:type="dxa" w:w="3408"/>
            <w:vAlign w:val="center"/>
          </w:tcPr>
          <w:p>
            <w:r/>
            <w:r>
              <w:rPr>
                <w:rFonts w:ascii="Aptos" w:hAnsi="Aptos"/>
                <w:b/>
                <w:sz w:val="18"/>
              </w:rPr>
              <w:t>ROC-AUC</w:t>
            </w:r>
          </w:p>
        </w:tc>
        <w:tc>
          <w:tcPr>
            <w:tcW w:type="dxa" w:w="3408"/>
            <w:vAlign w:val="center"/>
          </w:tcPr>
          <w:p>
            <w:r/>
            <w:r>
              <w:rPr>
                <w:rFonts w:ascii="Aptos" w:hAnsi="Aptos"/>
                <w:b w:val="0"/>
                <w:sz w:val="18"/>
              </w:rPr>
              <w:t>0.985</w:t>
            </w:r>
          </w:p>
        </w:tc>
        <w:tc>
          <w:tcPr>
            <w:tcW w:type="dxa" w:w="3408"/>
            <w:vAlign w:val="center"/>
          </w:tcPr>
          <w:p>
            <w:r/>
            <w:r>
              <w:rPr>
                <w:rFonts w:ascii="Aptos" w:hAnsi="Aptos"/>
                <w:b w:val="0"/>
                <w:sz w:val="18"/>
              </w:rPr>
              <w:t>Excellent discrimination between churners and non-churners across thresholds.</w:t>
            </w:r>
          </w:p>
        </w:tc>
      </w:tr>
      <w:tr>
        <w:tc>
          <w:tcPr>
            <w:tcW w:type="dxa" w:w="3408"/>
            <w:vAlign w:val="center"/>
          </w:tcPr>
          <w:p>
            <w:r/>
            <w:r>
              <w:rPr>
                <w:rFonts w:ascii="Aptos" w:hAnsi="Aptos"/>
                <w:b/>
                <w:sz w:val="18"/>
              </w:rPr>
              <w:t>Average Precision</w:t>
            </w:r>
          </w:p>
        </w:tc>
        <w:tc>
          <w:tcPr>
            <w:tcW w:type="dxa" w:w="3408"/>
            <w:vAlign w:val="center"/>
          </w:tcPr>
          <w:p>
            <w:r/>
            <w:r>
              <w:rPr>
                <w:rFonts w:ascii="Aptos" w:hAnsi="Aptos"/>
                <w:b w:val="0"/>
                <w:sz w:val="18"/>
              </w:rPr>
              <w:t>0.886</w:t>
            </w:r>
          </w:p>
        </w:tc>
        <w:tc>
          <w:tcPr>
            <w:tcW w:type="dxa" w:w="3408"/>
            <w:vAlign w:val="center"/>
          </w:tcPr>
          <w:p>
            <w:r/>
            <w:r>
              <w:rPr>
                <w:rFonts w:ascii="Aptos" w:hAnsi="Aptos"/>
                <w:b w:val="0"/>
                <w:sz w:val="18"/>
              </w:rPr>
              <w:t>Strong precision-recall performance for the positive churn class.</w:t>
            </w:r>
          </w:p>
        </w:tc>
      </w:tr>
    </w:tbl>
    <w:p>
      <w:pPr>
        <w:pStyle w:val="Heading2"/>
      </w:pPr>
      <w:r>
        <w:t>5.1 Confusion Matrix</w:t>
      </w:r>
    </w:p>
    <w:p>
      <w:r>
        <w:t>The final test confusion matrix was [[518, 13], [5, 94]].</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F4E7D3"/>
          </w:tcPr>
          <w:p>
            <w:r/>
            <w:r>
              <w:rPr>
                <w:rFonts w:ascii="Aptos" w:hAnsi="Aptos"/>
                <w:b/>
                <w:sz w:val="18"/>
              </w:rPr>
              <w:t>Outcome</w:t>
            </w:r>
          </w:p>
        </w:tc>
        <w:tc>
          <w:tcPr>
            <w:tcW w:type="dxa" w:w="3408"/>
            <w:vAlign w:val="center"/>
            <w:shd w:fill="F4E7D3"/>
          </w:tcPr>
          <w:p>
            <w:r/>
            <w:r>
              <w:rPr>
                <w:rFonts w:ascii="Aptos" w:hAnsi="Aptos"/>
                <w:b/>
                <w:sz w:val="18"/>
              </w:rPr>
              <w:t>Count</w:t>
            </w:r>
          </w:p>
        </w:tc>
        <w:tc>
          <w:tcPr>
            <w:tcW w:type="dxa" w:w="3408"/>
            <w:vAlign w:val="center"/>
            <w:shd w:fill="F4E7D3"/>
          </w:tcPr>
          <w:p>
            <w:r/>
            <w:r>
              <w:rPr>
                <w:rFonts w:ascii="Aptos" w:hAnsi="Aptos"/>
                <w:b/>
                <w:sz w:val="18"/>
              </w:rPr>
              <w:t>Meaning</w:t>
            </w:r>
          </w:p>
        </w:tc>
      </w:tr>
      <w:tr>
        <w:tc>
          <w:tcPr>
            <w:tcW w:type="dxa" w:w="3408"/>
            <w:vAlign w:val="center"/>
          </w:tcPr>
          <w:p>
            <w:r/>
            <w:r>
              <w:rPr>
                <w:rFonts w:ascii="Aptos" w:hAnsi="Aptos"/>
                <w:b/>
                <w:sz w:val="18"/>
              </w:rPr>
              <w:t>True Negatives</w:t>
            </w:r>
          </w:p>
        </w:tc>
        <w:tc>
          <w:tcPr>
            <w:tcW w:type="dxa" w:w="3408"/>
            <w:vAlign w:val="center"/>
          </w:tcPr>
          <w:p>
            <w:r/>
            <w:r>
              <w:rPr>
                <w:rFonts w:ascii="Aptos" w:hAnsi="Aptos"/>
                <w:b w:val="0"/>
                <w:sz w:val="18"/>
              </w:rPr>
              <w:t>518</w:t>
            </w:r>
          </w:p>
        </w:tc>
        <w:tc>
          <w:tcPr>
            <w:tcW w:type="dxa" w:w="3408"/>
            <w:vAlign w:val="center"/>
          </w:tcPr>
          <w:p>
            <w:r/>
            <w:r>
              <w:rPr>
                <w:rFonts w:ascii="Aptos" w:hAnsi="Aptos"/>
                <w:b w:val="0"/>
                <w:sz w:val="18"/>
              </w:rPr>
              <w:t>Correctly identified non-churn customers</w:t>
            </w:r>
          </w:p>
        </w:tc>
      </w:tr>
      <w:tr>
        <w:tc>
          <w:tcPr>
            <w:tcW w:type="dxa" w:w="3408"/>
            <w:vAlign w:val="center"/>
          </w:tcPr>
          <w:p>
            <w:r/>
            <w:r>
              <w:rPr>
                <w:rFonts w:ascii="Aptos" w:hAnsi="Aptos"/>
                <w:b/>
                <w:sz w:val="18"/>
              </w:rPr>
              <w:t>False Positives</w:t>
            </w:r>
          </w:p>
        </w:tc>
        <w:tc>
          <w:tcPr>
            <w:tcW w:type="dxa" w:w="3408"/>
            <w:vAlign w:val="center"/>
          </w:tcPr>
          <w:p>
            <w:r/>
            <w:r>
              <w:rPr>
                <w:rFonts w:ascii="Aptos" w:hAnsi="Aptos"/>
                <w:b w:val="0"/>
                <w:sz w:val="18"/>
              </w:rPr>
              <w:t>13</w:t>
            </w:r>
          </w:p>
        </w:tc>
        <w:tc>
          <w:tcPr>
            <w:tcW w:type="dxa" w:w="3408"/>
            <w:vAlign w:val="center"/>
          </w:tcPr>
          <w:p>
            <w:r/>
            <w:r>
              <w:rPr>
                <w:rFonts w:ascii="Aptos" w:hAnsi="Aptos"/>
                <w:b w:val="0"/>
                <w:sz w:val="18"/>
              </w:rPr>
              <w:t>Non-churn customers incorrectly flagged as churners</w:t>
            </w:r>
          </w:p>
        </w:tc>
      </w:tr>
      <w:tr>
        <w:tc>
          <w:tcPr>
            <w:tcW w:type="dxa" w:w="3408"/>
            <w:vAlign w:val="center"/>
          </w:tcPr>
          <w:p>
            <w:r/>
            <w:r>
              <w:rPr>
                <w:rFonts w:ascii="Aptos" w:hAnsi="Aptos"/>
                <w:b/>
                <w:sz w:val="18"/>
              </w:rPr>
              <w:t>False Negatives</w:t>
            </w:r>
          </w:p>
        </w:tc>
        <w:tc>
          <w:tcPr>
            <w:tcW w:type="dxa" w:w="3408"/>
            <w:vAlign w:val="center"/>
          </w:tcPr>
          <w:p>
            <w:r/>
            <w:r>
              <w:rPr>
                <w:rFonts w:ascii="Aptos" w:hAnsi="Aptos"/>
                <w:b w:val="0"/>
                <w:sz w:val="18"/>
              </w:rPr>
              <w:t>5</w:t>
            </w:r>
          </w:p>
        </w:tc>
        <w:tc>
          <w:tcPr>
            <w:tcW w:type="dxa" w:w="3408"/>
            <w:vAlign w:val="center"/>
          </w:tcPr>
          <w:p>
            <w:r/>
            <w:r>
              <w:rPr>
                <w:rFonts w:ascii="Aptos" w:hAnsi="Aptos"/>
                <w:b w:val="0"/>
                <w:sz w:val="18"/>
              </w:rPr>
              <w:t>Actual churners missed by the model</w:t>
            </w:r>
          </w:p>
        </w:tc>
      </w:tr>
      <w:tr>
        <w:tc>
          <w:tcPr>
            <w:tcW w:type="dxa" w:w="3408"/>
            <w:vAlign w:val="center"/>
          </w:tcPr>
          <w:p>
            <w:r/>
            <w:r>
              <w:rPr>
                <w:rFonts w:ascii="Aptos" w:hAnsi="Aptos"/>
                <w:b/>
                <w:sz w:val="18"/>
              </w:rPr>
              <w:t>True Positives</w:t>
            </w:r>
          </w:p>
        </w:tc>
        <w:tc>
          <w:tcPr>
            <w:tcW w:type="dxa" w:w="3408"/>
            <w:vAlign w:val="center"/>
          </w:tcPr>
          <w:p>
            <w:r/>
            <w:r>
              <w:rPr>
                <w:rFonts w:ascii="Aptos" w:hAnsi="Aptos"/>
                <w:b w:val="0"/>
                <w:sz w:val="18"/>
              </w:rPr>
              <w:t>94</w:t>
            </w:r>
          </w:p>
        </w:tc>
        <w:tc>
          <w:tcPr>
            <w:tcW w:type="dxa" w:w="3408"/>
            <w:vAlign w:val="center"/>
          </w:tcPr>
          <w:p>
            <w:r/>
            <w:r>
              <w:rPr>
                <w:rFonts w:ascii="Aptos" w:hAnsi="Aptos"/>
                <w:b w:val="0"/>
                <w:sz w:val="18"/>
              </w:rPr>
              <w:t>Actual churners correctly identified</w:t>
            </w:r>
          </w:p>
        </w:tc>
      </w:tr>
    </w:tbl>
    <w:p>
      <w:pPr>
        <w:pStyle w:val="Heading1"/>
      </w:pPr>
      <w:r>
        <w:t>6. Feature Importance</w:t>
      </w:r>
    </w:p>
    <w:p>
      <w:r>
        <w:t>Impurity-based feature importance from the tuned Random Forest identified the variables used most heavily in predictive splits. These values represent relative predictive contribution within the model and must not be interpreted as causal effects.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F3E8"/>
          </w:tcPr>
          <w:p>
            <w:r/>
            <w:r>
              <w:rPr>
                <w:rFonts w:ascii="Aptos" w:hAnsi="Aptos"/>
                <w:b/>
                <w:sz w:val="18"/>
              </w:rPr>
              <w:t>Rank</w:t>
            </w:r>
          </w:p>
        </w:tc>
        <w:tc>
          <w:tcPr>
            <w:tcW w:type="dxa" w:w="3408"/>
            <w:vAlign w:val="center"/>
            <w:shd w:fill="E8F3E8"/>
          </w:tcPr>
          <w:p>
            <w:r/>
            <w:r>
              <w:rPr>
                <w:rFonts w:ascii="Aptos" w:hAnsi="Aptos"/>
                <w:b/>
                <w:sz w:val="18"/>
              </w:rPr>
              <w:t>Feature</w:t>
            </w:r>
          </w:p>
        </w:tc>
        <w:tc>
          <w:tcPr>
            <w:tcW w:type="dxa" w:w="3408"/>
            <w:vAlign w:val="center"/>
            <w:shd w:fill="E8F3E8"/>
          </w:tcPr>
          <w:p>
            <w:r/>
            <w:r>
              <w:rPr>
                <w:rFonts w:ascii="Aptos" w:hAnsi="Aptos"/>
                <w:b/>
                <w:sz w:val="18"/>
              </w:rPr>
              <w:t>Importance</w:t>
            </w:r>
          </w:p>
        </w:tc>
      </w:tr>
      <w:tr>
        <w:tc>
          <w:tcPr>
            <w:tcW w:type="dxa" w:w="3408"/>
            <w:vAlign w:val="center"/>
          </w:tcPr>
          <w:p>
            <w:r/>
            <w:r>
              <w:rPr>
                <w:rFonts w:ascii="Aptos" w:hAnsi="Aptos"/>
                <w:b w:val="0"/>
                <w:sz w:val="18"/>
              </w:rPr>
              <w:t>1</w:t>
            </w:r>
          </w:p>
        </w:tc>
        <w:tc>
          <w:tcPr>
            <w:tcW w:type="dxa" w:w="3408"/>
            <w:vAlign w:val="center"/>
          </w:tcPr>
          <w:p>
            <w:r/>
            <w:r>
              <w:rPr>
                <w:rFonts w:ascii="Aptos" w:hAnsi="Aptos"/>
                <w:b/>
                <w:sz w:val="18"/>
              </w:rPr>
              <w:t>status</w:t>
            </w:r>
          </w:p>
        </w:tc>
        <w:tc>
          <w:tcPr>
            <w:tcW w:type="dxa" w:w="3408"/>
            <w:vAlign w:val="center"/>
          </w:tcPr>
          <w:p>
            <w:r/>
            <w:r>
              <w:rPr>
                <w:rFonts w:ascii="Aptos" w:hAnsi="Aptos"/>
                <w:b w:val="0"/>
                <w:sz w:val="18"/>
              </w:rPr>
              <w:t>0.167</w:t>
            </w:r>
          </w:p>
        </w:tc>
      </w:tr>
      <w:tr>
        <w:tc>
          <w:tcPr>
            <w:tcW w:type="dxa" w:w="3408"/>
            <w:vAlign w:val="center"/>
          </w:tcPr>
          <w:p>
            <w:r/>
            <w:r>
              <w:rPr>
                <w:rFonts w:ascii="Aptos" w:hAnsi="Aptos"/>
                <w:b w:val="0"/>
                <w:sz w:val="18"/>
              </w:rPr>
              <w:t>2</w:t>
            </w:r>
          </w:p>
        </w:tc>
        <w:tc>
          <w:tcPr>
            <w:tcW w:type="dxa" w:w="3408"/>
            <w:vAlign w:val="center"/>
          </w:tcPr>
          <w:p>
            <w:r/>
            <w:r>
              <w:rPr>
                <w:rFonts w:ascii="Aptos" w:hAnsi="Aptos"/>
                <w:b/>
                <w:sz w:val="18"/>
              </w:rPr>
              <w:t>frequency_of_use</w:t>
            </w:r>
          </w:p>
        </w:tc>
        <w:tc>
          <w:tcPr>
            <w:tcW w:type="dxa" w:w="3408"/>
            <w:vAlign w:val="center"/>
          </w:tcPr>
          <w:p>
            <w:r/>
            <w:r>
              <w:rPr>
                <w:rFonts w:ascii="Aptos" w:hAnsi="Aptos"/>
                <w:b w:val="0"/>
                <w:sz w:val="18"/>
              </w:rPr>
              <w:t>0.138</w:t>
            </w:r>
          </w:p>
        </w:tc>
      </w:tr>
      <w:tr>
        <w:tc>
          <w:tcPr>
            <w:tcW w:type="dxa" w:w="3408"/>
            <w:vAlign w:val="center"/>
          </w:tcPr>
          <w:p>
            <w:r/>
            <w:r>
              <w:rPr>
                <w:rFonts w:ascii="Aptos" w:hAnsi="Aptos"/>
                <w:b w:val="0"/>
                <w:sz w:val="18"/>
              </w:rPr>
              <w:t>3</w:t>
            </w:r>
          </w:p>
        </w:tc>
        <w:tc>
          <w:tcPr>
            <w:tcW w:type="dxa" w:w="3408"/>
            <w:vAlign w:val="center"/>
          </w:tcPr>
          <w:p>
            <w:r/>
            <w:r>
              <w:rPr>
                <w:rFonts w:ascii="Aptos" w:hAnsi="Aptos"/>
                <w:b/>
                <w:sz w:val="18"/>
              </w:rPr>
              <w:t>seconds_of_use</w:t>
            </w:r>
          </w:p>
        </w:tc>
        <w:tc>
          <w:tcPr>
            <w:tcW w:type="dxa" w:w="3408"/>
            <w:vAlign w:val="center"/>
          </w:tcPr>
          <w:p>
            <w:r/>
            <w:r>
              <w:rPr>
                <w:rFonts w:ascii="Aptos" w:hAnsi="Aptos"/>
                <w:b w:val="0"/>
                <w:sz w:val="18"/>
              </w:rPr>
              <w:t>0.131</w:t>
            </w:r>
          </w:p>
        </w:tc>
      </w:tr>
      <w:tr>
        <w:tc>
          <w:tcPr>
            <w:tcW w:type="dxa" w:w="3408"/>
            <w:vAlign w:val="center"/>
          </w:tcPr>
          <w:p>
            <w:r/>
            <w:r>
              <w:rPr>
                <w:rFonts w:ascii="Aptos" w:hAnsi="Aptos"/>
                <w:b w:val="0"/>
                <w:sz w:val="18"/>
              </w:rPr>
              <w:t>4</w:t>
            </w:r>
          </w:p>
        </w:tc>
        <w:tc>
          <w:tcPr>
            <w:tcW w:type="dxa" w:w="3408"/>
            <w:vAlign w:val="center"/>
          </w:tcPr>
          <w:p>
            <w:r/>
            <w:r>
              <w:rPr>
                <w:rFonts w:ascii="Aptos" w:hAnsi="Aptos"/>
                <w:b/>
                <w:sz w:val="18"/>
              </w:rPr>
              <w:t>complains</w:t>
            </w:r>
          </w:p>
        </w:tc>
        <w:tc>
          <w:tcPr>
            <w:tcW w:type="dxa" w:w="3408"/>
            <w:vAlign w:val="center"/>
          </w:tcPr>
          <w:p>
            <w:r/>
            <w:r>
              <w:rPr>
                <w:rFonts w:ascii="Aptos" w:hAnsi="Aptos"/>
                <w:b w:val="0"/>
                <w:sz w:val="18"/>
              </w:rPr>
              <w:t>0.125</w:t>
            </w:r>
          </w:p>
        </w:tc>
      </w:tr>
      <w:tr>
        <w:tc>
          <w:tcPr>
            <w:tcW w:type="dxa" w:w="3408"/>
            <w:vAlign w:val="center"/>
          </w:tcPr>
          <w:p>
            <w:r/>
            <w:r>
              <w:rPr>
                <w:rFonts w:ascii="Aptos" w:hAnsi="Aptos"/>
                <w:b w:val="0"/>
                <w:sz w:val="18"/>
              </w:rPr>
              <w:t>5</w:t>
            </w:r>
          </w:p>
        </w:tc>
        <w:tc>
          <w:tcPr>
            <w:tcW w:type="dxa" w:w="3408"/>
            <w:vAlign w:val="center"/>
          </w:tcPr>
          <w:p>
            <w:r/>
            <w:r>
              <w:rPr>
                <w:rFonts w:ascii="Aptos" w:hAnsi="Aptos"/>
                <w:b/>
                <w:sz w:val="18"/>
              </w:rPr>
              <w:t>customer_value</w:t>
            </w:r>
          </w:p>
        </w:tc>
        <w:tc>
          <w:tcPr>
            <w:tcW w:type="dxa" w:w="3408"/>
            <w:vAlign w:val="center"/>
          </w:tcPr>
          <w:p>
            <w:r/>
            <w:r>
              <w:rPr>
                <w:rFonts w:ascii="Aptos" w:hAnsi="Aptos"/>
                <w:b w:val="0"/>
                <w:sz w:val="18"/>
              </w:rPr>
              <w:t>0.106</w:t>
            </w:r>
          </w:p>
        </w:tc>
      </w:tr>
      <w:tr>
        <w:tc>
          <w:tcPr>
            <w:tcW w:type="dxa" w:w="3408"/>
            <w:vAlign w:val="center"/>
          </w:tcPr>
          <w:p>
            <w:r/>
            <w:r>
              <w:rPr>
                <w:rFonts w:ascii="Aptos" w:hAnsi="Aptos"/>
                <w:b w:val="0"/>
                <w:sz w:val="18"/>
              </w:rPr>
              <w:t>6</w:t>
            </w:r>
          </w:p>
        </w:tc>
        <w:tc>
          <w:tcPr>
            <w:tcW w:type="dxa" w:w="3408"/>
            <w:vAlign w:val="center"/>
          </w:tcPr>
          <w:p>
            <w:r/>
            <w:r>
              <w:rPr>
                <w:rFonts w:ascii="Aptos" w:hAnsi="Aptos"/>
                <w:b w:val="0"/>
                <w:sz w:val="18"/>
              </w:rPr>
              <w:t>subscription_length</w:t>
            </w:r>
          </w:p>
        </w:tc>
        <w:tc>
          <w:tcPr>
            <w:tcW w:type="dxa" w:w="3408"/>
            <w:vAlign w:val="center"/>
          </w:tcPr>
          <w:p>
            <w:r/>
            <w:r>
              <w:rPr>
                <w:rFonts w:ascii="Aptos" w:hAnsi="Aptos"/>
                <w:b w:val="0"/>
                <w:sz w:val="18"/>
              </w:rPr>
              <w:t>0.102</w:t>
            </w:r>
          </w:p>
        </w:tc>
      </w:tr>
      <w:tr>
        <w:tc>
          <w:tcPr>
            <w:tcW w:type="dxa" w:w="3408"/>
            <w:vAlign w:val="center"/>
          </w:tcPr>
          <w:p>
            <w:r/>
            <w:r>
              <w:rPr>
                <w:rFonts w:ascii="Aptos" w:hAnsi="Aptos"/>
                <w:b w:val="0"/>
                <w:sz w:val="18"/>
              </w:rPr>
              <w:t>7</w:t>
            </w:r>
          </w:p>
        </w:tc>
        <w:tc>
          <w:tcPr>
            <w:tcW w:type="dxa" w:w="3408"/>
            <w:vAlign w:val="center"/>
          </w:tcPr>
          <w:p>
            <w:r/>
            <w:r>
              <w:rPr>
                <w:rFonts w:ascii="Aptos" w:hAnsi="Aptos"/>
                <w:b w:val="0"/>
                <w:sz w:val="18"/>
              </w:rPr>
              <w:t>distinct_called_numbers</w:t>
            </w:r>
          </w:p>
        </w:tc>
        <w:tc>
          <w:tcPr>
            <w:tcW w:type="dxa" w:w="3408"/>
            <w:vAlign w:val="center"/>
          </w:tcPr>
          <w:p>
            <w:r/>
            <w:r>
              <w:rPr>
                <w:rFonts w:ascii="Aptos" w:hAnsi="Aptos"/>
                <w:b w:val="0"/>
                <w:sz w:val="18"/>
              </w:rPr>
              <w:t>0.067</w:t>
            </w:r>
          </w:p>
        </w:tc>
      </w:tr>
      <w:tr>
        <w:tc>
          <w:tcPr>
            <w:tcW w:type="dxa" w:w="3408"/>
            <w:vAlign w:val="center"/>
          </w:tcPr>
          <w:p>
            <w:r/>
            <w:r>
              <w:rPr>
                <w:rFonts w:ascii="Aptos" w:hAnsi="Aptos"/>
                <w:b w:val="0"/>
                <w:sz w:val="18"/>
              </w:rPr>
              <w:t>8</w:t>
            </w:r>
          </w:p>
        </w:tc>
        <w:tc>
          <w:tcPr>
            <w:tcW w:type="dxa" w:w="3408"/>
            <w:vAlign w:val="center"/>
          </w:tcPr>
          <w:p>
            <w:r/>
            <w:r>
              <w:rPr>
                <w:rFonts w:ascii="Aptos" w:hAnsi="Aptos"/>
                <w:b w:val="0"/>
                <w:sz w:val="18"/>
              </w:rPr>
              <w:t>frequency_of_sms</w:t>
            </w:r>
          </w:p>
        </w:tc>
        <w:tc>
          <w:tcPr>
            <w:tcW w:type="dxa" w:w="3408"/>
            <w:vAlign w:val="center"/>
          </w:tcPr>
          <w:p>
            <w:r/>
            <w:r>
              <w:rPr>
                <w:rFonts w:ascii="Aptos" w:hAnsi="Aptos"/>
                <w:b w:val="0"/>
                <w:sz w:val="18"/>
              </w:rPr>
              <w:t>0.063</w:t>
            </w:r>
          </w:p>
        </w:tc>
      </w:tr>
      <w:tr>
        <w:tc>
          <w:tcPr>
            <w:tcW w:type="dxa" w:w="3408"/>
            <w:vAlign w:val="center"/>
          </w:tcPr>
          <w:p>
            <w:r/>
            <w:r>
              <w:rPr>
                <w:rFonts w:ascii="Aptos" w:hAnsi="Aptos"/>
                <w:b w:val="0"/>
                <w:sz w:val="18"/>
              </w:rPr>
              <w:t>9</w:t>
            </w:r>
          </w:p>
        </w:tc>
        <w:tc>
          <w:tcPr>
            <w:tcW w:type="dxa" w:w="3408"/>
            <w:vAlign w:val="center"/>
          </w:tcPr>
          <w:p>
            <w:r/>
            <w:r>
              <w:rPr>
                <w:rFonts w:ascii="Aptos" w:hAnsi="Aptos"/>
                <w:b w:val="0"/>
                <w:sz w:val="18"/>
              </w:rPr>
              <w:t>call_failure</w:t>
            </w:r>
          </w:p>
        </w:tc>
        <w:tc>
          <w:tcPr>
            <w:tcW w:type="dxa" w:w="3408"/>
            <w:vAlign w:val="center"/>
          </w:tcPr>
          <w:p>
            <w:r/>
            <w:r>
              <w:rPr>
                <w:rFonts w:ascii="Aptos" w:hAnsi="Aptos"/>
                <w:b w:val="0"/>
                <w:sz w:val="18"/>
              </w:rPr>
              <w:t>0.041</w:t>
            </w:r>
          </w:p>
        </w:tc>
      </w:tr>
      <w:tr>
        <w:tc>
          <w:tcPr>
            <w:tcW w:type="dxa" w:w="3408"/>
            <w:vAlign w:val="center"/>
          </w:tcPr>
          <w:p>
            <w:r/>
            <w:r>
              <w:rPr>
                <w:rFonts w:ascii="Aptos" w:hAnsi="Aptos"/>
                <w:b w:val="0"/>
                <w:sz w:val="18"/>
              </w:rPr>
              <w:t>10</w:t>
            </w:r>
          </w:p>
        </w:tc>
        <w:tc>
          <w:tcPr>
            <w:tcW w:type="dxa" w:w="3408"/>
            <w:vAlign w:val="center"/>
          </w:tcPr>
          <w:p>
            <w:r/>
            <w:r>
              <w:rPr>
                <w:rFonts w:ascii="Aptos" w:hAnsi="Aptos"/>
                <w:b w:val="0"/>
                <w:sz w:val="18"/>
              </w:rPr>
              <w:t>age</w:t>
            </w:r>
          </w:p>
        </w:tc>
        <w:tc>
          <w:tcPr>
            <w:tcW w:type="dxa" w:w="3408"/>
            <w:vAlign w:val="center"/>
          </w:tcPr>
          <w:p>
            <w:r/>
            <w:r>
              <w:rPr>
                <w:rFonts w:ascii="Aptos" w:hAnsi="Aptos"/>
                <w:b w:val="0"/>
                <w:sz w:val="18"/>
              </w:rPr>
              <w:t>0.039</w:t>
            </w:r>
          </w:p>
        </w:tc>
      </w:tr>
      <w:tr>
        <w:tc>
          <w:tcPr>
            <w:tcW w:type="dxa" w:w="3408"/>
            <w:vAlign w:val="center"/>
          </w:tcPr>
          <w:p>
            <w:r/>
            <w:r>
              <w:rPr>
                <w:rFonts w:ascii="Aptos" w:hAnsi="Aptos"/>
                <w:b w:val="0"/>
                <w:sz w:val="18"/>
              </w:rPr>
              <w:t>11</w:t>
            </w:r>
          </w:p>
        </w:tc>
        <w:tc>
          <w:tcPr>
            <w:tcW w:type="dxa" w:w="3408"/>
            <w:vAlign w:val="center"/>
          </w:tcPr>
          <w:p>
            <w:r/>
            <w:r>
              <w:rPr>
                <w:rFonts w:ascii="Aptos" w:hAnsi="Aptos"/>
                <w:b w:val="0"/>
                <w:sz w:val="18"/>
              </w:rPr>
              <w:t>charge_amount</w:t>
            </w:r>
          </w:p>
        </w:tc>
        <w:tc>
          <w:tcPr>
            <w:tcW w:type="dxa" w:w="3408"/>
            <w:vAlign w:val="center"/>
          </w:tcPr>
          <w:p>
            <w:r/>
            <w:r>
              <w:rPr>
                <w:rFonts w:ascii="Aptos" w:hAnsi="Aptos"/>
                <w:b w:val="0"/>
                <w:sz w:val="18"/>
              </w:rPr>
              <w:t>0.019</w:t>
            </w:r>
          </w:p>
        </w:tc>
      </w:tr>
      <w:tr>
        <w:tc>
          <w:tcPr>
            <w:tcW w:type="dxa" w:w="3408"/>
            <w:vAlign w:val="center"/>
          </w:tcPr>
          <w:p>
            <w:r/>
            <w:r>
              <w:rPr>
                <w:rFonts w:ascii="Aptos" w:hAnsi="Aptos"/>
                <w:b w:val="0"/>
                <w:sz w:val="18"/>
              </w:rPr>
              <w:t>12</w:t>
            </w:r>
          </w:p>
        </w:tc>
        <w:tc>
          <w:tcPr>
            <w:tcW w:type="dxa" w:w="3408"/>
            <w:vAlign w:val="center"/>
          </w:tcPr>
          <w:p>
            <w:r/>
            <w:r>
              <w:rPr>
                <w:rFonts w:ascii="Aptos" w:hAnsi="Aptos"/>
                <w:b w:val="0"/>
                <w:sz w:val="18"/>
              </w:rPr>
              <w:t>tariff_plan</w:t>
            </w:r>
          </w:p>
        </w:tc>
        <w:tc>
          <w:tcPr>
            <w:tcW w:type="dxa" w:w="3408"/>
            <w:vAlign w:val="center"/>
          </w:tcPr>
          <w:p>
            <w:r/>
            <w:r>
              <w:rPr>
                <w:rFonts w:ascii="Aptos" w:hAnsi="Aptos"/>
                <w:b w:val="0"/>
                <w:sz w:val="18"/>
              </w:rPr>
              <w:t>0.002</w:t>
            </w:r>
          </w:p>
        </w:tc>
      </w:tr>
    </w:tbl>
    <w:p>
      <w:r>
        <w:t>The strongest signals were status, usage frequency, seconds of use, complaints, customer value, and subscription length. The very low importance of tariff_plan is notable because tariff plan was statistically associated with churn during earlier analysis, yet contributed little unique predictive information once the other variables were available.</w:t>
      </w:r>
    </w:p>
    <w:p>
      <w:r>
        <w:t>The strong correlation between seconds_of_use and frequency_of_use (approximately r = 0.946) should also be considered when interpreting their separate importance values, because correlated predictors can share or redistribute importance within tree-based models.</w:t>
      </w:r>
    </w:p>
    <w:p>
      <w:pPr>
        <w:pStyle w:val="Heading1"/>
      </w:pPr>
      <w:r>
        <w:t>7. Business Interpretation</w:t>
      </w:r>
    </w:p>
    <w:p>
      <w:r>
        <w:t>The model could support a retention workflow by ranking or flagging customers at elevated churn risk. High-risk customers could then be reviewed or targeted with appropriately designed retention actions.</w:t>
      </w:r>
    </w:p>
    <w:p>
      <w:pPr>
        <w:pStyle w:val="ListBullet"/>
      </w:pPr>
      <w:r>
        <w:t>Prioritize follow-up after customer complaints.</w:t>
      </w:r>
    </w:p>
    <w:p>
      <w:pPr>
        <w:pStyle w:val="ListBullet"/>
      </w:pPr>
      <w:r>
        <w:t>Monitor declining or unusually low usage and engagement.</w:t>
      </w:r>
    </w:p>
    <w:p>
      <w:pPr>
        <w:pStyle w:val="ListBullet"/>
      </w:pPr>
      <w:r>
        <w:t>Review inactive/non-active customer status as an early-warning signal.</w:t>
      </w:r>
    </w:p>
    <w:p>
      <w:pPr>
        <w:pStyle w:val="ListBullet"/>
      </w:pPr>
      <w:r>
        <w:t>Use customer risk scores to prioritize retention outreach or offers rather than targeting all customers equally.</w:t>
      </w:r>
    </w:p>
    <w:p>
      <w:pPr>
        <w:pStyle w:val="ListBullet"/>
      </w:pPr>
      <w:r>
        <w:t>Measure the cost and effectiveness of interventions before scaling them.</w:t>
      </w:r>
    </w:p>
    <w:p>
      <w:r>
        <w:t>These recommendations are based on predictive associations. They do not establish that changing any single feature will directly cause churn to decline.</w:t>
      </w:r>
    </w:p>
    <w:p>
      <w:pPr>
        <w:pStyle w:val="Heading1"/>
      </w:pPr>
      <w:r>
        <w:t>8. Limitations</w:t>
      </w:r>
    </w:p>
    <w:p>
      <w:pPr>
        <w:pStyle w:val="ListBullet"/>
      </w:pPr>
      <w:r>
        <w:t>The dataset contains 3,150 customers, so results should be validated on larger samples before deployment.</w:t>
      </w:r>
    </w:p>
    <w:p>
      <w:pPr>
        <w:pStyle w:val="ListBullet"/>
      </w:pPr>
      <w:r>
        <w:t>The data represents an historical Iranian telecom dataset and may not generalize directly to other countries, operators, or time periods.</w:t>
      </w:r>
    </w:p>
    <w:p>
      <w:pPr>
        <w:pStyle w:val="ListBullet"/>
      </w:pPr>
      <w:r>
        <w:t>Several usage variables are strongly correlated, which complicates interpretation of individual feature importance.</w:t>
      </w:r>
    </w:p>
    <w:p>
      <w:pPr>
        <w:pStyle w:val="ListBullet"/>
      </w:pPr>
      <w:r>
        <w:t>customer_value is a calculated variable whose full derivation is not documented in the available dataset description.</w:t>
      </w:r>
    </w:p>
    <w:p>
      <w:pPr>
        <w:pStyle w:val="ListBullet"/>
      </w:pPr>
      <w:r>
        <w:t>Random Forest impurity-based feature importance measures model usage, not causation.</w:t>
      </w:r>
    </w:p>
    <w:p>
      <w:pPr>
        <w:pStyle w:val="ListBullet"/>
      </w:pPr>
      <w:r>
        <w:t>Model performance can deteriorate over time as customer behaviour changes; production performance would need ongoing monitoring and revalidation.</w:t>
      </w:r>
    </w:p>
    <w:p>
      <w:pPr>
        <w:pStyle w:val="Heading1"/>
      </w:pPr>
      <w:r>
        <w:t>9. Python and Machine-Learning Techniques Practised</w:t>
      </w:r>
    </w:p>
    <w:p>
      <w:pPr>
        <w:pStyle w:val="ListBullet"/>
      </w:pPr>
      <w:r>
        <w:t>Feature-target separation with pandas</w:t>
      </w:r>
    </w:p>
    <w:p>
      <w:pPr>
        <w:pStyle w:val="ListBullet"/>
      </w:pPr>
      <w:r>
        <w:t>Stratified train/test splitting</w:t>
      </w:r>
    </w:p>
    <w:p>
      <w:pPr>
        <w:pStyle w:val="ListBullet"/>
      </w:pPr>
      <w:r>
        <w:t>scikit-learn Pipeline and StandardScaler</w:t>
      </w:r>
    </w:p>
    <w:p>
      <w:pPr>
        <w:pStyle w:val="ListBullet"/>
      </w:pPr>
      <w:r>
        <w:t>LogisticRegression with and without class weighting</w:t>
      </w:r>
    </w:p>
    <w:p>
      <w:pPr>
        <w:pStyle w:val="ListBullet"/>
      </w:pPr>
      <w:r>
        <w:t>Classification reports and confusion matrices</w:t>
      </w:r>
    </w:p>
    <w:p>
      <w:pPr>
        <w:pStyle w:val="ListBullet"/>
      </w:pPr>
      <w:r>
        <w:t>Probability predictions and threshold experimentation</w:t>
      </w:r>
    </w:p>
    <w:p>
      <w:pPr>
        <w:pStyle w:val="ListBullet"/>
      </w:pPr>
      <w:r>
        <w:t>StratifiedKFold cross-validation</w:t>
      </w:r>
    </w:p>
    <w:p>
      <w:pPr>
        <w:pStyle w:val="ListBullet"/>
      </w:pPr>
      <w:r>
        <w:t>DecisionTreeClassifier and complexity control</w:t>
      </w:r>
    </w:p>
    <w:p>
      <w:pPr>
        <w:pStyle w:val="ListBullet"/>
      </w:pPr>
      <w:r>
        <w:t>GridSearchCV hyperparameter tuning</w:t>
      </w:r>
    </w:p>
    <w:p>
      <w:pPr>
        <w:pStyle w:val="ListBullet"/>
      </w:pPr>
      <w:r>
        <w:t>RandomForestClassifier ensemble learning</w:t>
      </w:r>
    </w:p>
    <w:p>
      <w:pPr>
        <w:pStyle w:val="ListBullet"/>
      </w:pPr>
      <w:r>
        <w:t>ROC-AUC and ROC curve analysis</w:t>
      </w:r>
    </w:p>
    <w:p>
      <w:pPr>
        <w:pStyle w:val="ListBullet"/>
      </w:pPr>
      <w:r>
        <w:t>Precision-Recall curve and Average Precision</w:t>
      </w:r>
    </w:p>
    <w:p>
      <w:pPr>
        <w:pStyle w:val="ListBullet"/>
      </w:pPr>
      <w:r>
        <w:t>Random Forest feature importance</w:t>
      </w:r>
    </w:p>
    <w:p>
      <w:pPr>
        <w:pStyle w:val="Heading1"/>
      </w:pPr>
      <w:r>
        <w:t>10. Checkpoint Conclusion</w:t>
      </w:r>
    </w:p>
    <w:p>
      <w:r>
        <w:t>The predictive-modelling phase demonstrated that customer churn in this dataset can be predicted with strong performance. Random Forest substantially outperformed both logistic regression and a single Decision Tree in cross-validation. After limited hyperparameter tuning, the selected Random Forest achieved 0.91 churn F1, 0.95 churn recall, 0.88 churn precision, and ROC-AUC of approximately 0.985 on the held-out test set.</w:t>
      </w:r>
    </w:p>
    <w:p>
      <w:r>
        <w:t>The modelling phase is therefore complete for portfolio purposes. Further techniques such as additional algorithms, extensive threshold optimization, SHAP, or advanced resampling could be explored in future work, but are not required to satisfy the current project objective.</w:t>
      </w:r>
    </w:p>
    <w:p>
      <w:pPr>
        <w:pStyle w:val="Heading1"/>
        <w:pageBreakBefore/>
      </w:pPr>
      <w:r>
        <w:t>11. Revision Cheat Sheet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Term</w:t>
            </w:r>
          </w:p>
        </w:tc>
        <w:tc>
          <w:tcPr>
            <w:tcW w:type="dxa" w:w="5112"/>
            <w:vAlign w:val="center"/>
            <w:shd w:fill="D9EAF7"/>
          </w:tcPr>
          <w:p>
            <w:r/>
            <w:r>
              <w:rPr>
                <w:rFonts w:ascii="Aptos" w:hAnsi="Aptos"/>
                <w:b/>
                <w:sz w:val="18"/>
              </w:rPr>
              <w:t>Plain-English Meaning</w:t>
            </w:r>
          </w:p>
        </w:tc>
      </w:tr>
      <w:tr>
        <w:tc>
          <w:tcPr>
            <w:tcW w:type="dxa" w:w="5112"/>
            <w:vAlign w:val="center"/>
          </w:tcPr>
          <w:p>
            <w:r/>
            <w:r>
              <w:rPr>
                <w:rFonts w:ascii="Aptos" w:hAnsi="Aptos"/>
                <w:b/>
                <w:sz w:val="18"/>
              </w:rPr>
              <w:t>Precision</w:t>
            </w:r>
          </w:p>
        </w:tc>
        <w:tc>
          <w:tcPr>
            <w:tcW w:type="dxa" w:w="5112"/>
            <w:vAlign w:val="center"/>
          </w:tcPr>
          <w:p>
            <w:r/>
            <w:r>
              <w:rPr>
                <w:rFonts w:ascii="Aptos" w:hAnsi="Aptos"/>
                <w:b w:val="0"/>
                <w:sz w:val="18"/>
              </w:rPr>
              <w:t>Of the customers I flagged as churners, how many really churned?</w:t>
            </w:r>
          </w:p>
        </w:tc>
      </w:tr>
      <w:tr>
        <w:tc>
          <w:tcPr>
            <w:tcW w:type="dxa" w:w="5112"/>
            <w:vAlign w:val="center"/>
          </w:tcPr>
          <w:p>
            <w:r/>
            <w:r>
              <w:rPr>
                <w:rFonts w:ascii="Aptos" w:hAnsi="Aptos"/>
                <w:b/>
                <w:sz w:val="18"/>
              </w:rPr>
              <w:t>Recall</w:t>
            </w:r>
          </w:p>
        </w:tc>
        <w:tc>
          <w:tcPr>
            <w:tcW w:type="dxa" w:w="5112"/>
            <w:vAlign w:val="center"/>
          </w:tcPr>
          <w:p>
            <w:r/>
            <w:r>
              <w:rPr>
                <w:rFonts w:ascii="Aptos" w:hAnsi="Aptos"/>
                <w:b w:val="0"/>
                <w:sz w:val="18"/>
              </w:rPr>
              <w:t>Of the customers who really churned, how many did I catch?</w:t>
            </w:r>
          </w:p>
        </w:tc>
      </w:tr>
      <w:tr>
        <w:tc>
          <w:tcPr>
            <w:tcW w:type="dxa" w:w="5112"/>
            <w:vAlign w:val="center"/>
          </w:tcPr>
          <w:p>
            <w:r/>
            <w:r>
              <w:rPr>
                <w:rFonts w:ascii="Aptos" w:hAnsi="Aptos"/>
                <w:b/>
                <w:sz w:val="18"/>
              </w:rPr>
              <w:t>F1</w:t>
            </w:r>
          </w:p>
        </w:tc>
        <w:tc>
          <w:tcPr>
            <w:tcW w:type="dxa" w:w="5112"/>
            <w:vAlign w:val="center"/>
          </w:tcPr>
          <w:p>
            <w:r/>
            <w:r>
              <w:rPr>
                <w:rFonts w:ascii="Aptos" w:hAnsi="Aptos"/>
                <w:b w:val="0"/>
                <w:sz w:val="18"/>
              </w:rPr>
              <w:t>How well am I balancing precision and recall?</w:t>
            </w:r>
          </w:p>
        </w:tc>
      </w:tr>
      <w:tr>
        <w:tc>
          <w:tcPr>
            <w:tcW w:type="dxa" w:w="5112"/>
            <w:vAlign w:val="center"/>
          </w:tcPr>
          <w:p>
            <w:r/>
            <w:r>
              <w:rPr>
                <w:rFonts w:ascii="Aptos" w:hAnsi="Aptos"/>
                <w:b/>
                <w:sz w:val="18"/>
              </w:rPr>
              <w:t>Cross-validation</w:t>
            </w:r>
          </w:p>
        </w:tc>
        <w:tc>
          <w:tcPr>
            <w:tcW w:type="dxa" w:w="5112"/>
            <w:vAlign w:val="center"/>
          </w:tcPr>
          <w:p>
            <w:r/>
            <w:r>
              <w:rPr>
                <w:rFonts w:ascii="Aptos" w:hAnsi="Aptos"/>
                <w:b w:val="0"/>
                <w:sz w:val="18"/>
              </w:rPr>
              <w:t>How consistently does the model perform across different validation subsets of the training data?</w:t>
            </w:r>
          </w:p>
        </w:tc>
      </w:tr>
      <w:tr>
        <w:tc>
          <w:tcPr>
            <w:tcW w:type="dxa" w:w="5112"/>
            <w:vAlign w:val="center"/>
          </w:tcPr>
          <w:p>
            <w:r/>
            <w:r>
              <w:rPr>
                <w:rFonts w:ascii="Aptos" w:hAnsi="Aptos"/>
                <w:b/>
                <w:sz w:val="18"/>
              </w:rPr>
              <w:t>Overfitting</w:t>
            </w:r>
          </w:p>
        </w:tc>
        <w:tc>
          <w:tcPr>
            <w:tcW w:type="dxa" w:w="5112"/>
            <w:vAlign w:val="center"/>
          </w:tcPr>
          <w:p>
            <w:r/>
            <w:r>
              <w:rPr>
                <w:rFonts w:ascii="Aptos" w:hAnsi="Aptos"/>
                <w:b w:val="0"/>
                <w:sz w:val="18"/>
              </w:rPr>
              <w:t>Excellent training performance that does not generalize equally well to unseen data.</w:t>
            </w:r>
          </w:p>
        </w:tc>
      </w:tr>
      <w:tr>
        <w:tc>
          <w:tcPr>
            <w:tcW w:type="dxa" w:w="5112"/>
            <w:vAlign w:val="center"/>
          </w:tcPr>
          <w:p>
            <w:r/>
            <w:r>
              <w:rPr>
                <w:rFonts w:ascii="Aptos" w:hAnsi="Aptos"/>
                <w:b/>
                <w:sz w:val="18"/>
              </w:rPr>
              <w:t>Hyperparameter</w:t>
            </w:r>
          </w:p>
        </w:tc>
        <w:tc>
          <w:tcPr>
            <w:tcW w:type="dxa" w:w="5112"/>
            <w:vAlign w:val="center"/>
          </w:tcPr>
          <w:p>
            <w:r/>
            <w:r>
              <w:rPr>
                <w:rFonts w:ascii="Aptos" w:hAnsi="Aptos"/>
                <w:b w:val="0"/>
                <w:sz w:val="18"/>
              </w:rPr>
              <w:t>A setting chosen before/during training that controls how a model learns.</w:t>
            </w:r>
          </w:p>
        </w:tc>
      </w:tr>
      <w:tr>
        <w:tc>
          <w:tcPr>
            <w:tcW w:type="dxa" w:w="5112"/>
            <w:vAlign w:val="center"/>
          </w:tcPr>
          <w:p>
            <w:r/>
            <w:r>
              <w:rPr>
                <w:rFonts w:ascii="Aptos" w:hAnsi="Aptos"/>
                <w:b/>
                <w:sz w:val="18"/>
              </w:rPr>
              <w:t>ROC-AUC</w:t>
            </w:r>
          </w:p>
        </w:tc>
        <w:tc>
          <w:tcPr>
            <w:tcW w:type="dxa" w:w="5112"/>
            <w:vAlign w:val="center"/>
          </w:tcPr>
          <w:p>
            <w:r/>
            <w:r>
              <w:rPr>
                <w:rFonts w:ascii="Aptos" w:hAnsi="Aptos"/>
                <w:b w:val="0"/>
                <w:sz w:val="18"/>
              </w:rPr>
              <w:t>How well does the model rank/separate churners and non-churners across thresholds?</w:t>
            </w:r>
          </w:p>
        </w:tc>
      </w:tr>
      <w:tr>
        <w:tc>
          <w:tcPr>
            <w:tcW w:type="dxa" w:w="5112"/>
            <w:vAlign w:val="center"/>
          </w:tcPr>
          <w:p>
            <w:r/>
            <w:r>
              <w:rPr>
                <w:rFonts w:ascii="Aptos" w:hAnsi="Aptos"/>
                <w:b/>
                <w:sz w:val="18"/>
              </w:rPr>
              <w:t>Feature importance</w:t>
            </w:r>
          </w:p>
        </w:tc>
        <w:tc>
          <w:tcPr>
            <w:tcW w:type="dxa" w:w="5112"/>
            <w:vAlign w:val="center"/>
          </w:tcPr>
          <w:p>
            <w:r/>
            <w:r>
              <w:rPr>
                <w:rFonts w:ascii="Aptos" w:hAnsi="Aptos"/>
                <w:b w:val="0"/>
                <w:sz w:val="18"/>
              </w:rPr>
              <w:t>Which predictors the Random Forest relied on most for its splits; not a causal measure.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Telecom Customer Churn Analysis — Checkpoint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