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Project 2</w:t>
        <w:br/>
        <w:t>Checkpoint 3</w:t>
      </w:r>
    </w:p>
    <w:p>
      <w:pPr>
        <w:jc w:val="center"/>
      </w:pPr>
      <w:r>
        <w:rPr>
          <w:b/>
          <w:sz w:val="32"/>
        </w:rPr>
        <w:t>Statistical Analysis and Hypothesis Testing</w:t>
      </w:r>
    </w:p>
    <w:p>
      <w:pPr>
        <w:jc w:val="center"/>
      </w:pPr>
      <w:r>
        <w:rPr>
          <w:i/>
        </w:rPr>
        <w:t>Telecom Customer Churn Analysis</w:t>
      </w:r>
    </w:p>
    <w:p>
      <w:r>
        <w:t>Checkpoint objective: move beyond descriptive EDA and formally test whether the relationships observed between customer characteristics and churn are supported by statistical evidence, while also measuring the practical strength of those relationships.</w:t>
      </w:r>
    </w:p>
    <w:p>
      <w:pPr>
        <w:pStyle w:val="Heading1"/>
      </w:pPr>
      <w:r>
        <w:t>1. Fundamental Statistical Framework</w:t>
      </w:r>
    </w:p>
    <w:p>
      <w:r>
        <w:t>The statistical phase was intentionally organized around two simple analytical questions. For categorical variables, the question was whether two categories are associated. For numerical variables, the question was whether churned and non-churned customers tend to have different numerical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Data situation</w:t>
            </w:r>
          </w:p>
        </w:tc>
        <w:tc>
          <w:tcPr>
            <w:tcW w:type="dxa" w:w="2520"/>
          </w:tcPr>
          <w:p>
            <w:r>
              <w:t>Fundamental question</w:t>
            </w:r>
          </w:p>
        </w:tc>
        <w:tc>
          <w:tcPr>
            <w:tcW w:type="dxa" w:w="2520"/>
          </w:tcPr>
          <w:p>
            <w:r>
              <w:t>Test</w:t>
            </w:r>
          </w:p>
        </w:tc>
        <w:tc>
          <w:tcPr>
            <w:tcW w:type="dxa" w:w="2520"/>
          </w:tcPr>
          <w:p>
            <w:r>
              <w:t>Effect size</w:t>
            </w:r>
          </w:p>
        </w:tc>
      </w:tr>
      <w:tr>
        <w:tc>
          <w:tcPr>
            <w:tcW w:type="dxa" w:w="2520"/>
          </w:tcPr>
          <w:p>
            <w:r>
              <w:t>Categorical vs categorical</w:t>
            </w:r>
          </w:p>
        </w:tc>
        <w:tc>
          <w:tcPr>
            <w:tcW w:type="dxa" w:w="2520"/>
          </w:tcPr>
          <w:p>
            <w:r>
              <w:t>Are the variables associated?</w:t>
            </w:r>
          </w:p>
        </w:tc>
        <w:tc>
          <w:tcPr>
            <w:tcW w:type="dxa" w:w="2520"/>
          </w:tcPr>
          <w:p>
            <w:r>
              <w:t>Chi-square test</w:t>
            </w:r>
          </w:p>
        </w:tc>
        <w:tc>
          <w:tcPr>
            <w:tcW w:type="dxa" w:w="2520"/>
          </w:tcPr>
          <w:p>
            <w:r>
              <w:t>Cramér's V</w:t>
            </w:r>
          </w:p>
        </w:tc>
      </w:tr>
      <w:tr>
        <w:tc>
          <w:tcPr>
            <w:tcW w:type="dxa" w:w="2520"/>
          </w:tcPr>
          <w:p>
            <w:r>
              <w:t>Numerical vs two churn groups</w:t>
            </w:r>
          </w:p>
        </w:tc>
        <w:tc>
          <w:tcPr>
            <w:tcW w:type="dxa" w:w="2520"/>
          </w:tcPr>
          <w:p>
            <w:r>
              <w:t>Do the groups tend to have different values?</w:t>
            </w:r>
          </w:p>
        </w:tc>
        <w:tc>
          <w:tcPr>
            <w:tcW w:type="dxa" w:w="2520"/>
          </w:tcPr>
          <w:p>
            <w:r>
              <w:t>Mann-Whitney U</w:t>
            </w:r>
          </w:p>
        </w:tc>
        <w:tc>
          <w:tcPr>
            <w:tcW w:type="dxa" w:w="2520"/>
          </w:tcPr>
          <w:p>
            <w:r>
              <w:t>Rank-biserial correlation</w:t>
            </w:r>
          </w:p>
        </w:tc>
      </w:tr>
    </w:tbl>
    <w:p>
      <w:r>
        <w:t>Across both workflows, the p-value was used to evaluate statistical evidence. At alpha = 0.05, p &lt; 0.05 led to rejection of the null hypothesis. Effect size was then used to determine whether the observed association or group difference was weak, medium, or large. Statistical significance was therefore not treated as equivalent to practical importance.</w:t>
      </w:r>
    </w:p>
    <w:p>
      <w:pPr>
        <w:pStyle w:val="Heading1"/>
      </w:pPr>
      <w:r>
        <w:t>2. Categorical Variables: Chi-Square Tests</w:t>
      </w:r>
    </w:p>
    <w:p>
      <w:r>
        <w:t>Chi-square tests of independence were applied to categorical predictors and churn. Expected cell frequencies were checked before interpretation. Cramér's V was calculated after each test to measure association strength.</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Variable</w:t>
            </w:r>
          </w:p>
        </w:tc>
        <w:tc>
          <w:tcPr>
            <w:tcW w:type="dxa" w:w="2016"/>
          </w:tcPr>
          <w:p>
            <w:r>
              <w:t>Chi-square</w:t>
            </w:r>
          </w:p>
        </w:tc>
        <w:tc>
          <w:tcPr>
            <w:tcW w:type="dxa" w:w="2016"/>
          </w:tcPr>
          <w:p>
            <w:r>
              <w:t>df</w:t>
            </w:r>
          </w:p>
        </w:tc>
        <w:tc>
          <w:tcPr>
            <w:tcW w:type="dxa" w:w="2016"/>
          </w:tcPr>
          <w:p>
            <w:r>
              <w:t>Cramér's V</w:t>
            </w:r>
          </w:p>
        </w:tc>
        <w:tc>
          <w:tcPr>
            <w:tcW w:type="dxa" w:w="2016"/>
          </w:tcPr>
          <w:p>
            <w:r>
              <w:t>Interpretation</w:t>
            </w:r>
          </w:p>
        </w:tc>
      </w:tr>
      <w:tr>
        <w:tc>
          <w:tcPr>
            <w:tcW w:type="dxa" w:w="2016"/>
          </w:tcPr>
          <w:p>
            <w:r>
              <w:t>Complaints</w:t>
            </w:r>
          </w:p>
        </w:tc>
        <w:tc>
          <w:tcPr>
            <w:tcW w:type="dxa" w:w="2016"/>
          </w:tcPr>
          <w:p>
            <w:r>
              <w:t>886.21</w:t>
            </w:r>
          </w:p>
        </w:tc>
        <w:tc>
          <w:tcPr>
            <w:tcW w:type="dxa" w:w="2016"/>
          </w:tcPr>
          <w:p>
            <w:r>
              <w:t>1</w:t>
            </w:r>
          </w:p>
        </w:tc>
        <w:tc>
          <w:tcPr>
            <w:tcW w:type="dxa" w:w="2016"/>
          </w:tcPr>
          <w:p>
            <w:r>
              <w:t>0.530</w:t>
            </w:r>
          </w:p>
        </w:tc>
        <w:tc>
          <w:tcPr>
            <w:tcW w:type="dxa" w:w="2016"/>
          </w:tcPr>
          <w:p>
            <w:r>
              <w:t>Statistically significant; strong association</w:t>
            </w:r>
          </w:p>
        </w:tc>
      </w:tr>
      <w:tr>
        <w:tc>
          <w:tcPr>
            <w:tcW w:type="dxa" w:w="2016"/>
          </w:tcPr>
          <w:p>
            <w:r>
              <w:t>Customer Status</w:t>
            </w:r>
          </w:p>
        </w:tc>
        <w:tc>
          <w:tcPr>
            <w:tcW w:type="dxa" w:w="2016"/>
          </w:tcPr>
          <w:p>
            <w:r>
              <w:t>≈781</w:t>
            </w:r>
          </w:p>
        </w:tc>
        <w:tc>
          <w:tcPr>
            <w:tcW w:type="dxa" w:w="2016"/>
          </w:tcPr>
          <w:p>
            <w:r>
              <w:t>1</w:t>
            </w:r>
          </w:p>
        </w:tc>
        <w:tc>
          <w:tcPr>
            <w:tcW w:type="dxa" w:w="2016"/>
          </w:tcPr>
          <w:p>
            <w:r>
              <w:t>0.498</w:t>
            </w:r>
          </w:p>
        </w:tc>
        <w:tc>
          <w:tcPr>
            <w:tcW w:type="dxa" w:w="2016"/>
          </w:tcPr>
          <w:p>
            <w:r>
              <w:t>Statistically significant; strong association</w:t>
            </w:r>
          </w:p>
        </w:tc>
      </w:tr>
      <w:tr>
        <w:tc>
          <w:tcPr>
            <w:tcW w:type="dxa" w:w="2016"/>
          </w:tcPr>
          <w:p>
            <w:r>
              <w:t>Age Group</w:t>
            </w:r>
          </w:p>
        </w:tc>
        <w:tc>
          <w:tcPr>
            <w:tcW w:type="dxa" w:w="2016"/>
          </w:tcPr>
          <w:p>
            <w:r>
              <w:t>58.95</w:t>
            </w:r>
          </w:p>
        </w:tc>
        <w:tc>
          <w:tcPr>
            <w:tcW w:type="dxa" w:w="2016"/>
          </w:tcPr>
          <w:p>
            <w:r>
              <w:t>4</w:t>
            </w:r>
          </w:p>
        </w:tc>
        <w:tc>
          <w:tcPr>
            <w:tcW w:type="dxa" w:w="2016"/>
          </w:tcPr>
          <w:p>
            <w:r>
              <w:t>0.137</w:t>
            </w:r>
          </w:p>
        </w:tc>
        <w:tc>
          <w:tcPr>
            <w:tcW w:type="dxa" w:w="2016"/>
          </w:tcPr>
          <w:p>
            <w:r>
              <w:t>Statistically significant; weak association</w:t>
            </w:r>
          </w:p>
        </w:tc>
      </w:tr>
      <w:tr>
        <w:tc>
          <w:tcPr>
            <w:tcW w:type="dxa" w:w="2016"/>
          </w:tcPr>
          <w:p>
            <w:r>
              <w:t>Tariff Plan</w:t>
            </w:r>
          </w:p>
        </w:tc>
        <w:tc>
          <w:tcPr>
            <w:tcW w:type="dxa" w:w="2016"/>
          </w:tcPr>
          <w:p>
            <w:r>
              <w:t>34.22</w:t>
            </w:r>
          </w:p>
        </w:tc>
        <w:tc>
          <w:tcPr>
            <w:tcW w:type="dxa" w:w="2016"/>
          </w:tcPr>
          <w:p>
            <w:r>
              <w:t>1</w:t>
            </w:r>
          </w:p>
        </w:tc>
        <w:tc>
          <w:tcPr>
            <w:tcW w:type="dxa" w:w="2016"/>
          </w:tcPr>
          <w:p>
            <w:r>
              <w:t>≈0.104</w:t>
            </w:r>
          </w:p>
        </w:tc>
        <w:tc>
          <w:tcPr>
            <w:tcW w:type="dxa" w:w="2016"/>
          </w:tcPr>
          <w:p>
            <w:r>
              <w:t>Statistically significant; weak association</w:t>
            </w:r>
          </w:p>
        </w:tc>
      </w:tr>
    </w:tbl>
    <w:p>
      <w:pPr>
        <w:pStyle w:val="Heading2"/>
      </w:pPr>
      <w:r>
        <w:t>2.1 Key categorical findings</w:t>
      </w:r>
    </w:p>
    <w:p>
      <w:pPr>
        <w:pStyle w:val="ListBullet"/>
      </w:pPr>
      <w:r>
        <w:t>Complaints showed the strongest categorical association with churn (Cramér's V = 0.530). Customers with complaints had a much higher observed churn rate during EDA.</w:t>
      </w:r>
    </w:p>
    <w:p>
      <w:pPr>
        <w:pStyle w:val="ListBullet"/>
      </w:pPr>
      <w:r>
        <w:t>Customer status also showed a strong association with churn (Cramér's V = 0.498). Status 2 had an observed churn rate of 47.31% compared with 5.28% for Status 1. The operational meaning of the status codes should be established before making a specific business recommendation.</w:t>
      </w:r>
    </w:p>
    <w:p>
      <w:pPr>
        <w:pStyle w:val="ListBullet"/>
      </w:pPr>
      <w:r>
        <w:t>Age group was statistically associated with churn, but the effect was weak (V = 0.137). The five age-group codes in this dataset correspond to discrete recorded ages rather than age ranges: 15, 25, 30, 45, and 55.</w:t>
      </w:r>
    </w:p>
    <w:p>
      <w:pPr>
        <w:pStyle w:val="ListBullet"/>
      </w:pPr>
      <w:r>
        <w:t>Tariff plan was statistically associated with churn, but its effect was weak (V ≈ 0.104), despite the descriptive churn-rate difference between Plan 1 and Plan 2.</w:t>
      </w:r>
    </w:p>
    <w:p>
      <w:pPr>
        <w:pStyle w:val="Heading2"/>
      </w:pPr>
      <w:r>
        <w:t>2.2 Concepts reinforced</w:t>
      </w:r>
    </w:p>
    <w:p>
      <w:r>
        <w:t>The Chi-square statistic is a test statistic rather than an effect-size measure. Its critical value depends on the degrees of freedom. For a 2 x 2 table, df = 1 and the approximate critical value at alpha = 0.05 is 3.84; for the 5 x 2 age-group table, df = 4 and the corresponding critical value is approximately 9.49.</w:t>
      </w:r>
    </w:p>
    <w:p>
      <w:r>
        <w:t>Cramér's V standardizes association strength. The adjustment uses min(r - 1, c - 1), where r and c are the numbers of rows and columns. For the 5 x 2 age table, min(4, 1) = 1. This is different from the degrees-of-freedom formula, (r - 1)(c - 1), which gives 4.</w:t>
      </w:r>
    </w:p>
    <w:p>
      <w:pPr>
        <w:pStyle w:val="Heading1"/>
      </w:pPr>
      <w:r>
        <w:t>3. Numerical Variables: Mann-Whitney U Tests</w:t>
      </w:r>
    </w:p>
    <w:p>
      <w:r>
        <w:t>The main numerical variables were skewed and contained outliers. Mann-Whitney U tests were therefore used as the primary non-parametric comparison between churned and non-churned customers. The test was interpreted as asking whether the two groups tend to have different values, rather than simply as a test of means.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Variable</w:t>
            </w:r>
          </w:p>
        </w:tc>
        <w:tc>
          <w:tcPr>
            <w:tcW w:type="dxa" w:w="1680"/>
          </w:tcPr>
          <w:p>
            <w:r>
              <w:t>Non-churn median</w:t>
            </w:r>
          </w:p>
        </w:tc>
        <w:tc>
          <w:tcPr>
            <w:tcW w:type="dxa" w:w="1680"/>
          </w:tcPr>
          <w:p>
            <w:r>
              <w:t>Churn median</w:t>
            </w:r>
          </w:p>
        </w:tc>
        <w:tc>
          <w:tcPr>
            <w:tcW w:type="dxa" w:w="1680"/>
          </w:tcPr>
          <w:p>
            <w:r>
              <w:t>U statistic</w:t>
            </w:r>
          </w:p>
        </w:tc>
        <w:tc>
          <w:tcPr>
            <w:tcW w:type="dxa" w:w="1680"/>
          </w:tcPr>
          <w:p>
            <w:r>
              <w:t>Rank-biserial</w:t>
            </w:r>
          </w:p>
        </w:tc>
        <w:tc>
          <w:tcPr>
            <w:tcW w:type="dxa" w:w="1680"/>
          </w:tcPr>
          <w:p>
            <w:r>
              <w:t>Effect</w:t>
            </w:r>
          </w:p>
        </w:tc>
      </w:tr>
      <w:tr>
        <w:tc>
          <w:tcPr>
            <w:tcW w:type="dxa" w:w="1680"/>
          </w:tcPr>
          <w:p>
            <w:r>
              <w:t>Seconds of Use</w:t>
            </w:r>
          </w:p>
        </w:tc>
        <w:tc>
          <w:tcPr>
            <w:tcW w:type="dxa" w:w="1680"/>
          </w:tcPr>
          <w:p>
            <w:r>
              <w:t>3,530</w:t>
            </w:r>
          </w:p>
        </w:tc>
        <w:tc>
          <w:tcPr>
            <w:tcW w:type="dxa" w:w="1680"/>
          </w:tcPr>
          <w:p>
            <w:r>
              <w:t>1,182</w:t>
            </w:r>
          </w:p>
        </w:tc>
        <w:tc>
          <w:tcPr>
            <w:tcW w:type="dxa" w:w="1680"/>
          </w:tcPr>
          <w:p>
            <w:r>
              <w:t>1,039,479</w:t>
            </w:r>
          </w:p>
        </w:tc>
        <w:tc>
          <w:tcPr>
            <w:tcW w:type="dxa" w:w="1680"/>
          </w:tcPr>
          <w:p>
            <w:r>
              <w:t>0.582</w:t>
            </w:r>
          </w:p>
        </w:tc>
        <w:tc>
          <w:tcPr>
            <w:tcW w:type="dxa" w:w="1680"/>
          </w:tcPr>
          <w:p>
            <w:r>
              <w:t>Large</w:t>
            </w:r>
          </w:p>
        </w:tc>
      </w:tr>
      <w:tr>
        <w:tc>
          <w:tcPr>
            <w:tcW w:type="dxa" w:w="1680"/>
          </w:tcPr>
          <w:p>
            <w:r>
              <w:t>Customer Value</w:t>
            </w:r>
          </w:p>
        </w:tc>
        <w:tc>
          <w:tcPr>
            <w:tcW w:type="dxa" w:w="1680"/>
          </w:tcPr>
          <w:p>
            <w:r>
              <w:t>268.07</w:t>
            </w:r>
          </w:p>
        </w:tc>
        <w:tc>
          <w:tcPr>
            <w:tcW w:type="dxa" w:w="1680"/>
          </w:tcPr>
          <w:p>
            <w:r>
              <w:t>96.84</w:t>
            </w:r>
          </w:p>
        </w:tc>
        <w:tc>
          <w:tcPr>
            <w:tcW w:type="dxa" w:w="1680"/>
          </w:tcPr>
          <w:p>
            <w:r>
              <w:t>1,033,434</w:t>
            </w:r>
          </w:p>
        </w:tc>
        <w:tc>
          <w:tcPr>
            <w:tcW w:type="dxa" w:w="1680"/>
          </w:tcPr>
          <w:p>
            <w:r>
              <w:t>0.573</w:t>
            </w:r>
          </w:p>
        </w:tc>
        <w:tc>
          <w:tcPr>
            <w:tcW w:type="dxa" w:w="1680"/>
          </w:tcPr>
          <w:p>
            <w:r>
              <w:t>Large</w:t>
            </w:r>
          </w:p>
        </w:tc>
      </w:tr>
      <w:tr>
        <w:tc>
          <w:tcPr>
            <w:tcW w:type="dxa" w:w="1680"/>
          </w:tcPr>
          <w:p>
            <w:r>
              <w:t>Frequency of Use</w:t>
            </w:r>
          </w:p>
        </w:tc>
        <w:tc>
          <w:tcPr>
            <w:tcW w:type="dxa" w:w="1680"/>
          </w:tcPr>
          <w:p>
            <w:r>
              <w:t>63</w:t>
            </w:r>
          </w:p>
        </w:tc>
        <w:tc>
          <w:tcPr>
            <w:tcW w:type="dxa" w:w="1680"/>
          </w:tcPr>
          <w:p>
            <w:r>
              <w:t>25</w:t>
            </w:r>
          </w:p>
        </w:tc>
        <w:tc>
          <w:tcPr>
            <w:tcW w:type="dxa" w:w="1680"/>
          </w:tcPr>
          <w:p>
            <w:r>
              <w:t>—</w:t>
            </w:r>
          </w:p>
        </w:tc>
        <w:tc>
          <w:tcPr>
            <w:tcW w:type="dxa" w:w="1680"/>
          </w:tcPr>
          <w:p>
            <w:r>
              <w:t>0.545</w:t>
            </w:r>
          </w:p>
        </w:tc>
        <w:tc>
          <w:tcPr>
            <w:tcW w:type="dxa" w:w="1680"/>
          </w:tcPr>
          <w:p>
            <w:r>
              <w:t>Large</w:t>
            </w:r>
          </w:p>
        </w:tc>
      </w:tr>
      <w:tr>
        <w:tc>
          <w:tcPr>
            <w:tcW w:type="dxa" w:w="1680"/>
          </w:tcPr>
          <w:p>
            <w:r>
              <w:t>Distinct Called Numbers</w:t>
            </w:r>
          </w:p>
        </w:tc>
        <w:tc>
          <w:tcPr>
            <w:tcW w:type="dxa" w:w="1680"/>
          </w:tcPr>
          <w:p>
            <w:r>
              <w:t>23</w:t>
            </w:r>
          </w:p>
        </w:tc>
        <w:tc>
          <w:tcPr>
            <w:tcW w:type="dxa" w:w="1680"/>
          </w:tcPr>
          <w:p>
            <w:r>
              <w:t>10</w:t>
            </w:r>
          </w:p>
        </w:tc>
        <w:tc>
          <w:tcPr>
            <w:tcW w:type="dxa" w:w="1680"/>
          </w:tcPr>
          <w:p>
            <w:r>
              <w:t>971,662</w:t>
            </w:r>
          </w:p>
        </w:tc>
        <w:tc>
          <w:tcPr>
            <w:tcW w:type="dxa" w:w="1680"/>
          </w:tcPr>
          <w:p>
            <w:r>
              <w:t>0.479</w:t>
            </w:r>
          </w:p>
        </w:tc>
        <w:tc>
          <w:tcPr>
            <w:tcW w:type="dxa" w:w="1680"/>
          </w:tcPr>
          <w:p>
            <w:r>
              <w:t>Medium, approaching large</w:t>
            </w:r>
          </w:p>
        </w:tc>
      </w:tr>
      <w:tr>
        <w:tc>
          <w:tcPr>
            <w:tcW w:type="dxa" w:w="1680"/>
          </w:tcPr>
          <w:p>
            <w:r>
              <w:t>Frequency of SMS</w:t>
            </w:r>
          </w:p>
        </w:tc>
        <w:tc>
          <w:tcPr>
            <w:tcW w:type="dxa" w:w="1680"/>
          </w:tcPr>
          <w:p>
            <w:r>
              <w:t>25</w:t>
            </w:r>
          </w:p>
        </w:tc>
        <w:tc>
          <w:tcPr>
            <w:tcW w:type="dxa" w:w="1680"/>
          </w:tcPr>
          <w:p>
            <w:r>
              <w:t>9</w:t>
            </w:r>
          </w:p>
        </w:tc>
        <w:tc>
          <w:tcPr>
            <w:tcW w:type="dxa" w:w="1680"/>
          </w:tcPr>
          <w:p>
            <w:r>
              <w:t>889,536.5</w:t>
            </w:r>
          </w:p>
        </w:tc>
        <w:tc>
          <w:tcPr>
            <w:tcW w:type="dxa" w:w="1680"/>
          </w:tcPr>
          <w:p>
            <w:r>
              <w:t>0.354</w:t>
            </w:r>
          </w:p>
        </w:tc>
        <w:tc>
          <w:tcPr>
            <w:tcW w:type="dxa" w:w="1680"/>
          </w:tcPr>
          <w:p>
            <w:r>
              <w:t>Medium</w:t>
            </w:r>
          </w:p>
        </w:tc>
      </w:tr>
    </w:tbl>
    <w:p>
      <w:r>
        <w:t>All five Mann-Whitney comparisons were statistically significant (p &lt; 0.05; in practice the reported p-values were extremely small). The effect-size results show that statistical significance alone is not enough: the magnitude of the churn-group difference varied meaningfully across variables.</w:t>
      </w:r>
    </w:p>
    <w:p>
      <w:pPr>
        <w:pStyle w:val="Heading2"/>
      </w:pPr>
      <w:r>
        <w:t>3.1 Distribution diagnostics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Non-churn skewness</w:t>
            </w:r>
          </w:p>
        </w:tc>
        <w:tc>
          <w:tcPr>
            <w:tcW w:type="dxa" w:w="3360"/>
          </w:tcPr>
          <w:p>
            <w:r>
              <w:t>Churn skewness</w:t>
            </w:r>
          </w:p>
        </w:tc>
      </w:tr>
      <w:tr>
        <w:tc>
          <w:tcPr>
            <w:tcW w:type="dxa" w:w="3360"/>
          </w:tcPr>
          <w:p>
            <w:r>
              <w:t>Seconds of Use</w:t>
            </w:r>
          </w:p>
        </w:tc>
        <w:tc>
          <w:tcPr>
            <w:tcW w:type="dxa" w:w="3360"/>
          </w:tcPr>
          <w:p>
            <w:r>
              <w:t>1.162</w:t>
            </w:r>
          </w:p>
        </w:tc>
        <w:tc>
          <w:tcPr>
            <w:tcW w:type="dxa" w:w="3360"/>
          </w:tcPr>
          <w:p>
            <w:r>
              <w:t>1.260</w:t>
            </w:r>
          </w:p>
        </w:tc>
      </w:tr>
      <w:tr>
        <w:tc>
          <w:tcPr>
            <w:tcW w:type="dxa" w:w="3360"/>
          </w:tcPr>
          <w:p>
            <w:r>
              <w:t>Frequency of Use</w:t>
            </w:r>
          </w:p>
        </w:tc>
        <w:tc>
          <w:tcPr>
            <w:tcW w:type="dxa" w:w="3360"/>
          </w:tcPr>
          <w:p>
            <w:r>
              <w:t>1.020</w:t>
            </w:r>
          </w:p>
        </w:tc>
        <w:tc>
          <w:tcPr>
            <w:tcW w:type="dxa" w:w="3360"/>
          </w:tcPr>
          <w:p>
            <w:r>
              <w:t>0.875</w:t>
            </w:r>
          </w:p>
        </w:tc>
      </w:tr>
      <w:tr>
        <w:tc>
          <w:tcPr>
            <w:tcW w:type="dxa" w:w="3360"/>
          </w:tcPr>
          <w:p>
            <w:r>
              <w:t>Frequency of SMS</w:t>
            </w:r>
          </w:p>
        </w:tc>
        <w:tc>
          <w:tcPr>
            <w:tcW w:type="dxa" w:w="3360"/>
          </w:tcPr>
          <w:p>
            <w:r>
              <w:t>1.729</w:t>
            </w:r>
          </w:p>
        </w:tc>
        <w:tc>
          <w:tcPr>
            <w:tcW w:type="dxa" w:w="3360"/>
          </w:tcPr>
          <w:p>
            <w:r>
              <w:t>4.880</w:t>
            </w:r>
          </w:p>
        </w:tc>
      </w:tr>
      <w:tr>
        <w:tc>
          <w:tcPr>
            <w:tcW w:type="dxa" w:w="3360"/>
          </w:tcPr>
          <w:p>
            <w:r>
              <w:t>Distinct Called Numbers</w:t>
            </w:r>
          </w:p>
        </w:tc>
        <w:tc>
          <w:tcPr>
            <w:tcW w:type="dxa" w:w="3360"/>
          </w:tcPr>
          <w:p>
            <w:r>
              <w:t>0.984</w:t>
            </w:r>
          </w:p>
        </w:tc>
        <w:tc>
          <w:tcPr>
            <w:tcW w:type="dxa" w:w="3360"/>
          </w:tcPr>
          <w:p>
            <w:r>
              <w:t>0.681</w:t>
            </w:r>
          </w:p>
        </w:tc>
      </w:tr>
      <w:tr>
        <w:tc>
          <w:tcPr>
            <w:tcW w:type="dxa" w:w="3360"/>
          </w:tcPr>
          <w:p>
            <w:r>
              <w:t>Customer Value</w:t>
            </w:r>
          </w:p>
        </w:tc>
        <w:tc>
          <w:tcPr>
            <w:tcW w:type="dxa" w:w="3360"/>
          </w:tcPr>
          <w:p>
            <w:r>
              <w:t>1.219</w:t>
            </w:r>
          </w:p>
        </w:tc>
        <w:tc>
          <w:tcPr>
            <w:tcW w:type="dxa" w:w="3360"/>
          </w:tcPr>
          <w:p>
            <w:r>
              <w:t>2.764</w:t>
            </w:r>
          </w:p>
        </w:tc>
      </w:tr>
    </w:tbl>
    <w:p>
      <w:r>
        <w:t>Positive skewness was present across the main numerical comparisons, with especially strong right skew for churners' SMS frequency and customer value. This reinforced the decision to use a rank-based comparison and to report medians alongside means.</w:t>
      </w:r>
    </w:p>
    <w:p>
      <w:pPr>
        <w:pStyle w:val="Heading2"/>
      </w:pPr>
      <w:r>
        <w:t>3.2 Interpretation of the Mann-Whitney outputs</w:t>
      </w:r>
    </w:p>
    <w:p>
      <w:r>
        <w:t>The U statistic is the rank-based test statistic. Its raw magnitude is not classified as small, medium, or large because it depends strongly on the group sample sizes. The p-value answers whether there is statistical evidence of a group difference, while rank-biserial correlation provides an effect-size measure. The sign of the rank-biserial value depends on group ordering; its absolute value is used when classifying magnitude.</w:t>
      </w:r>
    </w:p>
    <w:p>
      <w:pPr>
        <w:pStyle w:val="Heading1"/>
      </w:pPr>
      <w:r>
        <w:t>4. Consolidated Findings</w:t>
      </w:r>
    </w:p>
    <w:p>
      <w:pPr>
        <w:pStyle w:val="ListBullet"/>
      </w:pPr>
      <w:r>
        <w:t>Customer engagement is strongly related to churn in this dataset. Seconds of use, frequency of use, customer value, and breadth of calling activity were all higher among non-churners.</w:t>
      </w:r>
    </w:p>
    <w:p>
      <w:pPr>
        <w:pStyle w:val="ListBullet"/>
      </w:pPr>
      <w:r>
        <w:t>Complaints and customer status were the strongest categorical relationships with churn.</w:t>
      </w:r>
    </w:p>
    <w:p>
      <w:pPr>
        <w:pStyle w:val="ListBullet"/>
      </w:pPr>
      <w:r>
        <w:t>Tariff plan and age group were statistically significant but weak in effect size, demonstrating that a small p-value does not imply a strong practical relationship.</w:t>
      </w:r>
    </w:p>
    <w:p>
      <w:pPr>
        <w:pStyle w:val="ListBullet"/>
      </w:pPr>
      <w:r>
        <w:t>Frequency of SMS differed between churn groups, but its medium effect was weaker than the effects for seconds of use, frequency of use, and customer value.</w:t>
      </w:r>
    </w:p>
    <w:p>
      <w:pPr>
        <w:pStyle w:val="Heading1"/>
      </w:pPr>
      <w:r>
        <w:t>5. Important Analytical Limitations</w:t>
      </w:r>
    </w:p>
    <w:p>
      <w:pPr>
        <w:pStyle w:val="ListBullet"/>
      </w:pPr>
      <w:r>
        <w:t>Association is not causation. The tests identify relationships and group differences but do not establish that a predictor causes churn.</w:t>
      </w:r>
    </w:p>
    <w:p>
      <w:pPr>
        <w:pStyle w:val="ListBullet"/>
      </w:pPr>
      <w:r>
        <w:t>Several usage variables overlap conceptually and statistically. In EDA, seconds_of_use and frequency_of_use were highly correlated (approximately 0.946), so their individual statistical significance should not be interpreted as proof of independent effects.</w:t>
      </w:r>
    </w:p>
    <w:p>
      <w:pPr>
        <w:pStyle w:val="ListBullet"/>
      </w:pPr>
      <w:r>
        <w:t>The operational definitions of coded fields such as customer status should be confirmed before translating statistical results into business actions.</w:t>
      </w:r>
    </w:p>
    <w:p>
      <w:pPr>
        <w:pStyle w:val="ListBullet"/>
      </w:pPr>
      <w:r>
        <w:t>Effect-size thresholds are rough interpretive guidelines rather than universal cutoffs and should be considered alongside business context.</w:t>
      </w:r>
    </w:p>
    <w:p>
      <w:pPr>
        <w:pStyle w:val="Heading1"/>
      </w:pPr>
      <w:r>
        <w:t>6. Python Techniques Practised</w:t>
      </w:r>
    </w:p>
    <w:p>
      <w:pPr>
        <w:pStyle w:val="ListBullet"/>
      </w:pPr>
      <w:r>
        <w:t>pd.crosstab() — construct contingency tables.</w:t>
      </w:r>
    </w:p>
    <w:p>
      <w:pPr>
        <w:pStyle w:val="ListBullet"/>
      </w:pPr>
      <w:r>
        <w:t>scipy.stats.chi2_contingency() — perform Chi-square tests and obtain expected frequencies.</w:t>
      </w:r>
    </w:p>
    <w:p>
      <w:pPr>
        <w:pStyle w:val="ListBullet"/>
      </w:pPr>
      <w:r>
        <w:t>NumPy square-root calculations — calculate Cramér's V.</w:t>
      </w:r>
    </w:p>
    <w:p>
      <w:pPr>
        <w:pStyle w:val="ListBullet"/>
      </w:pPr>
      <w:r>
        <w:t>df.loc[condition, column] — subset numerical values into churn and non-churn groups.</w:t>
      </w:r>
    </w:p>
    <w:p>
      <w:pPr>
        <w:pStyle w:val="ListBullet"/>
      </w:pPr>
      <w:r>
        <w:t>Series.mean(), Series.median(), Series.skew() — summarize and diagnose numerical distributions.</w:t>
      </w:r>
    </w:p>
    <w:p>
      <w:pPr>
        <w:pStyle w:val="ListBullet"/>
      </w:pPr>
      <w:r>
        <w:t>scipy.stats.mannwhitneyu() — compare numerical distributions across two independent groups.</w:t>
      </w:r>
    </w:p>
    <w:p>
      <w:pPr>
        <w:pStyle w:val="ListBullet"/>
      </w:pPr>
      <w:r>
        <w:t>len() and arithmetic on U — calculate rank-biserial correlation.</w:t>
      </w:r>
    </w:p>
    <w:p>
      <w:pPr>
        <w:pStyle w:val="Heading1"/>
      </w:pPr>
      <w:r>
        <w:t>7. Revision Cheat Sheet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Question</w:t>
            </w:r>
          </w:p>
        </w:tc>
        <w:tc>
          <w:tcPr>
            <w:tcW w:type="dxa" w:w="3360"/>
          </w:tcPr>
          <w:p>
            <w:r>
              <w:t>Primary tool</w:t>
            </w:r>
          </w:p>
        </w:tc>
        <w:tc>
          <w:tcPr>
            <w:tcW w:type="dxa" w:w="3360"/>
          </w:tcPr>
          <w:p>
            <w:r>
              <w:t>Interpret with</w:t>
            </w:r>
          </w:p>
        </w:tc>
      </w:tr>
      <w:tr>
        <w:tc>
          <w:tcPr>
            <w:tcW w:type="dxa" w:w="3360"/>
          </w:tcPr>
          <w:p>
            <w:r>
              <w:t>Are two categorical variables associated?</w:t>
            </w:r>
          </w:p>
        </w:tc>
        <w:tc>
          <w:tcPr>
            <w:tcW w:type="dxa" w:w="3360"/>
          </w:tcPr>
          <w:p>
            <w:r>
              <w:t>Chi-square</w:t>
            </w:r>
          </w:p>
        </w:tc>
        <w:tc>
          <w:tcPr>
            <w:tcW w:type="dxa" w:w="3360"/>
          </w:tcPr>
          <w:p>
            <w:r>
              <w:t>p-value</w:t>
            </w:r>
          </w:p>
        </w:tc>
      </w:tr>
      <w:tr>
        <w:tc>
          <w:tcPr>
            <w:tcW w:type="dxa" w:w="3360"/>
          </w:tcPr>
          <w:p>
            <w:r>
              <w:t>How strong is that categorical association?</w:t>
            </w:r>
          </w:p>
        </w:tc>
        <w:tc>
          <w:tcPr>
            <w:tcW w:type="dxa" w:w="3360"/>
          </w:tcPr>
          <w:p>
            <w:r>
              <w:t>Cramér's V</w:t>
            </w:r>
          </w:p>
        </w:tc>
        <w:tc>
          <w:tcPr>
            <w:tcW w:type="dxa" w:w="3360"/>
          </w:tcPr>
          <w:p>
            <w:r>
              <w:t>Effect magnitude</w:t>
            </w:r>
          </w:p>
        </w:tc>
      </w:tr>
      <w:tr>
        <w:tc>
          <w:tcPr>
            <w:tcW w:type="dxa" w:w="3360"/>
          </w:tcPr>
          <w:p>
            <w:r>
              <w:t>Do two groups tend to have different numerical values?</w:t>
            </w:r>
          </w:p>
        </w:tc>
        <w:tc>
          <w:tcPr>
            <w:tcW w:type="dxa" w:w="3360"/>
          </w:tcPr>
          <w:p>
            <w:r>
              <w:t>Mann-Whitney U</w:t>
            </w:r>
          </w:p>
        </w:tc>
        <w:tc>
          <w:tcPr>
            <w:tcW w:type="dxa" w:w="3360"/>
          </w:tcPr>
          <w:p>
            <w:r>
              <w:t>p-value</w:t>
            </w:r>
          </w:p>
        </w:tc>
      </w:tr>
      <w:tr>
        <w:tc>
          <w:tcPr>
            <w:tcW w:type="dxa" w:w="3360"/>
          </w:tcPr>
          <w:p>
            <w:r>
              <w:t>How large is the numerical group difference?</w:t>
            </w:r>
          </w:p>
        </w:tc>
        <w:tc>
          <w:tcPr>
            <w:tcW w:type="dxa" w:w="3360"/>
          </w:tcPr>
          <w:p>
            <w:r>
              <w:t>Rank-biserial correlation</w:t>
            </w:r>
          </w:p>
        </w:tc>
        <w:tc>
          <w:tcPr>
            <w:tcW w:type="dxa" w:w="3360"/>
          </w:tcPr>
          <w:p>
            <w:r>
              <w:t>Effect magnitude</w:t>
            </w:r>
          </w:p>
        </w:tc>
      </w:tr>
    </w:tbl>
    <w:p>
      <w:r>
        <w:t>Core rule: p &lt; 0.05 provides statistical evidence against the null hypothesis at the 5% significance level. The effect size then answers the separate question of how strong or large the observed relationship is.</w:t>
      </w:r>
    </w:p>
    <w:p>
      <w:pPr>
        <w:pStyle w:val="Heading1"/>
      </w:pPr>
      <w:r>
        <w:t>8. Checkpoint 3 Status and Next Phase</w:t>
      </w:r>
    </w:p>
    <w:p>
      <w:r>
        <w:t>Checkpoint 3 completes the project's initial hypothesis-testing phase. The notebook now contains descriptive EDA, formal categorical and numerical tests, effect-size interpretation, and limitations. The next phase should consolidate feature relationships and prepare for predictive churn modelling, with particular attention to correlated usage variables, feature selection, model evaluation, and business interpretation.</w:t>
      </w:r>
    </w:p>
    <w:p/>
    <w:p>
      <w:pPr>
        <w:jc w:val="center"/>
      </w:pPr>
      <w:r>
        <w:rPr>
          <w:b/>
          <w:sz w:val="26"/>
        </w:rPr>
        <w:t>Checkpoint 3 Complete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