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80"/>
        <w:jc w:val="center"/>
      </w:pPr>
      <w:r>
        <w:rPr>
          <w:rFonts w:ascii="Arial" w:cs="Arial" w:eastAsia="Arial" w:hAnsi="Arial"/>
          <w:b/>
          <w:bCs/>
          <w:color w:val="1A8A7D"/>
          <w:spacing w:val="200"/>
          <w:sz w:val="18"/>
          <w:szCs w:val="18"/>
        </w:rPr>
        <w:t xml:space="preserve">LEARN.MYSTOOL.ORG</w:t>
      </w:r>
    </w:p>
    <w:p>
      <w:pPr>
        <w:spacing w:after="200"/>
        <w:jc w:val="center"/>
      </w:pPr>
      <w:r>
        <w:rPr>
          <w:rFonts w:ascii="Arial" w:cs="Arial" w:eastAsia="Arial" w:hAnsi="Arial"/>
          <w:b/>
          <w:bCs/>
          <w:color w:val="1B3A5C"/>
          <w:sz w:val="48"/>
          <w:szCs w:val="48"/>
        </w:rPr>
        <w:t xml:space="preserve">Content Audit &amp; Product Vision</w:t>
      </w:r>
    </w:p>
    <w:p>
      <w:pPr>
        <w:spacing w:after="80"/>
        <w:jc w:val="center"/>
      </w:pPr>
      <w:r>
        <w:rPr>
          <w:rFonts w:ascii="Arial" w:cs="Arial" w:eastAsia="Arial" w:hAnsi="Arial"/>
          <w:color w:val="666666"/>
          <w:sz w:val="24"/>
          <w:szCs w:val="24"/>
        </w:rPr>
        <w:t xml:space="preserve">Transforming each country module into a 1–2 hour</w:t>
      </w:r>
    </w:p>
    <w:p>
      <w:pPr>
        <w:spacing w:after="400"/>
        <w:jc w:val="center"/>
      </w:pPr>
      <w:r>
        <w:rPr>
          <w:rFonts w:ascii="Arial" w:cs="Arial" w:eastAsia="Arial" w:hAnsi="Arial"/>
          <w:color w:val="666666"/>
          <w:sz w:val="24"/>
          <w:szCs w:val="24"/>
        </w:rPr>
        <w:t xml:space="preserve">professional development resource schools will pay for</w:t>
      </w:r>
    </w:p>
    <w:p>
      <w:pPr>
        <w:spacing w:after="60"/>
        <w:jc w:val="center"/>
      </w:pPr>
      <w:r>
        <w:rPr>
          <w:rFonts w:ascii="Arial" w:cs="Arial" w:eastAsia="Arial" w:hAnsi="Arial"/>
          <w:color w:val="999999"/>
          <w:sz w:val="22"/>
          <w:szCs w:val="22"/>
        </w:rPr>
        <w:t xml:space="preserve">March 30, 2026</w:t>
      </w:r>
    </w:p>
    <w:p>
      <w:pPr>
        <w:jc w:val="center"/>
      </w:pPr>
      <w:r>
        <w:rPr>
          <w:rFonts w:ascii="Arial" w:cs="Arial" w:eastAsia="Arial" w:hAnsi="Arial"/>
          <w:color w:val="999999"/>
          <w:sz w:val="22"/>
          <w:szCs w:val="22"/>
        </w:rPr>
        <w:t xml:space="preserve">Prepared for Mark Crowell</w:t>
      </w:r>
    </w:p>
    <w:p>
      <w:r>
        <w:br w:type="page"/>
      </w:r>
    </w:p>
    <w:p>
      <w:pPr>
        <w:pStyle w:val="Heading1"/>
      </w:pPr>
      <w:r>
        <w:t xml:space="preserve">1. The Honest Picture: Where We Are Today</w:t>
      </w:r>
    </w:p>
    <w:p>
      <w:pPr>
        <w:spacing w:after="120"/>
      </w:pPr>
      <w:r>
        <w:t xml:space="preserve">We have a </w:t>
      </w:r>
      <w:r>
        <w:rPr>
          <w:b/>
          <w:bCs/>
        </w:rPr>
        <w:t xml:space="preserve">working product</w:t>
      </w:r>
      <w:r>
        <w:t xml:space="preserve">. The learn layer at stool-app-is.vercel.app/learn loads, navigates, tracks progress, and delivers content across three country modules. The UX is polished: progressive scenario reveals, keyboard navigation, badge celebrations, sticky progress bars. But the </w:t>
      </w:r>
      <w:r>
        <w:rPr>
          <w:b/>
          <w:bCs/>
        </w:rPr>
        <w:t xml:space="preserve">content depth is nowhere near what a school would pay for</w:t>
      </w:r>
      <w:r>
        <w:t xml:space="preserve">. Here’s the gap, measured honestly:</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200"/>
        <w:gridCol w:w="1200"/>
        <w:gridCol w:w="1760"/>
        <w:gridCol w:w="1800"/>
      </w:tblGrid>
      <w:tr>
        <w:tc>
          <w:tcPr>
            <w:tcW w:type="dxa" w:w="220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120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Words</w:t>
            </w:r>
          </w:p>
        </w:tc>
        <w:tc>
          <w:tcPr>
            <w:tcW w:type="dxa" w:w="120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Dims</w:t>
            </w:r>
          </w:p>
        </w:tc>
        <w:tc>
          <w:tcPr>
            <w:tcW w:type="dxa" w:w="120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Scenarios</w:t>
            </w:r>
          </w:p>
        </w:tc>
        <w:tc>
          <w:tcPr>
            <w:tcW w:type="dxa" w:w="176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Read Time</w:t>
            </w:r>
          </w:p>
        </w:tc>
        <w:tc>
          <w:tcPr>
            <w:tcW w:type="dxa" w:w="180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sz w:val="20"/>
                <w:szCs w:val="20"/>
              </w:rPr>
              <w:t xml:space="preserve">Saudi Arabia</w:t>
            </w:r>
          </w:p>
        </w:tc>
        <w:tc>
          <w:tcPr>
            <w:tcW w:type="dxa" w:w="1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sz w:val="20"/>
                <w:szCs w:val="20"/>
              </w:rPr>
              <w:t xml:space="preserve">~410</w:t>
            </w:r>
          </w:p>
        </w:tc>
        <w:tc>
          <w:tcPr>
            <w:tcW w:type="dxa" w:w="1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sz w:val="20"/>
                <w:szCs w:val="20"/>
              </w:rPr>
              <w:t xml:space="preserve">6</w:t>
            </w:r>
          </w:p>
        </w:tc>
        <w:tc>
          <w:tcPr>
            <w:tcW w:type="dxa" w:w="1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sz w:val="20"/>
                <w:szCs w:val="20"/>
              </w:rPr>
              <w:t xml:space="preserve">3</w:t>
            </w:r>
          </w:p>
        </w:tc>
        <w:tc>
          <w:tcPr>
            <w:tcW w:type="dxa" w:w="17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sz w:val="20"/>
                <w:szCs w:val="20"/>
              </w:rPr>
              <w:t xml:space="preserve">15–18 min</w:t>
            </w:r>
          </w:p>
        </w:tc>
        <w:tc>
          <w:tcPr>
            <w:tcW w:type="dxa" w:w="1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D85A30"/>
                <w:sz w:val="20"/>
                <w:szCs w:val="20"/>
              </w:rPr>
              <w:t xml:space="preserve">THIN</w:t>
            </w:r>
          </w:p>
        </w:tc>
      </w:tr>
      <w:tr>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China</w:t>
            </w:r>
          </w:p>
        </w:tc>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~320</w:t>
            </w:r>
          </w:p>
        </w:tc>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1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18–22 min</w:t>
            </w:r>
          </w:p>
        </w:tc>
        <w:tc>
          <w:tcPr>
            <w:tcW w:type="dxa" w:w="1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D85A30"/>
                <w:sz w:val="20"/>
                <w:szCs w:val="20"/>
              </w:rPr>
              <w:t xml:space="preserve">THIN</w:t>
            </w:r>
          </w:p>
        </w:tc>
      </w:tr>
      <w:tr>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sz w:val="20"/>
                <w:szCs w:val="20"/>
              </w:rPr>
              <w:t xml:space="preserve">South Korea</w:t>
            </w:r>
          </w:p>
        </w:tc>
        <w:tc>
          <w:tcPr>
            <w:tcW w:type="dxa" w:w="1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sz w:val="20"/>
                <w:szCs w:val="20"/>
              </w:rPr>
              <w:t xml:space="preserve">~1,120</w:t>
            </w:r>
          </w:p>
        </w:tc>
        <w:tc>
          <w:tcPr>
            <w:tcW w:type="dxa" w:w="1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sz w:val="20"/>
                <w:szCs w:val="20"/>
              </w:rPr>
              <w:t xml:space="preserve">6</w:t>
            </w:r>
          </w:p>
        </w:tc>
        <w:tc>
          <w:tcPr>
            <w:tcW w:type="dxa" w:w="1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sz w:val="20"/>
                <w:szCs w:val="20"/>
              </w:rPr>
              <w:t xml:space="preserve">5</w:t>
            </w:r>
          </w:p>
        </w:tc>
        <w:tc>
          <w:tcPr>
            <w:tcW w:type="dxa" w:w="17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sz w:val="20"/>
                <w:szCs w:val="20"/>
              </w:rPr>
              <w:t xml:space="preserve">25–35 min</w:t>
            </w:r>
          </w:p>
        </w:tc>
        <w:tc>
          <w:tcPr>
            <w:tcW w:type="dxa" w:w="1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BA7517"/>
                <w:sz w:val="20"/>
                <w:szCs w:val="20"/>
              </w:rPr>
              <w:t xml:space="preserve">PARTIAL</w:t>
            </w:r>
          </w:p>
        </w:tc>
      </w:tr>
      <w:tr>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TOTAL</w:t>
            </w:r>
          </w:p>
        </w:tc>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~1,850</w:t>
            </w:r>
          </w:p>
        </w:tc>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18</w:t>
            </w:r>
          </w:p>
        </w:tc>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13</w:t>
            </w:r>
          </w:p>
        </w:tc>
        <w:tc>
          <w:tcPr>
            <w:tcW w:type="dxa" w:w="1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60–75 min</w:t>
            </w:r>
          </w:p>
        </w:tc>
        <w:tc>
          <w:tcPr>
            <w:tcW w:type="dxa" w:w="1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D85A30"/>
                <w:sz w:val="20"/>
                <w:szCs w:val="20"/>
              </w:rPr>
              <w:t xml:space="preserve">GAP</w:t>
            </w:r>
          </w:p>
        </w:tc>
      </w:tr>
    </w:tbl>
    <w:p>
      <w:pPr>
        <w:spacing w:after="60"/>
      </w:pPr>
    </w:p>
    <w:p>
      <w:pPr>
        <w:spacing w:after="120"/>
      </w:pPr>
      <w:r>
        <w:t xml:space="preserve">A school paying for PD expects </w:t>
      </w:r>
      <w:r>
        <w:rPr>
          <w:b/>
          <w:bCs/>
        </w:rPr>
        <w:t xml:space="preserve">1–2 hours of substantive, citable engagement per module</w:t>
      </w:r>
      <w:r>
        <w:t xml:space="preserve">—not per platform. That means each country needs to deliver 60–120 minutes on its own. Right now Saudi delivers ~15 minutes, China ~20, and Korea ~30. We need to roughly </w:t>
      </w:r>
      <w:r>
        <w:rPr>
          <w:b/>
          <w:bCs/>
        </w:rPr>
        <w:t xml:space="preserve">4–6x the content depth</w:t>
      </w:r>
      <w:r>
        <w:t xml:space="preserve"> in Saudi and China, and 2–3x in Korea.</w:t>
      </w:r>
    </w:p>
    <w:p>
      <w:pPr>
        <w:pStyle w:val="Heading1"/>
      </w:pPr>
      <w:r>
        <w:t xml:space="preserve">2. What the New Research Tells Us</w:t>
      </w:r>
    </w:p>
    <w:p>
      <w:pPr>
        <w:spacing w:after="120"/>
      </w:pPr>
      <w:r>
        <w:t xml:space="preserve">Four papers were analyzed alongside the existing seed content. Each one reshapes how we should think about a specific module:</w:t>
      </w:r>
    </w:p>
    <w:p>
      <w:pPr>
        <w:pStyle w:val="Heading3"/>
      </w:pPr>
      <w:r>
        <w:t xml:space="preserve">Ran (2001) — China module transformer</w:t>
      </w:r>
    </w:p>
    <w:p>
      <w:pPr>
        <w:spacing w:after="120"/>
      </w:pPr>
      <w:r>
        <w:rPr>
          <w:b/>
          <w:bCs/>
        </w:rPr>
        <w:t xml:space="preserve">“Travelling on Parallel Tracks: Chinese Parents and English Teachers”</w:t>
      </w:r>
      <w:r>
        <w:t xml:space="preserve"> is the single most valuable source for the China module. Ran’s case studies of parent–teacher meetings reveal the exact friction points our teachers will face:</w:t>
      </w:r>
    </w:p>
    <w:p>
      <w:pPr>
        <w:pStyle w:val="ListParagraph"/>
        <w:numPr>
          <w:ilvl w:val="0"/>
          <w:numId w:val="2"/>
        </w:numPr>
        <w:spacing w:after="60"/>
      </w:pPr>
      <w:r>
        <w:rPr>
          <w:b/>
          <w:bCs/>
        </w:rPr>
        <w:t xml:space="preserve">Praise-as-alarm:</w:t>
      </w:r>
      <w:r>
        <w:t xml:space="preserve"> When a British teacher says “satisfactory,” Chinese parents hear “not good enough.” When a teacher praises, parents assume the teacher is hiding weaknesses. This is not a misunderstanding—it’s a structural mismatch between encouragement-based and correction-based pedagogies.</w:t>
      </w:r>
    </w:p>
    <w:p>
      <w:pPr>
        <w:pStyle w:val="ListParagraph"/>
        <w:numPr>
          <w:ilvl w:val="0"/>
          <w:numId w:val="2"/>
        </w:numPr>
        <w:spacing w:after="60"/>
      </w:pPr>
      <w:r>
        <w:rPr>
          <w:b/>
          <w:bCs/>
        </w:rPr>
        <w:t xml:space="preserve">Homework volume as love language:</w:t>
      </w:r>
      <w:r>
        <w:t xml:space="preserve"> Chinese parents requesting extra homework isn’t pressure—it’s how they show investment. A teacher who refuses extra work is perceived as not caring.</w:t>
      </w:r>
    </w:p>
    <w:p>
      <w:pPr>
        <w:pStyle w:val="ListParagraph"/>
        <w:numPr>
          <w:ilvl w:val="0"/>
          <w:numId w:val="2"/>
        </w:numPr>
        <w:spacing w:after="60"/>
      </w:pPr>
      <w:r>
        <w:rPr>
          <w:b/>
          <w:bCs/>
        </w:rPr>
        <w:t xml:space="preserve">Perfect scores vs. growth mindset:</w:t>
      </w:r>
      <w:r>
        <w:t xml:space="preserve"> Parents track accuracy to the decimal. When a teacher says “80% is great” (A grade in the UK system), parents see 20% failure. The grading system clash is immediate and recurring.</w:t>
      </w:r>
    </w:p>
    <w:p>
      <w:pPr>
        <w:pStyle w:val="ListParagraph"/>
        <w:numPr>
          <w:ilvl w:val="0"/>
          <w:numId w:val="2"/>
        </w:numPr>
        <w:spacing w:after="60"/>
      </w:pPr>
      <w:r>
        <w:rPr>
          <w:b/>
          <w:bCs/>
        </w:rPr>
        <w:t xml:space="preserve">Process vs. product:</w:t>
      </w:r>
      <w:r>
        <w:t xml:space="preserve"> Chinese parents evaluate learning by output (correct answers, completed exercises). Western teachers evaluate by process (investigative thinking, showing working). Children caught between these two systems become confused about what success looks like.</w:t>
      </w:r>
    </w:p>
    <w:p>
      <w:pPr>
        <w:pStyle w:val="ListParagraph"/>
        <w:numPr>
          <w:ilvl w:val="0"/>
          <w:numId w:val="2"/>
        </w:numPr>
        <w:spacing w:after="80"/>
      </w:pPr>
      <w:r>
        <w:rPr>
          <w:b/>
          <w:bCs/>
        </w:rPr>
        <w:t xml:space="preserve">The “parallel tracks” metaphor:</w:t>
      </w:r>
      <w:r>
        <w:t xml:space="preserve"> Parents and teachers share identical goals—the child’s success—but use incompatible vocabulary. They leave meetings believing they communicated; they didn’t.</w:t>
      </w:r>
    </w:p>
    <w:p>
      <w:pPr>
        <w:pStyle w:val="Heading3"/>
      </w:pPr>
      <w:r>
        <w:t xml:space="preserve">Li (2005) — The philosophical root</w:t>
      </w:r>
    </w:p>
    <w:p>
      <w:pPr>
        <w:spacing w:after="120"/>
      </w:pPr>
      <w:r>
        <w:rPr>
          <w:b/>
          <w:bCs/>
        </w:rPr>
        <w:t xml:space="preserve">“Mind or Virtue: Western and Chinese Beliefs About Learning”</w:t>
      </w:r>
      <w:r>
        <w:t xml:space="preserve"> gives us the theoretical backbone for why Ran’s friction points exist. Western education is built on a </w:t>
      </w:r>
      <w:r>
        <w:rPr>
          <w:b/>
          <w:bCs/>
        </w:rPr>
        <w:t xml:space="preserve">mind orientation</w:t>
      </w:r>
      <w:r>
        <w:t xml:space="preserve"> (Socratic inquiry: develop the mind, question, discover). Chinese education is built on a </w:t>
      </w:r>
      <w:r>
        <w:rPr>
          <w:b/>
          <w:bCs/>
        </w:rPr>
        <w:t xml:space="preserve">virtue orientation</w:t>
      </w:r>
      <w:r>
        <w:t xml:space="preserve"> (Mencian tradition: become a better person through diligence, humility, and moral self-perfection). Key data points:</w:t>
      </w:r>
    </w:p>
    <w:p>
      <w:pPr>
        <w:pStyle w:val="ListParagraph"/>
        <w:numPr>
          <w:ilvl w:val="0"/>
          <w:numId w:val="2"/>
        </w:numPr>
        <w:spacing w:after="60"/>
      </w:pPr>
      <w:r>
        <w:t xml:space="preserve">79% of Chinese college students define knowledge as “a need to self-perfect and spiritual wealth/power.” Only 15% of Western students do.</w:t>
      </w:r>
    </w:p>
    <w:p>
      <w:pPr>
        <w:pStyle w:val="ListParagraph"/>
        <w:numPr>
          <w:ilvl w:val="0"/>
          <w:numId w:val="2"/>
        </w:numPr>
        <w:spacing w:after="60"/>
      </w:pPr>
      <w:r>
        <w:t xml:space="preserve">Chinese students feel shame and guilt on failure—not as self-denigration, but as moral fuel to try harder. Western students feel disappointment and low self-esteem.</w:t>
      </w:r>
    </w:p>
    <w:p>
      <w:pPr>
        <w:pStyle w:val="ListParagraph"/>
        <w:numPr>
          <w:ilvl w:val="0"/>
          <w:numId w:val="2"/>
        </w:numPr>
        <w:spacing w:after="80"/>
      </w:pPr>
      <w:r>
        <w:t xml:space="preserve">Chinese learners memorize first, understand second, apply third, then question. Western teachers expect immediate verbal questioning—which Chinese students experience as being asked to skip steps.</w:t>
      </w:r>
    </w:p>
    <w:p>
      <w:pPr>
        <w:pStyle w:val="Heading3"/>
      </w:pPr>
      <w:r>
        <w:t xml:space="preserve">Hammad &amp; Shah (2018) — KSA module transformer</w:t>
      </w:r>
    </w:p>
    <w:p>
      <w:pPr>
        <w:spacing w:after="120"/>
      </w:pPr>
      <w:r>
        <w:rPr>
          <w:b/>
          <w:bCs/>
        </w:rPr>
        <w:t xml:space="preserve">“Dissonance Between the ‘International’ and the Conservative ‘National’”</w:t>
      </w:r>
      <w:r>
        <w:t xml:space="preserve"> is the most important source for Saudi Arabia. Based on interviews with 10 school leaders across 5 international schools in Al-Ahsa, it surfaces the operational reality that current KSA dimension content barely hints at:</w:t>
      </w:r>
    </w:p>
    <w:p>
      <w:pPr>
        <w:pStyle w:val="ListParagraph"/>
        <w:numPr>
          <w:ilvl w:val="0"/>
          <w:numId w:val="2"/>
        </w:numPr>
        <w:spacing w:after="60"/>
      </w:pPr>
      <w:r>
        <w:rPr>
          <w:b/>
          <w:bCs/>
        </w:rPr>
        <w:t xml:space="preserve">Sex segregation is the #1 operational constraint.</w:t>
      </w:r>
      <w:r>
        <w:t xml:space="preserve"> Schools must maintain separate buildings, separate activities, same-sex teachers. A cancelled graduation because fathers couldn’t attend the girls’ section. A “fancy dress competition” split into two events because parents couldn’t watch the opposite-sex group.</w:t>
      </w:r>
    </w:p>
    <w:p>
      <w:pPr>
        <w:pStyle w:val="ListParagraph"/>
        <w:numPr>
          <w:ilvl w:val="0"/>
          <w:numId w:val="2"/>
        </w:numPr>
        <w:spacing w:after="60"/>
      </w:pPr>
      <w:r>
        <w:rPr>
          <w:b/>
          <w:bCs/>
        </w:rPr>
        <w:t xml:space="preserve">Saudization is real and immediate.</w:t>
      </w:r>
      <w:r>
        <w:t xml:space="preserve"> Schools must hire Saudi nationals to meet quotas. Leaders report that mandated Saudi hires are sometimes less qualified or less committed than expatriate teachers—but the school’s license depends on compliance.</w:t>
      </w:r>
    </w:p>
    <w:p>
      <w:pPr>
        <w:pStyle w:val="ListParagraph"/>
        <w:numPr>
          <w:ilvl w:val="0"/>
          <w:numId w:val="2"/>
        </w:numPr>
        <w:spacing w:after="60"/>
      </w:pPr>
      <w:r>
        <w:rPr>
          <w:b/>
          <w:bCs/>
        </w:rPr>
        <w:t xml:space="preserve">Religious instruction is non-negotiable.</w:t>
      </w:r>
      <w:r>
        <w:t xml:space="preserve"> International schools must deliver at least 50% of the Islamic instruction hours that public schools do. Curriculum materials are vetted. Internet sources are filtered. School libraries are curated to align with Islamic values.</w:t>
      </w:r>
    </w:p>
    <w:p>
      <w:pPr>
        <w:pStyle w:val="ListParagraph"/>
        <w:numPr>
          <w:ilvl w:val="0"/>
          <w:numId w:val="2"/>
        </w:numPr>
        <w:spacing w:after="60"/>
      </w:pPr>
      <w:r>
        <w:rPr>
          <w:b/>
          <w:bCs/>
        </w:rPr>
        <w:t xml:space="preserve">Compliance vs. circumvention:</w:t>
      </w:r>
      <w:r>
        <w:t xml:space="preserve"> Leaders develop two coping strategies: outward compliance (meeting letter of regulations) and quiet circumvention (finding creative space within the rules). Teachers need to understand this dynamic before they arrive.</w:t>
      </w:r>
    </w:p>
    <w:p>
      <w:pPr>
        <w:pStyle w:val="ListParagraph"/>
        <w:numPr>
          <w:ilvl w:val="0"/>
          <w:numId w:val="2"/>
        </w:numPr>
        <w:spacing w:after="80"/>
      </w:pPr>
      <w:r>
        <w:rPr>
          <w:b/>
          <w:bCs/>
        </w:rPr>
        <w:t xml:space="preserve">Conservative fatwas against international schools exist.</w:t>
      </w:r>
      <w:r>
        <w:t xml:space="preserve"> Some Saudi religious scholars have called international schools a “threat to Islamic identity.” This isn’t ancient history—it shapes how cautiously schools operate today.</w:t>
      </w:r>
    </w:p>
    <w:p>
      <w:pPr>
        <w:pStyle w:val="Heading3"/>
      </w:pPr>
      <w:r>
        <w:t xml:space="preserve">Eisenbeiss (2012) — Ethical leadership framework</w:t>
      </w:r>
    </w:p>
    <w:p>
      <w:pPr>
        <w:spacing w:after="120"/>
      </w:pPr>
      <w:r>
        <w:rPr>
          <w:b/>
          <w:bCs/>
        </w:rPr>
        <w:t xml:space="preserve">“Re-thinking Ethical Leadership: An Interdisciplinary Integrative Approach”</w:t>
      </w:r>
      <w:r>
        <w:t xml:space="preserve"> is less directly about classrooms but provides the </w:t>
      </w:r>
      <w:r>
        <w:rPr>
          <w:b/>
          <w:bCs/>
        </w:rPr>
        <w:t xml:space="preserve">ethical framework</w:t>
      </w:r>
      <w:r>
        <w:t xml:space="preserve"> we need for the Saudi module. Eisenbeiss identifies four central orientations of ethical leadership drawn from both Western and Eastern traditions: humane orientation, justice orientation, responsibility/sustainability, and moderation. This directly maps onto our KSA D4 (Ethical Tensions) and gives us academic language for the compliance-vs-circumvention dynamic.</w:t>
      </w:r>
    </w:p>
    <w:p>
      <w:r>
        <w:br w:type="page"/>
      </w:r>
    </w:p>
    <w:p>
      <w:pPr>
        <w:pStyle w:val="Heading1"/>
      </w:pPr>
      <w:r>
        <w:t xml:space="preserve">3. Vision: Each Country as a 1–2 Hour Paid Resource</w:t>
      </w:r>
    </w:p>
    <w:p>
      <w:pPr>
        <w:spacing w:after="120"/>
      </w:pPr>
      <w:r>
        <w:t xml:space="preserve">What follows is a redesigned content architecture for each module. The goal: a school administrator should read this description and think “yes, my teachers need this before they get on the plane.”</w:t>
      </w:r>
    </w:p>
    <w:p>
      <w:pPr>
        <w:pStyle w:val="Heading2"/>
      </w:pPr>
      <w:r>
        <w:t xml:space="preserve">Saudi Arabia: “Teaching Inside the Lines”</w:t>
      </w:r>
    </w:p>
    <w:p>
      <w:pPr>
        <w:pBdr>
          <w:left w:val="single" w:color="BA7517" w:sz="12" w:space="8"/>
        </w:pBdr>
        <w:spacing w:after="160"/>
      </w:pPr>
      <w:r>
        <w:rPr>
          <w:b/>
          <w:bCs/>
          <w:color w:val="BA7517"/>
        </w:rPr>
        <w:t xml:space="preserve">Target time: 75–90 minutes</w:t>
      </w:r>
      <w:r>
        <w:t xml:space="preserve"> • Target scenarios: 6–8 • Evidence status goal: 4/6 fully sourced</w:t>
      </w:r>
    </w:p>
    <w:p>
      <w:pPr>
        <w:spacing w:after="120"/>
      </w:pPr>
      <w:r>
        <w:t xml:space="preserve">The current Saudi module is the weakest of three—410 words across 6 dimensions, 2 marked community-sourced. Hammad &amp; Shah (2018) alone gives us enough empirical material to rewrite every dimension with substance. Here’s the redesigned structure:</w:t>
      </w:r>
    </w:p>
    <w:p>
      <w:pPr>
        <w:pStyle w:val="Heading3"/>
      </w:pPr>
      <w:r>
        <w:t xml:space="preserve">Dimension rewrites:</w:t>
      </w:r>
    </w:p>
    <w:p>
      <w:pPr>
        <w:pStyle w:val="ListParagraph"/>
        <w:numPr>
          <w:ilvl w:val="0"/>
          <w:numId w:val="2"/>
        </w:numPr>
        <w:spacing w:after="80"/>
      </w:pPr>
      <w:r>
        <w:rPr>
          <w:b/>
          <w:bCs/>
        </w:rPr>
        <w:t xml:space="preserve">D1 — Authority, Hierarchy, and the MOE (Power Distance):</w:t>
      </w:r>
      <w:r>
        <w:t xml:space="preserve"> Expand from 72 words to ~500. Lead with the regulatory reality: schools must be headed by a Saudi principal approved by the MOE. Curriculum is inspected. Add the fatwa context (Abu Zeid, 2000) and the 2009 policy shift that opened enrollment. Teachers need to understand that the school they’re joining has fought for permission to exist.</w:t>
      </w:r>
    </w:p>
    <w:p>
      <w:pPr>
        <w:pStyle w:val="ListParagraph"/>
        <w:numPr>
          <w:ilvl w:val="0"/>
          <w:numId w:val="2"/>
        </w:numPr>
        <w:spacing w:after="80"/>
      </w:pPr>
      <w:r>
        <w:rPr>
          <w:b/>
          <w:bCs/>
        </w:rPr>
        <w:t xml:space="preserve">D2 — Parent Communication and Dual Expectations:</w:t>
      </w:r>
      <w:r>
        <w:t xml:space="preserve"> Currently 68 words. Rewrite with Hammad &amp; Shah’s “high but diverse parental expectations” finding. Saudi parents enrolling children in international schools are often making a deliberate counter-cultural choice—they want international education but also want Islamic identity preserved. This creates a unique double-bind teachers must navigate.</w:t>
      </w:r>
    </w:p>
    <w:p>
      <w:pPr>
        <w:pStyle w:val="ListParagraph"/>
        <w:numPr>
          <w:ilvl w:val="0"/>
          <w:numId w:val="2"/>
        </w:numPr>
        <w:spacing w:after="80"/>
      </w:pPr>
      <w:r>
        <w:rPr>
          <w:b/>
          <w:bCs/>
        </w:rPr>
        <w:t xml:space="preserve">D3 — Religious and Cultural Boundaries (Institutional):</w:t>
      </w:r>
      <w:r>
        <w:t xml:space="preserve"> This is already the strongest KSA dimension (80 words). Expand to ~600 using Hammad &amp; Shah’s empirical data: 50% Islamic instruction requirement, library curation, internet filtering, activity restrictions. Include direct quotes from school leaders about exercise of caution.</w:t>
      </w:r>
    </w:p>
    <w:p>
      <w:pPr>
        <w:pStyle w:val="ListParagraph"/>
        <w:numPr>
          <w:ilvl w:val="0"/>
          <w:numId w:val="2"/>
        </w:numPr>
        <w:spacing w:after="80"/>
      </w:pPr>
      <w:r>
        <w:rPr>
          <w:b/>
          <w:bCs/>
        </w:rPr>
        <w:t xml:space="preserve">D4 — Ethical Tensions and Leadership Dilemmas:</w:t>
      </w:r>
      <w:r>
        <w:t xml:space="preserve"> Map Eisenbeiss’s four ethical orientations directly onto KSA school leadership: humane orientation (treating diverse staff with dignity), justice orientation (fair hiring despite Saudization quotas), responsibility orientation (long-term school viability), moderation (balancing Islamic values with international curriculum). Add real dilemma scenarios from Hammad &amp; Shah.</w:t>
      </w:r>
    </w:p>
    <w:p>
      <w:pPr>
        <w:pStyle w:val="ListParagraph"/>
        <w:numPr>
          <w:ilvl w:val="0"/>
          <w:numId w:val="2"/>
        </w:numPr>
        <w:spacing w:after="80"/>
      </w:pPr>
      <w:r>
        <w:rPr>
          <w:b/>
          <w:bCs/>
        </w:rPr>
        <w:t xml:space="preserve">D5 — Sex Segregation and Operational Reality:</w:t>
      </w:r>
      <w:r>
        <w:t xml:space="preserve"> Rename from “Student Behavior” (which was always a placeholder). This is the most impactful operational dimension. Write from Hammad &amp; Shah: separate buildings, cancelled mixed events, video-conference-only communication between male/female staff. 56 words → ~500.</w:t>
      </w:r>
    </w:p>
    <w:p>
      <w:pPr>
        <w:pStyle w:val="ListParagraph"/>
        <w:numPr>
          <w:ilvl w:val="0"/>
          <w:numId w:val="2"/>
        </w:numPr>
        <w:spacing w:after="80"/>
      </w:pPr>
      <w:r>
        <w:rPr>
          <w:b/>
          <w:bCs/>
        </w:rPr>
        <w:t xml:space="preserve">D6 — Saudization, Contracts, and Workforce Reality:</w:t>
      </w:r>
      <w:r>
        <w:t xml:space="preserve"> Rename from “Practical Scenarios.” Address Saudization quotas, the tension between hiring qualified expats vs. meeting Saudi staffing requirements, residence permit dependency, and contract structures. This is the dimension that directly affects a teacher’s job security.</w:t>
      </w:r>
    </w:p>
    <w:p>
      <w:pPr>
        <w:pStyle w:val="Heading3"/>
      </w:pPr>
      <w:r>
        <w:t xml:space="preserve">New scenarios needed:</w:t>
      </w:r>
    </w:p>
    <w:p>
      <w:pPr>
        <w:pStyle w:val="ListParagraph"/>
        <w:numPr>
          <w:ilvl w:val="0"/>
          <w:numId w:val="2"/>
        </w:numPr>
        <w:spacing w:after="60"/>
      </w:pPr>
      <w:r>
        <w:t xml:space="preserve">The library book that triggers a complaint (religious content boundaries)</w:t>
      </w:r>
    </w:p>
    <w:p>
      <w:pPr>
        <w:pStyle w:val="ListParagraph"/>
        <w:numPr>
          <w:ilvl w:val="0"/>
          <w:numId w:val="2"/>
        </w:numPr>
        <w:spacing w:after="60"/>
      </w:pPr>
      <w:r>
        <w:t xml:space="preserve">The mixed-gender science fair (segregation logistics)</w:t>
      </w:r>
    </w:p>
    <w:p>
      <w:pPr>
        <w:pStyle w:val="ListParagraph"/>
        <w:numPr>
          <w:ilvl w:val="0"/>
          <w:numId w:val="2"/>
        </w:numPr>
        <w:spacing w:after="60"/>
      </w:pPr>
      <w:r>
        <w:t xml:space="preserve">The Saudized colleague who doesn’t show up (quota vs. quality)</w:t>
      </w:r>
    </w:p>
    <w:p>
      <w:pPr>
        <w:pStyle w:val="ListParagraph"/>
        <w:numPr>
          <w:ilvl w:val="0"/>
          <w:numId w:val="2"/>
        </w:numPr>
        <w:spacing w:after="60"/>
      </w:pPr>
      <w:r>
        <w:t xml:space="preserve">The parent who wants more Quran and less IB (dual-expectation conflict)</w:t>
      </w:r>
    </w:p>
    <w:p>
      <w:pPr>
        <w:pStyle w:val="ListParagraph"/>
        <w:numPr>
          <w:ilvl w:val="0"/>
          <w:numId w:val="2"/>
        </w:numPr>
        <w:spacing w:after="80"/>
      </w:pPr>
      <w:r>
        <w:t xml:space="preserve">The internet filter that blocks your lesson plan (institutional constraint navigation)</w:t>
      </w:r>
    </w:p>
    <w:p>
      <w:pPr>
        <w:pStyle w:val="Heading2"/>
      </w:pPr>
      <w:r>
        <w:t xml:space="preserve">China: “Parallel Tracks”</w:t>
      </w:r>
    </w:p>
    <w:p>
      <w:pPr>
        <w:pBdr>
          <w:left w:val="single" w:color="D85A30" w:sz="12" w:space="8"/>
        </w:pBdr>
        <w:spacing w:after="160"/>
      </w:pPr>
      <w:r>
        <w:rPr>
          <w:b/>
          <w:bCs/>
          <w:color w:val="D85A30"/>
        </w:rPr>
        <w:t xml:space="preserve">Target time: 75–90 minutes</w:t>
      </w:r>
      <w:r>
        <w:t xml:space="preserve"> • Target scenarios: 7–9 • Evidence status goal: 5/6 fully sourced</w:t>
      </w:r>
    </w:p>
    <w:p>
      <w:pPr>
        <w:spacing w:after="120"/>
      </w:pPr>
      <w:r>
        <w:t xml:space="preserve">The China module has the best research foundations of any module—Ran (2001), Li (2005), and the Hofstede 6D profile are all strong. But the content is criminally thin (320 words). The research is there; it just hasn’t been written up. Ran’s three case studies alone could populate 3–4 dimensions with deep, quotable, scenario-ready material.</w:t>
      </w:r>
    </w:p>
    <w:p>
      <w:pPr>
        <w:pStyle w:val="Heading3"/>
      </w:pPr>
      <w:r>
        <w:t xml:space="preserve">Dimension rewrites:</w:t>
      </w:r>
    </w:p>
    <w:p>
      <w:pPr>
        <w:pStyle w:val="ListParagraph"/>
        <w:numPr>
          <w:ilvl w:val="0"/>
          <w:numId w:val="2"/>
        </w:numPr>
        <w:spacing w:after="80"/>
      </w:pPr>
      <w:r>
        <w:rPr>
          <w:b/>
          <w:bCs/>
        </w:rPr>
        <w:t xml:space="preserve">D1 — Mind vs. Virtue: Two Models of What Learning Is:</w:t>
      </w:r>
      <w:r>
        <w:t xml:space="preserve"> Lead with Li’s framework. Western = Socratic mind orientation (inquiry, curiosity, self-esteem on success). Chinese = Mencian virtue orientation (self-perfection, diligence, humility, moral shame on failure). Include the 79% vs 15% statistic. This is the philosophical root of every other friction point. Expand to ~600 words.</w:t>
      </w:r>
    </w:p>
    <w:p>
      <w:pPr>
        <w:pStyle w:val="ListParagraph"/>
        <w:numPr>
          <w:ilvl w:val="0"/>
          <w:numId w:val="2"/>
        </w:numPr>
        <w:spacing w:after="80"/>
      </w:pPr>
      <w:r>
        <w:rPr>
          <w:b/>
          <w:bCs/>
        </w:rPr>
        <w:t xml:space="preserve">D2 — Parent-Teacher Communication (“Parallel Tracks”):</w:t>
      </w:r>
      <w:r>
        <w:t xml:space="preserve"> This should be the richest dimension—Ran’s entire paper is about this. Rewrite using all three case studies. The Jiahui case (praise-as-alarm), the Bob/Yang case (perfect scores, process vs. product), the Qirui case (homework as teacher commitment signal). Direct parent quotes. ~800 words.</w:t>
      </w:r>
    </w:p>
    <w:p>
      <w:pPr>
        <w:pStyle w:val="ListParagraph"/>
        <w:numPr>
          <w:ilvl w:val="0"/>
          <w:numId w:val="2"/>
        </w:numPr>
        <w:spacing w:after="80"/>
      </w:pPr>
      <w:r>
        <w:rPr>
          <w:b/>
          <w:bCs/>
        </w:rPr>
        <w:t xml:space="preserve">D3 — Exam Culture and System Structure:</w:t>
      </w:r>
      <w:r>
        <w:t xml:space="preserve"> Double Reduction policy, but also: the gaokao’s gravity, the tutoring ban (and its shadow economy), track differentiation. Why a child’s entire life trajectory can hinge on a single exam. Why parents who seem “pushy” are responding rationally to an extremely high-stakes system. ~500 words.</w:t>
      </w:r>
    </w:p>
    <w:p>
      <w:pPr>
        <w:pStyle w:val="ListParagraph"/>
        <w:numPr>
          <w:ilvl w:val="0"/>
          <w:numId w:val="2"/>
        </w:numPr>
        <w:spacing w:after="80"/>
      </w:pPr>
      <w:r>
        <w:rPr>
          <w:b/>
          <w:bCs/>
        </w:rPr>
        <w:t xml:space="preserve">D4 — Classroom Dynamics and the Learning Sequence:</w:t>
      </w:r>
      <w:r>
        <w:t xml:space="preserve"> Merge existing D4 + Li’s learning sequence: memorize → understand → apply → question. Why silent students aren’t disengaged—they’re on step 1 or 2 of a 4-step process. Why speaking interferes with Chinese learning norms. The “committing oneself” taboo around premature verbal expression. ~500 words.</w:t>
      </w:r>
    </w:p>
    <w:p>
      <w:pPr>
        <w:pStyle w:val="ListParagraph"/>
        <w:numPr>
          <w:ilvl w:val="0"/>
          <w:numId w:val="2"/>
        </w:numPr>
        <w:spacing w:after="80"/>
      </w:pPr>
      <w:r>
        <w:rPr>
          <w:b/>
          <w:bCs/>
        </w:rPr>
        <w:t xml:space="preserve">D5 — Homework, Praise, and What “Support” Means:</w:t>
      </w:r>
      <w:r>
        <w:t xml:space="preserve"> Ran’s most actionable finding: Chinese parents see extra homework as love, extra praise as neglect, and teacher reluctance to criticize as dereliction. Build this as a translation guide. What the parent says → what the parent means → what to do. ~500 words.</w:t>
      </w:r>
    </w:p>
    <w:p>
      <w:pPr>
        <w:pStyle w:val="ListParagraph"/>
        <w:numPr>
          <w:ilvl w:val="0"/>
          <w:numId w:val="2"/>
        </w:numPr>
        <w:spacing w:after="80"/>
      </w:pPr>
      <w:r>
        <w:rPr>
          <w:b/>
          <w:bCs/>
        </w:rPr>
        <w:t xml:space="preserve">D6 — Cultural Identity and the Third Culture Child:</w:t>
      </w:r>
      <w:r>
        <w:t xml:space="preserve"> Li’s question: “How does acculturation of learning beliefs proceed when children reared in one culture attend school in another?” Chinese children in international schools live this. What happens when the virtue model meets the mind model inside one child? ~400 words.</w:t>
      </w:r>
    </w:p>
    <w:p>
      <w:pPr>
        <w:pStyle w:val="Heading3"/>
      </w:pPr>
      <w:r>
        <w:t xml:space="preserve">New scenarios needed:</w:t>
      </w:r>
    </w:p>
    <w:p>
      <w:pPr>
        <w:pStyle w:val="ListParagraph"/>
        <w:numPr>
          <w:ilvl w:val="0"/>
          <w:numId w:val="2"/>
        </w:numPr>
        <w:spacing w:after="60"/>
      </w:pPr>
      <w:r>
        <w:t xml:space="preserve">The parent who brings a textbook to the meeting (wanting to follow along at home)</w:t>
      </w:r>
    </w:p>
    <w:p>
      <w:pPr>
        <w:pStyle w:val="ListParagraph"/>
        <w:numPr>
          <w:ilvl w:val="0"/>
          <w:numId w:val="2"/>
        </w:numPr>
        <w:spacing w:after="60"/>
      </w:pPr>
      <w:r>
        <w:t xml:space="preserve">The “investigative maths” frustration (process vs. product in real time)</w:t>
      </w:r>
    </w:p>
    <w:p>
      <w:pPr>
        <w:pStyle w:val="ListParagraph"/>
        <w:numPr>
          <w:ilvl w:val="0"/>
          <w:numId w:val="2"/>
        </w:numPr>
        <w:spacing w:after="60"/>
      </w:pPr>
      <w:r>
        <w:t xml:space="preserve">The naughty bilingual kid (cultural adjustment misread as behavior problem)</w:t>
      </w:r>
    </w:p>
    <w:p>
      <w:pPr>
        <w:pStyle w:val="ListParagraph"/>
        <w:numPr>
          <w:ilvl w:val="0"/>
          <w:numId w:val="2"/>
        </w:numPr>
        <w:spacing w:after="80"/>
      </w:pPr>
      <w:r>
        <w:t xml:space="preserve">The standing-up-to-answer embarrassment (classroom convention clash)</w:t>
      </w:r>
    </w:p>
    <w:p>
      <w:pPr>
        <w:pStyle w:val="Heading2"/>
      </w:pPr>
      <w:r>
        <w:t xml:space="preserve">South Korea: “The Pressure System”</w:t>
      </w:r>
    </w:p>
    <w:p>
      <w:pPr>
        <w:pBdr>
          <w:left w:val="single" w:color="534AB7" w:sz="12" w:space="8"/>
        </w:pBdr>
        <w:spacing w:after="160"/>
      </w:pPr>
      <w:r>
        <w:rPr>
          <w:b/>
          <w:bCs/>
          <w:color w:val="534AB7"/>
        </w:rPr>
        <w:t xml:space="preserve">Target time: 75–90 minutes</w:t>
      </w:r>
      <w:r>
        <w:t xml:space="preserve"> • Target scenarios: 7–9 • Evidence status goal: 5/6 fully sourced</w:t>
      </w:r>
    </w:p>
    <w:p>
      <w:pPr>
        <w:spacing w:after="120"/>
      </w:pPr>
      <w:r>
        <w:t xml:space="preserve">Korea is the closest to being ready. The dimension content is substantive (1,120 words, 22 sections, 18 citations). But it’s still only ~30 minutes of reading. To hit 75–90 minutes:</w:t>
      </w:r>
    </w:p>
    <w:p>
      <w:pPr>
        <w:pStyle w:val="Heading3"/>
      </w:pPr>
      <w:r>
        <w:t xml:space="preserve">Expansion plan:</w:t>
      </w:r>
    </w:p>
    <w:p>
      <w:pPr>
        <w:pStyle w:val="ListParagraph"/>
        <w:numPr>
          <w:ilvl w:val="0"/>
          <w:numId w:val="2"/>
        </w:numPr>
        <w:spacing w:after="80"/>
      </w:pPr>
      <w:r>
        <w:rPr>
          <w:b/>
          <w:bCs/>
        </w:rPr>
        <w:t xml:space="preserve">D1–D3: Deepen with case material.</w:t>
      </w:r>
      <w:r>
        <w:t xml:space="preserve"> Each dimension currently has 3–4 bullet items. Expand to 8–10 items with teacher-voice examples, classroom vignettes, and “what this looks like in practice” sidebars. Target ~400 words per dimension.</w:t>
      </w:r>
    </w:p>
    <w:p>
      <w:pPr>
        <w:pStyle w:val="ListParagraph"/>
        <w:numPr>
          <w:ilvl w:val="0"/>
          <w:numId w:val="2"/>
        </w:numPr>
        <w:spacing w:after="80"/>
      </w:pPr>
      <w:r>
        <w:rPr>
          <w:b/>
          <w:bCs/>
        </w:rPr>
        <w:t xml:space="preserve">D4 (Ethical Tensions): Apply Eisenbeiss framework.</w:t>
      </w:r>
      <w:r>
        <w:t xml:space="preserve"> Korea’s hagwon culture creates genuine ethical dilemmas: students sleeping in class because of private tutoring. Do you wake them (Western expectation) or let them rest (understanding the system they’re trapped in)? Map each dilemma to Eisenbeiss’s four orientations.</w:t>
      </w:r>
    </w:p>
    <w:p>
      <w:pPr>
        <w:pStyle w:val="ListParagraph"/>
        <w:numPr>
          <w:ilvl w:val="0"/>
          <w:numId w:val="2"/>
        </w:numPr>
        <w:spacing w:after="80"/>
      </w:pPr>
      <w:r>
        <w:rPr>
          <w:b/>
          <w:bCs/>
        </w:rPr>
        <w:t xml:space="preserve">D5: Already strong, add Bong (2008) integration.</w:t>
      </w:r>
      <w:r>
        <w:t xml:space="preserve"> The SQL patch for Bong’s teacher-as-envoy and help-seeking avoidance data is ready. Once applied, D5 becomes the module’s richest dimension with direct empirical links between authority structures and student behavior.</w:t>
      </w:r>
    </w:p>
    <w:p>
      <w:pPr>
        <w:pStyle w:val="ListParagraph"/>
        <w:numPr>
          <w:ilvl w:val="0"/>
          <w:numId w:val="2"/>
        </w:numPr>
        <w:spacing w:after="80"/>
      </w:pPr>
      <w:r>
        <w:rPr>
          <w:b/>
          <w:bCs/>
        </w:rPr>
        <w:t xml:space="preserve">Add 2–4 more scenarios.</w:t>
      </w:r>
      <w:r>
        <w:t xml:space="preserve"> The current 5 are strong. Add: the parent who asks about university prep in Grade 7, the teacher aide who corrects your Korean, the student who plagiarizes an English essay (cultural norm around collaborative knowledge).</w:t>
      </w:r>
    </w:p>
    <w:p>
      <w:r>
        <w:br w:type="page"/>
      </w:r>
    </w:p>
    <w:p>
      <w:pPr>
        <w:pStyle w:val="Heading1"/>
      </w:pPr>
      <w:r>
        <w:t xml:space="preserve">4. What Makes a School Pay for This</w:t>
      </w:r>
    </w:p>
    <w:p>
      <w:pPr>
        <w:spacing w:after="120"/>
      </w:pPr>
      <w:r>
        <w:t xml:space="preserve">Having polished UX and good content isn’t enough. Schools pay for PD that </w:t>
      </w:r>
      <w:r>
        <w:rPr>
          <w:b/>
          <w:bCs/>
        </w:rPr>
        <w:t xml:space="preserve">reduces risk</w:t>
      </w:r>
      <w:r>
        <w:t xml:space="preserve">. A teacher who flames out in their first semester costs the school $15–40K in recruitment, replacement, and disruption. If our modules credibly prevent even one early departure per year, the ROI is immediate. Here’s what the content needs to deliver:</w:t>
      </w:r>
    </w:p>
    <w:p>
      <w:pPr>
        <w:pStyle w:val="Heading3"/>
      </w:pPr>
      <w:r>
        <w:t xml:space="preserve">The three things a paid PD resource must do:</w:t>
      </w:r>
    </w:p>
    <w:p>
      <w:pPr>
        <w:pStyle w:val="ListParagraph"/>
        <w:numPr>
          <w:ilvl w:val="0"/>
          <w:numId w:val="3"/>
        </w:numPr>
        <w:spacing w:after="100"/>
      </w:pPr>
      <w:r>
        <w:rPr>
          <w:b/>
          <w:bCs/>
        </w:rPr>
        <w:t xml:space="preserve">Prevent the worst first-month mistakes.</w:t>
      </w:r>
      <w:r>
        <w:t xml:space="preserve"> Every module must have a “do not do this” layer—not as a list of rules, but as scenarios that show what happens when a well-meaning teacher acts on their home-country instincts. The scenario progressive-reveal mechanic is exactly the right UX for this. It forces the teacher to confront their assumption before seeing the corrective.</w:t>
      </w:r>
    </w:p>
    <w:p>
      <w:pPr>
        <w:pStyle w:val="ListParagraph"/>
        <w:numPr>
          <w:ilvl w:val="0"/>
          <w:numId w:val="3"/>
        </w:numPr>
        <w:spacing w:after="100"/>
      </w:pPr>
      <w:r>
        <w:rPr>
          <w:b/>
          <w:bCs/>
        </w:rPr>
        <w:t xml:space="preserve">Provide language for talking to parents.</w:t>
      </w:r>
      <w:r>
        <w:t xml:space="preserve"> Ran (2001) shows that parent-teacher meetings fail not because of hostility but because of </w:t>
      </w:r>
      <w:r>
        <w:rPr>
          <w:b/>
          <w:bCs/>
        </w:rPr>
        <w:t xml:space="preserve">incompatible vocabularies</w:t>
      </w:r>
      <w:r>
        <w:t xml:space="preserve">. Each module needs a “translation guide” section: what the parent says, what it means in their cultural frame, and how to respond in a way that builds trust rather than parallel-tracking.</w:t>
      </w:r>
    </w:p>
    <w:p>
      <w:pPr>
        <w:pStyle w:val="ListParagraph"/>
        <w:numPr>
          <w:ilvl w:val="0"/>
          <w:numId w:val="3"/>
        </w:numPr>
        <w:spacing w:after="100"/>
      </w:pPr>
      <w:r>
        <w:rPr>
          <w:b/>
          <w:bCs/>
        </w:rPr>
        <w:t xml:space="preserve">Be citable in school policy.</w:t>
      </w:r>
      <w:r>
        <w:t xml:space="preserve"> An administrator needs to point at our content and say “this is peer-reviewed, this is evidence-based, this counts toward professional development hours.” The evidence labeling system we built (research-backed / partially sourced / community) is the right infrastructure. But we need to get 4–5 out of 6 dimensions to “research-backed” per module. Right now only Korea is close.</w:t>
      </w:r>
    </w:p>
    <w:p>
      <w:pPr>
        <w:pStyle w:val="Heading3"/>
      </w:pPr>
      <w:r>
        <w:t xml:space="preserve">Interactive features that differentiate from a PDF:</w:t>
      </w:r>
    </w:p>
    <w:p>
      <w:pPr>
        <w:pStyle w:val="ListParagraph"/>
        <w:numPr>
          <w:ilvl w:val="0"/>
          <w:numId w:val="2"/>
        </w:numPr>
        <w:spacing w:after="60"/>
      </w:pPr>
      <w:r>
        <w:rPr>
          <w:b/>
          <w:bCs/>
        </w:rPr>
        <w:t xml:space="preserve">Progressive scenario reveals</w:t>
      </w:r>
      <w:r>
        <w:t xml:space="preserve"> (already built) — this is genuinely better than reading. The forced pause between “what you’d assume” and “what’s actually happening” is a learning mechanic, not just a UI trick.</w:t>
      </w:r>
    </w:p>
    <w:p>
      <w:pPr>
        <w:pStyle w:val="ListParagraph"/>
        <w:numPr>
          <w:ilvl w:val="0"/>
          <w:numId w:val="2"/>
        </w:numPr>
        <w:spacing w:after="60"/>
      </w:pPr>
      <w:r>
        <w:rPr>
          <w:b/>
          <w:bCs/>
        </w:rPr>
        <w:t xml:space="preserve">Completion tracking + badge unlock</w:t>
      </w:r>
      <w:r>
        <w:t xml:space="preserve"> (already built) — ties into salary data gating. The teacher has a concrete incentive beyond learning.</w:t>
      </w:r>
    </w:p>
    <w:p>
      <w:pPr>
        <w:pStyle w:val="ListParagraph"/>
        <w:numPr>
          <w:ilvl w:val="0"/>
          <w:numId w:val="2"/>
        </w:numPr>
        <w:spacing w:after="60"/>
      </w:pPr>
      <w:r>
        <w:rPr>
          <w:b/>
          <w:bCs/>
        </w:rPr>
        <w:t xml:space="preserve">Hofstede radar</w:t>
      </w:r>
      <w:r>
        <w:t xml:space="preserve"> (already built) — visual anchor that grounds the abstract cultural dimensions in data.</w:t>
      </w:r>
    </w:p>
    <w:p>
      <w:pPr>
        <w:pStyle w:val="ListParagraph"/>
        <w:numPr>
          <w:ilvl w:val="0"/>
          <w:numId w:val="2"/>
        </w:numPr>
        <w:spacing w:after="60"/>
      </w:pPr>
      <w:r>
        <w:rPr>
          <w:b/>
          <w:bCs/>
          <w:color w:val="D85A30"/>
        </w:rPr>
        <w:t xml:space="preserve">NOT YET BUILT: </w:t>
      </w:r>
      <w:r>
        <w:rPr>
          <w:b/>
          <w:bCs/>
        </w:rPr>
        <w:t xml:space="preserve">Reflection prompts.</w:t>
      </w:r>
      <w:r>
        <w:t xml:space="preserve"> After each dimension, a short free-text prompt: “Think of a time a parent interaction surprised you. What assumption were you making?” No backend needed—the act of writing is the learning. But it adds 5–10 minutes of engagement per dimension.</w:t>
      </w:r>
    </w:p>
    <w:p>
      <w:pPr>
        <w:pStyle w:val="ListParagraph"/>
        <w:numPr>
          <w:ilvl w:val="0"/>
          <w:numId w:val="2"/>
        </w:numPr>
        <w:spacing w:after="60"/>
      </w:pPr>
      <w:r>
        <w:rPr>
          <w:b/>
          <w:bCs/>
          <w:color w:val="D85A30"/>
        </w:rPr>
        <w:t xml:space="preserve">NOT YET BUILT: </w:t>
      </w:r>
      <w:r>
        <w:rPr>
          <w:b/>
          <w:bCs/>
        </w:rPr>
        <w:t xml:space="preserve">Self-assessment quiz.</w:t>
      </w:r>
      <w:r>
        <w:t xml:space="preserve"> End-of-module, 8–10 questions. Not graded—diagnostic. “Your parent sends a message at 10pm. What’s your first instinct?” Multiple choice with explanation reveals. Adds 10–15 minutes and gives schools a measurable completion artifact.</w:t>
      </w:r>
    </w:p>
    <w:p>
      <w:pPr>
        <w:pStyle w:val="ListParagraph"/>
        <w:numPr>
          <w:ilvl w:val="0"/>
          <w:numId w:val="2"/>
        </w:numPr>
        <w:spacing w:after="80"/>
      </w:pPr>
      <w:r>
        <w:rPr>
          <w:b/>
          <w:bCs/>
          <w:color w:val="D85A30"/>
        </w:rPr>
        <w:t xml:space="preserve">NOT YET BUILT: </w:t>
      </w:r>
      <w:r>
        <w:rPr>
          <w:b/>
          <w:bCs/>
        </w:rPr>
        <w:t xml:space="preserve">Printable one-pager.</w:t>
      </w:r>
      <w:r>
        <w:t xml:space="preserve"> A downloadable summary card for each module—the “stick this on your fridge” version. Schools love physical artifacts from PD.</w:t>
      </w:r>
    </w:p>
    <w:p>
      <w:r>
        <w:br w:type="page"/>
      </w:r>
    </w:p>
    <w:p>
      <w:pPr>
        <w:pStyle w:val="Heading1"/>
      </w:pPr>
      <w:r>
        <w:t xml:space="preserve">5. Content Pipeline: What to Write, in What Order</w:t>
      </w:r>
    </w:p>
    <w:p>
      <w:pPr>
        <w:spacing w:after="120"/>
      </w:pPr>
      <w:r>
        <w:t xml:space="preserve">Priority is determined by two factors: (1) how much research we already have, and (2) how close the module is to being sellable.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2400"/>
        <w:gridCol w:w="1200"/>
        <w:gridCol w:w="2360"/>
      </w:tblGrid>
      <w:tr>
        <w:tc>
          <w:tcPr>
            <w:tcW w:type="dxa" w:w="60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40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240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120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Words</w:t>
            </w:r>
          </w:p>
        </w:tc>
        <w:tc>
          <w:tcPr>
            <w:tcW w:type="dxa" w:w="236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Impact</w:t>
            </w:r>
          </w:p>
        </w:tc>
      </w:tr>
      <w:tr>
        <w:tc>
          <w:tcPr>
            <w:tcW w:type="dxa" w:w="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sz w:val="20"/>
                <w:szCs w:val="20"/>
              </w:rPr>
              <w:t xml:space="preserve">1</w:t>
            </w:r>
          </w:p>
        </w:tc>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sz w:val="20"/>
                <w:szCs w:val="20"/>
              </w:rPr>
              <w:t xml:space="preserve">China D2 full rewrite</w:t>
            </w:r>
          </w:p>
        </w:tc>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sz w:val="20"/>
                <w:szCs w:val="20"/>
              </w:rPr>
              <w:t xml:space="preserve">Ran (2001) case studies</w:t>
            </w:r>
          </w:p>
        </w:tc>
        <w:tc>
          <w:tcPr>
            <w:tcW w:type="dxa" w:w="1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sz w:val="20"/>
                <w:szCs w:val="20"/>
              </w:rPr>
              <w:t xml:space="preserve">+700</w:t>
            </w:r>
          </w:p>
        </w:tc>
        <w:tc>
          <w:tcPr>
            <w:tcW w:type="dxa" w:w="2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sz w:val="20"/>
                <w:szCs w:val="20"/>
              </w:rPr>
              <w:t xml:space="preserve">Transforms module</w:t>
            </w:r>
          </w:p>
        </w:tc>
      </w:tr>
      <w:tr>
        <w:tc>
          <w:tcPr>
            <w:tcW w:type="dxa" w:w="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China D1 + D4 + D5 expand</w:t>
            </w:r>
          </w:p>
        </w:tc>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Li (2005) + Ran (2001)</w:t>
            </w:r>
          </w:p>
        </w:tc>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+1,200</w:t>
            </w:r>
          </w:p>
        </w:tc>
        <w:tc>
          <w:tcPr>
            <w:tcW w:type="dxa" w:w="2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3 dims → fully sourced</w:t>
            </w:r>
          </w:p>
        </w:tc>
      </w:tr>
      <w:tr>
        <w:tc>
          <w:tcPr>
            <w:tcW w:type="dxa" w:w="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sz w:val="20"/>
                <w:szCs w:val="20"/>
              </w:rPr>
              <w:t xml:space="preserve">3</w:t>
            </w:r>
          </w:p>
        </w:tc>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sz w:val="20"/>
                <w:szCs w:val="20"/>
              </w:rPr>
              <w:t xml:space="preserve">KSA full rewrite (all 6)</w:t>
            </w:r>
          </w:p>
        </w:tc>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sz w:val="20"/>
                <w:szCs w:val="20"/>
              </w:rPr>
              <w:t xml:space="preserve">Hammad &amp; Shah (2018)</w:t>
            </w:r>
          </w:p>
        </w:tc>
        <w:tc>
          <w:tcPr>
            <w:tcW w:type="dxa" w:w="1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sz w:val="20"/>
                <w:szCs w:val="20"/>
              </w:rPr>
              <w:t xml:space="preserve">+2,500</w:t>
            </w:r>
          </w:p>
        </w:tc>
        <w:tc>
          <w:tcPr>
            <w:tcW w:type="dxa" w:w="2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sz w:val="20"/>
                <w:szCs w:val="20"/>
              </w:rPr>
              <w:t xml:space="preserve">Module goes from thin to sellable</w:t>
            </w:r>
          </w:p>
        </w:tc>
      </w:tr>
      <w:tr>
        <w:tc>
          <w:tcPr>
            <w:tcW w:type="dxa" w:w="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KSA D4 ethical framework</w:t>
            </w:r>
          </w:p>
        </w:tc>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Eisenbeiss (2012)</w:t>
            </w:r>
          </w:p>
        </w:tc>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+400</w:t>
            </w:r>
          </w:p>
        </w:tc>
        <w:tc>
          <w:tcPr>
            <w:tcW w:type="dxa" w:w="2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Adds academic rigor</w:t>
            </w:r>
          </w:p>
        </w:tc>
      </w:tr>
      <w:tr>
        <w:tc>
          <w:tcPr>
            <w:tcW w:type="dxa" w:w="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sz w:val="20"/>
                <w:szCs w:val="20"/>
              </w:rPr>
              <w:t xml:space="preserve">5</w:t>
            </w:r>
          </w:p>
        </w:tc>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sz w:val="20"/>
                <w:szCs w:val="20"/>
              </w:rPr>
              <w:t xml:space="preserve">Korea D1–D3 deepen</w:t>
            </w:r>
          </w:p>
        </w:tc>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sz w:val="20"/>
                <w:szCs w:val="20"/>
              </w:rPr>
              <w:t xml:space="preserve">Existing citations + Bong</w:t>
            </w:r>
          </w:p>
        </w:tc>
        <w:tc>
          <w:tcPr>
            <w:tcW w:type="dxa" w:w="1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sz w:val="20"/>
                <w:szCs w:val="20"/>
              </w:rPr>
              <w:t xml:space="preserve">+800</w:t>
            </w:r>
          </w:p>
        </w:tc>
        <w:tc>
          <w:tcPr>
            <w:tcW w:type="dxa" w:w="2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sz w:val="20"/>
                <w:szCs w:val="20"/>
              </w:rPr>
              <w:t xml:space="preserve">Fills time to 75 min</w:t>
            </w:r>
          </w:p>
        </w:tc>
      </w:tr>
      <w:tr>
        <w:tc>
          <w:tcPr>
            <w:tcW w:type="dxa" w:w="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Add 8–10 new scenarios</w:t>
            </w:r>
          </w:p>
        </w:tc>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Ran + Hammad &amp; Shah</w:t>
            </w:r>
          </w:p>
        </w:tc>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+1,500</w:t>
            </w:r>
          </w:p>
        </w:tc>
        <w:tc>
          <w:tcPr>
            <w:tcW w:type="dxa" w:w="2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Scenario bank sellable</w:t>
            </w:r>
          </w:p>
        </w:tc>
      </w:tr>
      <w:tr>
        <w:tc>
          <w:tcPr>
            <w:tcW w:type="dxa" w:w="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sz w:val="20"/>
                <w:szCs w:val="20"/>
              </w:rPr>
              <w:t xml:space="preserve">7</w:t>
            </w:r>
          </w:p>
        </w:tc>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sz w:val="20"/>
                <w:szCs w:val="20"/>
              </w:rPr>
              <w:t xml:space="preserve">Reflection prompts (all)</w:t>
            </w:r>
          </w:p>
        </w:tc>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sz w:val="20"/>
                <w:szCs w:val="20"/>
              </w:rPr>
              <w:t xml:space="preserve">Original design</w:t>
            </w:r>
          </w:p>
        </w:tc>
        <w:tc>
          <w:tcPr>
            <w:tcW w:type="dxa" w:w="1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sz w:val="20"/>
                <w:szCs w:val="20"/>
              </w:rPr>
              <w:t xml:space="preserve">+600</w:t>
            </w:r>
          </w:p>
        </w:tc>
        <w:tc>
          <w:tcPr>
            <w:tcW w:type="dxa" w:w="2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sz w:val="20"/>
                <w:szCs w:val="20"/>
              </w:rPr>
              <w:t xml:space="preserve">+30 min engagement</w:t>
            </w:r>
          </w:p>
        </w:tc>
      </w:tr>
      <w:tr>
        <w:tc>
          <w:tcPr>
            <w:tcW w:type="dxa" w:w="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End-of-module quizzes</w:t>
            </w:r>
          </w:p>
        </w:tc>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Original design</w:t>
            </w:r>
          </w:p>
        </w:tc>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+900</w:t>
            </w:r>
          </w:p>
        </w:tc>
        <w:tc>
          <w:tcPr>
            <w:tcW w:type="dxa" w:w="2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sz w:val="20"/>
                <w:szCs w:val="20"/>
              </w:rPr>
              <w:t xml:space="preserve">Completion artifact</w:t>
            </w:r>
          </w:p>
        </w:tc>
      </w:tr>
    </w:tbl>
    <w:p>
      <w:pPr>
        <w:spacing w:after="60"/>
      </w:pPr>
    </w:p>
    <w:p>
      <w:pPr>
        <w:spacing w:after="120"/>
      </w:pPr>
      <w:r>
        <w:t xml:space="preserve">Total content to write: </w:t>
      </w:r>
      <w:r>
        <w:rPr>
          <w:b/>
          <w:bCs/>
        </w:rPr>
        <w:t xml:space="preserve">~8,600 words</w:t>
      </w:r>
      <w:r>
        <w:t xml:space="preserve"> across all modules. Plus quiz design and reflection prompt copy. This is roughly 3–4 days of focused writing using the research sources we already have.</w:t>
      </w:r>
    </w:p>
    <w:p>
      <w:pPr>
        <w:spacing w:after="60"/>
      </w:pPr>
    </w:p>
    <w:p>
      <w:pPr>
        <w:pStyle w:val="Heading1"/>
      </w:pPr>
      <w:r>
        <w:t xml:space="preserve">6. The Bottom Line</w:t>
      </w:r>
    </w:p>
    <w:p>
      <w:pPr>
        <w:spacing w:after="120"/>
      </w:pPr>
      <w:r>
        <w:t xml:space="preserve">We built the platform right. The UX works. The architecture is extensible. The evidence labeling is honest. The scenario mechanic is genuinely good pedagogy. But we shipped a </w:t>
      </w:r>
      <w:r>
        <w:rPr>
          <w:b/>
          <w:bCs/>
        </w:rPr>
        <w:t xml:space="preserve">15-minute experience</w:t>
      </w:r>
      <w:r>
        <w:t xml:space="preserve"> wearing the label of a professional development resource. No school is paying for that.</w:t>
      </w:r>
    </w:p>
    <w:p>
      <w:pPr>
        <w:spacing w:after="60"/>
      </w:pPr>
    </w:p>
    <w:p>
      <w:pPr>
        <w:spacing w:after="120"/>
      </w:pPr>
      <w:r>
        <w:t xml:space="preserve">The good news: we have the research to fix it. Ran (2001) alone could double the China module. Hammad &amp; Shah (2018) could triple Saudi. The content pipeline above gets all three modules to 75–90 minutes of substantive, citable engagement. That’s the version a school will pay for.</w:t>
      </w:r>
    </w:p>
    <w:p>
      <w:pPr>
        <w:spacing w:after="60"/>
      </w:pPr>
    </w:p>
    <w:p>
      <w:pPr>
        <w:spacing w:after="120"/>
      </w:pPr>
      <w:r>
        <w:t xml:space="preserve">The honest next step: </w:t>
      </w:r>
      <w:r>
        <w:rPr>
          <w:b/>
          <w:bCs/>
        </w:rPr>
        <w:t xml:space="preserve">stop building features and start writing content.</w:t>
      </w:r>
      <w:r>
        <w:t xml:space="preserve"> The platform is ready. The content isn’t. Every hour spent on a new component is an hour not spent turning Ran’s case studies into the China D2 rewrite that actually makes this product sellable.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8A7D" w:sz="6" w:space="4"/>
      </w:pBdr>
      <w:tabs>
        <w:tab w:val="right" w:pos="9360"/>
      </w:tabs>
    </w:pPr>
    <w:r>
      <w:rPr>
        <w:rFonts w:ascii="Arial" w:cs="Arial" w:eastAsia="Arial" w:hAnsi="Arial"/>
        <w:color w:val="999999"/>
        <w:sz w:val="16"/>
        <w:szCs w:val="16"/>
      </w:rPr>
      <w:t xml:space="preserve">mystool.org/learn</w:t>
    </w:r>
    <w:r>
      <w:rPr>
        <w:rFonts w:ascii="Arial" w:cs="Arial" w:eastAsia="Arial" w:hAnsi="Arial"/>
        <w:color w:val="999999"/>
        <w:sz w:val="16"/>
        <w:szCs w:val="16"/>
      </w:rPr>
      <w:t xml:space="preserve">	Content Audit &amp; Product Vision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A8A7D"/>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2026-03-30T08:10:04.967Z</dcterms:created>
  <dcterms:modified xsi:type="dcterms:W3CDTF">2026-03-30T08:10:04.968Z</dcterms:modified>
</cp:coreProperties>
</file>

<file path=docProps/custom.xml><?xml version="1.0" encoding="utf-8"?>
<Properties xmlns="http://schemas.openxmlformats.org/officeDocument/2006/custom-properties" xmlns:vt="http://schemas.openxmlformats.org/officeDocument/2006/docPropsVTypes"/>
</file>