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spacing w:before="0" w:after="0" w:line="240"/>
        <w:jc w:val="center"/>
      </w:pPr>
      <w:r>
        <w:rPr>
          <w:b/>
          <w:bCs/>
          <w:sz w:val="21"/>
          <w:szCs w:val="21"/>
          <w:rFonts w:ascii="Arial" w:cs="Arial" w:eastAsia="Arial" w:hAnsi="Arial"/>
        </w:rPr>
        <w:t xml:space="preserve">Casey Structure</w:t>
      </w:r>
    </w:p>
    <w:p>
      <w:pPr>
        <w:keepNext w:val="false"/>
        <w:spacing w:before="0" w:after="0" w:line="240"/>
        <w:jc w:val="center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Operations Systems and Customer Delivery Leader</w:t>
      </w:r>
    </w:p>
    <w:p>
      <w:pPr>
        <w:keepNext w:val="false"/>
        <w:spacing w:before="0" w:after="0" w:line="240"/>
        <w:jc w:val="center"/>
      </w:pPr>
      <w:r>
        <w:rPr>
          <w:b/>
          <w:bCs/>
          <w:sz w:val="21"/>
          <w:szCs w:val="21"/>
          <w:rFonts w:ascii="Arial" w:cs="Arial" w:eastAsia="Arial" w:hAnsi="Arial"/>
        </w:rPr>
        <w:t xml:space="preserve">casey.structure@example.test | +1 (555) 010-8642 | Riverton, CA</w:t>
      </w:r>
      <w:r>
        <w:rPr>
          <w:b/>
          <w:bCs/>
          <w:sz w:val="21"/>
          <w:szCs w:val="21"/>
          <w:rFonts w:ascii="Arial" w:cs="Arial" w:eastAsia="Arial" w:hAnsi="Arial"/>
        </w:rPr>
        <w:br/>
        <w:t xml:space="preserve">https://portfolio.example.test/casey | https://www.linkedin.com/in/casey-structure | https://github.com/casey-structure</w:t>
      </w:r>
    </w:p>
    <w:p>
      <w:pPr>
        <w:pStyle w:val="Heading1"/>
        <w:keepNext/>
        <w:spacing w:before="120" w:after="40" w:line="240"/>
        <w:jc w:val="left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SUMMARY</w:t>
      </w:r>
    </w:p>
    <w:p>
      <w:pPr>
        <w:keepNext w:val="false"/>
        <w:spacing w:before="0" w:after="0" w:line="240"/>
        <w:jc w:val="left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Operations systems and customer delivery leader who builds reliable, measurable workflows across service operations, implementation, reporting, and cross-functional programs. Translates ambiguous requirements into explicit ownership, source-linked evidence, bounded decisions, and practical improvements while coaching distributed teams, preserving customer context, and communicating unresolved risks without exaggeration.</w:t>
      </w:r>
    </w:p>
    <w:p>
      <w:pPr>
        <w:pStyle w:val="Heading1"/>
        <w:keepNext/>
        <w:spacing w:before="120" w:after="40" w:line="240"/>
        <w:jc w:val="left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SKILLS</w:t>
      </w:r>
    </w:p>
    <w:p>
      <w:pPr>
        <w:keepNext w:val="false"/>
        <w:spacing w:before="0" w:after="0" w:line="240"/>
        <w:jc w:val="left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Operations leadership: service delivery, incident coordination, capacity planning, quality controls, vendor governance, escalation design, risk reviews, operating cadences, process mapping, and continuous improvement.</w:t>
      </w:r>
      <w:r>
        <w:rPr>
          <w:b w:val="false"/>
          <w:bCs w:val="false"/>
          <w:sz w:val="21"/>
          <w:szCs w:val="21"/>
          <w:rFonts w:ascii="Arial" w:cs="Arial" w:eastAsia="Arial" w:hAnsi="Arial"/>
        </w:rPr>
        <w:br/>
        <w:t xml:space="preserve">Data and platforms: SQL, PostgreSQL, TypeScript, Azure, reporting automation, dashboard design, data reconciliation, workflow instrumentation, access reviews, source tracing, and evidence catalogs.</w:t>
      </w:r>
      <w:r>
        <w:rPr>
          <w:b w:val="false"/>
          <w:bCs w:val="false"/>
          <w:sz w:val="21"/>
          <w:szCs w:val="21"/>
          <w:rFonts w:ascii="Arial" w:cs="Arial" w:eastAsia="Arial" w:hAnsi="Arial"/>
        </w:rPr>
        <w:br/>
        <w:t xml:space="preserve">Program delivery: stakeholder communication, team coaching, change management, roadmap facilitation, executive briefings, documentation systems, launch planning, dependency mapping, customer discovery, and outcome measurement.</w:t>
      </w:r>
    </w:p>
    <w:p>
      <w:pPr>
        <w:pStyle w:val="Heading1"/>
        <w:keepNext/>
        <w:spacing w:before="120" w:after="40" w:line="240"/>
        <w:jc w:val="left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EXPERIENCE</w:t>
      </w:r>
    </w:p>
    <w:p>
      <w:pPr>
        <w:keepNext w:val="false"/>
        <w:spacing w:before="0" w:after="0" w:line="240"/>
        <w:jc w:val="left"/>
      </w:pPr>
      <w:r>
        <w:rPr>
          <w:b/>
          <w:bCs/>
          <w:sz w:val="21"/>
          <w:szCs w:val="21"/>
          <w:rFonts w:ascii="Arial" w:cs="Arial" w:eastAsia="Arial" w:hAnsi="Arial"/>
        </w:rPr>
        <w:t xml:space="preserve">Director of Service Operations | Northwind Example Systems | Jan 2022 - Present</w:t>
      </w:r>
      <w:r>
        <w:rPr>
          <w:b w:val="false"/>
          <w:bCs w:val="false"/>
          <w:sz w:val="21"/>
          <w:szCs w:val="21"/>
          <w:rFonts w:ascii="Arial" w:cs="Arial" w:eastAsia="Arial" w:hAnsi="Arial"/>
        </w:rPr>
        <w:br/>
        <w:t xml:space="preserve">• Designed a multi-team intake model with explicit ownership and measurable service levels using private-free evidence for structural scenario 1.</w:t>
      </w:r>
      <w:r>
        <w:rPr>
          <w:b w:val="false"/>
          <w:bCs w:val="false"/>
          <w:sz w:val="21"/>
          <w:szCs w:val="21"/>
          <w:rFonts w:ascii="Arial" w:cs="Arial" w:eastAsia="Arial" w:hAnsi="Arial"/>
        </w:rPr>
        <w:br/>
        <w:t xml:space="preserve">• Established operating reviews connecting customer impact, delivery risk, and remediation decisions using private-free evidence for structural scenario 2.</w:t>
      </w:r>
      <w:r>
        <w:rPr>
          <w:b w:val="false"/>
          <w:bCs w:val="false"/>
          <w:sz w:val="21"/>
          <w:szCs w:val="21"/>
          <w:rFonts w:ascii="Arial" w:cs="Arial" w:eastAsia="Arial" w:hAnsi="Arial"/>
        </w:rPr>
        <w:br/>
        <w:t xml:space="preserve">• Introduced reconciliation checks that detected reporting drift before planning cycles using private-free evidence for structural scenario 3.</w:t>
      </w:r>
      <w:r>
        <w:rPr>
          <w:b w:val="false"/>
          <w:bCs w:val="false"/>
          <w:sz w:val="21"/>
          <w:szCs w:val="21"/>
          <w:rFonts w:ascii="Arial" w:cs="Arial" w:eastAsia="Arial" w:hAnsi="Arial"/>
        </w:rPr>
        <w:br/>
        <w:t xml:space="preserve">• Coached managers on decision records and respectful incident communication using private-free evidence for structural scenario 4.</w:t>
      </w:r>
    </w:p>
    <w:p>
      <w:pPr>
        <w:keepNext w:val="false"/>
        <w:spacing w:before="0" w:after="0" w:line="240"/>
        <w:jc w:val="left"/>
      </w:pPr>
      <w:r>
        <w:rPr>
          <w:b/>
          <w:bCs/>
          <w:sz w:val="21"/>
          <w:szCs w:val="21"/>
          <w:rFonts w:ascii="Arial" w:cs="Arial" w:eastAsia="Arial" w:hAnsi="Arial"/>
        </w:rPr>
        <w:t xml:space="preserve">Senior Program Manager | Contoso Example Delivery | Mar 2019 - Dec 2021</w:t>
      </w:r>
      <w:r>
        <w:rPr>
          <w:b w:val="false"/>
          <w:bCs w:val="false"/>
          <w:sz w:val="21"/>
          <w:szCs w:val="21"/>
          <w:rFonts w:ascii="Arial" w:cs="Arial" w:eastAsia="Arial" w:hAnsi="Arial"/>
        </w:rPr>
        <w:br/>
        <w:t xml:space="preserve">• Led onboarding programs with milestones, dependency maps, and outcome measures using private-free evidence for structural scenario 5.</w:t>
      </w:r>
      <w:r>
        <w:rPr>
          <w:b w:val="false"/>
          <w:bCs w:val="false"/>
          <w:sz w:val="21"/>
          <w:szCs w:val="21"/>
          <w:rFonts w:ascii="Arial" w:cs="Arial" w:eastAsia="Arial" w:hAnsi="Arial"/>
        </w:rPr>
        <w:br/>
        <w:t xml:space="preserve">• Built capacity forecasts balancing demand, specialist availability, timing, and risk using private-free evidence for structural scenario 6.</w:t>
      </w:r>
      <w:r>
        <w:rPr>
          <w:b w:val="false"/>
          <w:bCs w:val="false"/>
          <w:sz w:val="21"/>
          <w:szCs w:val="21"/>
          <w:rFonts w:ascii="Arial" w:cs="Arial" w:eastAsia="Arial" w:hAnsi="Arial"/>
        </w:rPr>
        <w:br/>
        <w:t xml:space="preserve">• Created reusable launch checklists that reduced avoidable handoff defects using private-free evidence for structural scenario 7.</w:t>
      </w:r>
      <w:r>
        <w:rPr>
          <w:b w:val="false"/>
          <w:bCs w:val="false"/>
          <w:sz w:val="21"/>
          <w:szCs w:val="21"/>
          <w:rFonts w:ascii="Arial" w:cs="Arial" w:eastAsia="Arial" w:hAnsi="Arial"/>
        </w:rPr>
        <w:br/>
        <w:t xml:space="preserve">• Presented delivery findings with transparent assumptions and unresolved risks using private-free evidence for structural scenario 8.</w:t>
      </w:r>
    </w:p>
    <w:p>
      <w:pPr>
        <w:keepNext w:val="false"/>
        <w:spacing w:before="0" w:after="0" w:line="240"/>
        <w:jc w:val="left"/>
      </w:pPr>
      <w:r>
        <w:rPr>
          <w:b/>
          <w:bCs/>
          <w:sz w:val="21"/>
          <w:szCs w:val="21"/>
          <w:rFonts w:ascii="Arial" w:cs="Arial" w:eastAsia="Arial" w:hAnsi="Arial"/>
        </w:rPr>
        <w:t xml:space="preserve">Operations Analytics Manager | Fabrikam Example Services | Jul 2016 - Feb 2019</w:t>
      </w:r>
      <w:r>
        <w:rPr>
          <w:b w:val="false"/>
          <w:bCs w:val="false"/>
          <w:sz w:val="21"/>
          <w:szCs w:val="21"/>
          <w:rFonts w:ascii="Arial" w:cs="Arial" w:eastAsia="Arial" w:hAnsi="Arial"/>
        </w:rPr>
        <w:br/>
        <w:t xml:space="preserve">• Developed service-health reporting combining volume, quality, age, and sentiment using private-free evidence for structural scenario 9.</w:t>
      </w:r>
      <w:r>
        <w:rPr>
          <w:b w:val="false"/>
          <w:bCs w:val="false"/>
          <w:sz w:val="21"/>
          <w:szCs w:val="21"/>
          <w:rFonts w:ascii="Arial" w:cs="Arial" w:eastAsia="Arial" w:hAnsi="Arial"/>
        </w:rPr>
        <w:br/>
        <w:t xml:space="preserve">• Automated recurring preparation while retaining source references and exception logs using private-free evidence for structural scenario 10.</w:t>
      </w:r>
      <w:r>
        <w:rPr>
          <w:b w:val="false"/>
          <w:bCs w:val="false"/>
          <w:sz w:val="21"/>
          <w:szCs w:val="21"/>
          <w:rFonts w:ascii="Arial" w:cs="Arial" w:eastAsia="Arial" w:hAnsi="Arial"/>
        </w:rPr>
        <w:br/>
        <w:t xml:space="preserve">• Facilitated metric-definition workshops across finance, support, and product teams using private-free evidence for structural scenario 11.</w:t>
      </w:r>
      <w:r>
        <w:rPr>
          <w:b w:val="false"/>
          <w:bCs w:val="false"/>
          <w:sz w:val="21"/>
          <w:szCs w:val="21"/>
          <w:rFonts w:ascii="Arial" w:cs="Arial" w:eastAsia="Arial" w:hAnsi="Arial"/>
        </w:rPr>
        <w:br/>
        <w:t xml:space="preserve">• Investigated unusual trends with reproducible queries and bounded hypotheses using private-free evidence for structural scenario 12.</w:t>
      </w:r>
      <w:r>
        <w:rPr>
          <w:b w:val="false"/>
          <w:bCs w:val="false"/>
          <w:sz w:val="21"/>
          <w:szCs w:val="21"/>
          <w:rFonts w:ascii="Arial" w:cs="Arial" w:eastAsia="Arial" w:hAnsi="Arial"/>
        </w:rPr>
        <w:br/>
        <w:t xml:space="preserve">• Documented access boundaries, reviewer decisions, and follow-up ownership using private-free evidence for structural scenario 13.</w:t>
      </w:r>
    </w:p>
    <w:p>
      <w:pPr>
        <w:keepNext w:val="false"/>
        <w:spacing w:before="0" w:after="0" w:line="240"/>
        <w:jc w:val="left"/>
      </w:pPr>
      <w:r>
        <w:rPr>
          <w:b/>
          <w:bCs/>
          <w:sz w:val="21"/>
          <w:szCs w:val="21"/>
          <w:rFonts w:ascii="Arial" w:cs="Arial" w:eastAsia="Arial" w:hAnsi="Arial"/>
        </w:rPr>
        <w:t xml:space="preserve">Customer Experience Lead | Adventure Example Cloud | Apr 2013 - Jun 2016</w:t>
      </w:r>
      <w:r>
        <w:rPr>
          <w:b w:val="false"/>
          <w:bCs w:val="false"/>
          <w:sz w:val="21"/>
          <w:szCs w:val="21"/>
          <w:rFonts w:ascii="Arial" w:cs="Arial" w:eastAsia="Arial" w:hAnsi="Arial"/>
        </w:rPr>
        <w:br/>
        <w:t xml:space="preserve">• Redesigned escalation workflows so teams could identify urgency and ownership using private-free evidence for structural scenario 14.</w:t>
      </w:r>
      <w:r>
        <w:rPr>
          <w:b w:val="false"/>
          <w:bCs w:val="false"/>
          <w:sz w:val="21"/>
          <w:szCs w:val="21"/>
          <w:rFonts w:ascii="Arial" w:cs="Arial" w:eastAsia="Arial" w:hAnsi="Arial"/>
        </w:rPr>
        <w:br/>
        <w:t xml:space="preserve">• Produced journey reviews linking recurring friction to specific process gaps using private-free evidence for structural scenario 15.</w:t>
      </w:r>
      <w:r>
        <w:rPr>
          <w:b w:val="false"/>
          <w:bCs w:val="false"/>
          <w:sz w:val="21"/>
          <w:szCs w:val="21"/>
          <w:rFonts w:ascii="Arial" w:cs="Arial" w:eastAsia="Arial" w:hAnsi="Arial"/>
        </w:rPr>
        <w:br/>
        <w:t xml:space="preserve">• Mentored specialists on structured troubleshooting and evidence-based recommendations using private-free evidence for structural scenario 16.</w:t>
      </w:r>
    </w:p>
    <w:p>
      <w:pPr>
        <w:keepNext w:val="false"/>
        <w:spacing w:before="0" w:after="0" w:line="240"/>
        <w:jc w:val="left"/>
      </w:pPr>
      <w:r>
        <w:rPr>
          <w:b/>
          <w:bCs/>
          <w:sz w:val="21"/>
          <w:szCs w:val="21"/>
          <w:rFonts w:ascii="Arial" w:cs="Arial" w:eastAsia="Arial" w:hAnsi="Arial"/>
        </w:rPr>
        <w:t xml:space="preserve">Business Process Analyst | Tailspin Example Consulting | Sep 2010 - Mar 2013</w:t>
      </w:r>
      <w:r>
        <w:rPr>
          <w:b w:val="false"/>
          <w:bCs w:val="false"/>
          <w:sz w:val="21"/>
          <w:szCs w:val="21"/>
          <w:rFonts w:ascii="Arial" w:cs="Arial" w:eastAsia="Arial" w:hAnsi="Arial"/>
        </w:rPr>
        <w:br/>
        <w:t xml:space="preserve">• Mapped operational processes with owners, inputs, controls, and failure modes using private-free evidence for structural scenario 17.</w:t>
      </w:r>
      <w:r>
        <w:rPr>
          <w:b w:val="false"/>
          <w:bCs w:val="false"/>
          <w:sz w:val="21"/>
          <w:szCs w:val="21"/>
          <w:rFonts w:ascii="Arial" w:cs="Arial" w:eastAsia="Arial" w:hAnsi="Arial"/>
        </w:rPr>
        <w:br/>
        <w:t xml:space="preserve">• Created analyses that reconciled source systems before recommendations using private-free evidence for structural scenario 18.</w:t>
      </w:r>
      <w:r>
        <w:rPr>
          <w:b w:val="false"/>
          <w:bCs w:val="false"/>
          <w:sz w:val="21"/>
          <w:szCs w:val="21"/>
          <w:rFonts w:ascii="Arial" w:cs="Arial" w:eastAsia="Arial" w:hAnsi="Arial"/>
        </w:rPr>
        <w:br/>
        <w:t xml:space="preserve">• Documented implementation decisions so later teams understood tradeoffs using private-free evidence for structural scenario 19.</w:t>
      </w:r>
      <w:r>
        <w:rPr>
          <w:b w:val="false"/>
          <w:bCs w:val="false"/>
          <w:sz w:val="21"/>
          <w:szCs w:val="21"/>
          <w:rFonts w:ascii="Arial" w:cs="Arial" w:eastAsia="Arial" w:hAnsi="Arial"/>
        </w:rPr>
        <w:br/>
        <w:t xml:space="preserve">• Supported change workshops with accessible job aids and observable measures using private-free evidence for structural scenario 20.</w:t>
      </w:r>
      <w:r>
        <w:rPr>
          <w:b w:val="false"/>
          <w:bCs w:val="false"/>
          <w:sz w:val="21"/>
          <w:szCs w:val="21"/>
          <w:rFonts w:ascii="Arial" w:cs="Arial" w:eastAsia="Arial" w:hAnsi="Arial"/>
        </w:rPr>
        <w:br/>
        <w:t xml:space="preserve">• Maintained an ordered evidence register for open questions and outcomes using private-free evidence for structural scenario 21.</w:t>
      </w:r>
    </w:p>
    <w:p>
      <w:pPr>
        <w:pStyle w:val="Heading1"/>
        <w:keepNext/>
        <w:spacing w:before="120" w:after="40" w:line="240"/>
        <w:jc w:val="left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PROJECTS</w:t>
      </w:r>
    </w:p>
    <w:p>
      <w:pPr>
        <w:keepNext w:val="false"/>
        <w:spacing w:before="0" w:after="0" w:line="240"/>
        <w:jc w:val="left"/>
      </w:pPr>
      <w:r>
        <w:rPr>
          <w:b/>
          <w:bCs/>
          <w:sz w:val="21"/>
          <w:szCs w:val="21"/>
          <w:rFonts w:ascii="Arial" w:cs="Arial" w:eastAsia="Arial" w:hAnsi="Arial"/>
        </w:rPr>
        <w:t xml:space="preserve">Service Reliability Workbench | Auditable Operations Dashboard | 2025</w:t>
      </w:r>
      <w:r>
        <w:rPr>
          <w:b w:val="false"/>
          <w:bCs w:val="false"/>
          <w:sz w:val="21"/>
          <w:szCs w:val="21"/>
          <w:rFonts w:ascii="Arial" w:cs="Arial" w:eastAsia="Arial" w:hAnsi="Arial"/>
        </w:rPr>
        <w:br/>
        <w:t xml:space="preserve">• Built a TypeScript and PostgreSQL dashboard preserving evidence while highlighting service risk using private-free evidence for structural scenario 22.</w:t>
      </w:r>
    </w:p>
    <w:p>
      <w:pPr>
        <w:keepNext w:val="false"/>
        <w:spacing w:before="0" w:after="0" w:line="240"/>
        <w:jc w:val="left"/>
      </w:pPr>
      <w:r>
        <w:rPr>
          <w:b/>
          <w:bCs/>
          <w:sz w:val="21"/>
          <w:szCs w:val="21"/>
          <w:rFonts w:ascii="Arial" w:cs="Arial" w:eastAsia="Arial" w:hAnsi="Arial"/>
        </w:rPr>
        <w:t xml:space="preserve">Planning Evidence Library | Decision Support Catalog | 2024</w:t>
      </w:r>
      <w:r>
        <w:rPr>
          <w:b w:val="false"/>
          <w:bCs w:val="false"/>
          <w:sz w:val="21"/>
          <w:szCs w:val="21"/>
          <w:rFonts w:ascii="Arial" w:cs="Arial" w:eastAsia="Arial" w:hAnsi="Arial"/>
        </w:rPr>
        <w:br/>
        <w:t xml:space="preserve">• Created a SQL and Azure evidence catalog with stable identifiers and omission tracking using private-free evidence for structural scenario 23.</w:t>
      </w:r>
    </w:p>
    <w:p>
      <w:pPr>
        <w:pStyle w:val="Heading1"/>
        <w:keepNext/>
        <w:spacing w:before="120" w:after="40" w:line="240"/>
        <w:jc w:val="left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EDUCATION</w:t>
      </w:r>
    </w:p>
    <w:p>
      <w:pPr>
        <w:keepNext w:val="false"/>
        <w:spacing w:before="0" w:after="0" w:line="240"/>
        <w:jc w:val="left"/>
      </w:pPr>
      <w:r>
        <w:rPr>
          <w:b/>
          <w:bCs/>
          <w:sz w:val="21"/>
          <w:szCs w:val="21"/>
          <w:rFonts w:ascii="Arial" w:cs="Arial" w:eastAsia="Arial" w:hAnsi="Arial"/>
        </w:rPr>
        <w:t xml:space="preserve">Immersive Operations Certificate | Example Learning Studio | Jan 2020 - Apr 2020</w:t>
      </w:r>
      <w:r>
        <w:rPr>
          <w:b w:val="false"/>
          <w:bCs w:val="false"/>
          <w:sz w:val="21"/>
          <w:szCs w:val="21"/>
          <w:rFonts w:ascii="Arial" w:cs="Arial" w:eastAsia="Arial" w:hAnsi="Arial"/>
        </w:rPr>
        <w:br/>
        <w:t xml:space="preserve">Completed a 480-hour applied program spanning service design, analytical reporting, responsible automation, collaborative delivery, and source-linked decision practices.</w:t>
      </w:r>
      <w:r>
        <w:rPr>
          <w:b/>
          <w:bCs/>
          <w:sz w:val="21"/>
          <w:szCs w:val="21"/>
          <w:rFonts w:ascii="Arial" w:cs="Arial" w:eastAsia="Arial" w:hAnsi="Arial"/>
        </w:rPr>
        <w:br/>
        <w:t xml:space="preserve">Bachelor of Arts in Business Administration | Example State University | 2014</w:t>
      </w:r>
    </w:p>
    <w:p>
      <w:pPr>
        <w:pStyle w:val="Heading1"/>
        <w:keepNext/>
        <w:spacing w:before="120" w:after="40" w:line="240"/>
        <w:jc w:val="left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CERTIFICATIONS</w:t>
      </w:r>
    </w:p>
    <w:p>
      <w:pPr>
        <w:keepNext w:val="false"/>
        <w:spacing w:before="0" w:after="0" w:line="240"/>
        <w:jc w:val="left"/>
      </w:pPr>
      <w:r>
        <w:rPr>
          <w:b/>
          <w:bCs/>
          <w:sz w:val="21"/>
          <w:szCs w:val="21"/>
          <w:rFonts w:ascii="Arial" w:cs="Arial" w:eastAsia="Arial" w:hAnsi="Arial"/>
        </w:rPr>
        <w:t xml:space="preserve">Synthetic Reliability Professional | Example Standards Board</w:t>
      </w:r>
      <w:r>
        <w:rPr>
          <w:b w:val="false"/>
          <w:bCs w:val="false"/>
          <w:sz w:val="21"/>
          <w:szCs w:val="21"/>
          <w:rFonts w:ascii="Arial" w:cs="Arial" w:eastAsia="Arial" w:hAnsi="Arial"/>
        </w:rPr>
        <w:br/>
        <w:t xml:space="preserve">Issued: 2024</w:t>
      </w:r>
      <w:r>
        <w:rPr>
          <w:b w:val="false"/>
          <w:bCs w:val="false"/>
          <w:sz w:val="21"/>
          <w:szCs w:val="21"/>
          <w:rFonts w:ascii="Arial" w:cs="Arial" w:eastAsia="Arial" w:hAnsi="Arial"/>
        </w:rPr>
        <w:br/>
        <w:t xml:space="preserve">Expires: 2027</w:t>
      </w:r>
      <w:r>
        <w:rPr>
          <w:b w:val="false"/>
          <w:bCs w:val="false"/>
          <w:sz w:val="21"/>
          <w:szCs w:val="21"/>
          <w:rFonts w:ascii="Arial" w:cs="Arial" w:eastAsia="Arial" w:hAnsi="Arial"/>
        </w:rPr>
        <w:br/>
        <w:t xml:space="preserve">Credential ID: SYNTHETIC-ONLY-4821</w:t>
      </w:r>
      <w:r>
        <w:rPr>
          <w:b w:val="false"/>
          <w:bCs w:val="false"/>
          <w:sz w:val="21"/>
          <w:szCs w:val="21"/>
          <w:rFonts w:ascii="Arial" w:cs="Arial" w:eastAsia="Arial" w:hAnsi="Arial"/>
        </w:rPr>
        <w:br/>
        <w:t xml:space="preserve">Completed an evidence-based assessment covering operational controls and source-traceable review practices.</w:t>
      </w:r>
    </w:p>
    <w:p>
      <w:pPr>
        <w:pStyle w:val="Heading1"/>
        <w:keepNext/>
        <w:spacing w:before="120" w:after="40" w:line="240"/>
        <w:jc w:val="left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ACHIEVEMENTS</w:t>
      </w:r>
    </w:p>
    <w:p>
      <w:pPr>
        <w:keepNext w:val="false"/>
        <w:spacing w:before="0" w:after="0" w:line="240"/>
        <w:jc w:val="left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Operational excellence: Recognized for building a transparent cross-team service review with stable evidence links.</w:t>
      </w:r>
      <w:r>
        <w:rPr>
          <w:b w:val="false"/>
          <w:bCs w:val="false"/>
          <w:sz w:val="21"/>
          <w:szCs w:val="21"/>
          <w:rFonts w:ascii="Arial" w:cs="Arial" w:eastAsia="Arial" w:hAnsi="Arial"/>
        </w:rPr>
        <w:br/>
        <w:t xml:space="preserve">Team development: Coached an example cohort through structured investigation and decision documentation.</w:t>
      </w:r>
    </w:p>
    <w:p>
      <w:pPr>
        <w:pStyle w:val="Heading1"/>
        <w:keepNext/>
        <w:spacing w:before="120" w:after="40" w:line="240"/>
        <w:jc w:val="left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ADDITIONAL INFORMATION</w:t>
      </w:r>
    </w:p>
    <w:p>
      <w:pPr>
        <w:keepNext w:val="false"/>
        <w:spacing w:before="0" w:after="0" w:line="240"/>
        <w:jc w:val="left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Languages: English and Spanish</w:t>
      </w:r>
      <w:r>
        <w:rPr>
          <w:b w:val="false"/>
          <w:bCs w:val="false"/>
          <w:sz w:val="21"/>
          <w:szCs w:val="21"/>
          <w:rFonts w:ascii="Arial" w:cs="Arial" w:eastAsia="Arial" w:hAnsi="Arial"/>
        </w:rPr>
        <w:br/>
        <w:t xml:space="preserve">Community service: Volunteer facilitator for a fictional public data literacy workshop.</w:t>
      </w:r>
    </w:p>
    <w:sectPr>
      <w:pgSz w:w="11906" w:h="16838" w:orient="portrait"/>
      <w:pgMar w:top="792" w:right="1008" w:bottom="79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000000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000000"/>
      <w:sz w:val="20"/>
      <w:szCs w:val="20"/>
      <w:rFonts w:ascii="Arial" w:cs="Arial" w:eastAsia="Arial" w:hAnsi="Arial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Private-Free Resume V9 Structural Twin</dc:title>
  <dc:subject>Synthetic complete-document boundary authority fixture</dc:subject>
  <dc:creator>Apply Pilot Test Fixture</dc:creator>
  <cp:lastModifiedBy>Un-named</cp:lastModifiedBy>
  <cp:revision>1</cp:revision>
  <dcterms:created xsi:type="dcterms:W3CDTF">2026-10-04T22:21:58.674Z</dcterms:created>
  <dcterms:modified xsi:type="dcterms:W3CDTF">2026-10-04T22:21:58.679Z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