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CED2" w14:textId="77777777" w:rsidR="00306B4E" w:rsidRPr="00306B4E" w:rsidRDefault="00306B4E" w:rsidP="00306B4E">
      <w:pPr>
        <w:autoSpaceDE w:val="0"/>
        <w:autoSpaceDN w:val="0"/>
        <w:bidi w:val="0"/>
        <w:adjustRightInd w:val="0"/>
        <w:spacing w:after="0" w:line="240" w:lineRule="auto"/>
        <w:rPr>
          <w:rFonts w:ascii="AdvPTimesB" w:hAnsi="AdvPTimesB" w:cs="AdvPTimesB"/>
          <w:b/>
          <w:bCs/>
          <w:sz w:val="13"/>
          <w:szCs w:val="13"/>
        </w:rPr>
      </w:pPr>
      <w:r w:rsidRPr="00306B4E">
        <w:rPr>
          <w:rFonts w:ascii="AdvPTimesB" w:hAnsi="AdvPTimesB" w:cs="AdvPTimesB"/>
          <w:b/>
          <w:bCs/>
          <w:sz w:val="20"/>
          <w:szCs w:val="20"/>
        </w:rPr>
        <w:t>Chi Chiao</w:t>
      </w:r>
      <w:r w:rsidRPr="00306B4E">
        <w:rPr>
          <w:rFonts w:ascii="AdvPTimesB" w:hAnsi="AdvPTimesB" w:cs="AdvPTimesB"/>
          <w:b/>
          <w:bCs/>
          <w:sz w:val="13"/>
          <w:szCs w:val="13"/>
        </w:rPr>
        <w:t>1</w:t>
      </w:r>
    </w:p>
    <w:p w14:paraId="5395FABF" w14:textId="470C2C40" w:rsidR="00306B4E" w:rsidRPr="00306B4E" w:rsidRDefault="00306B4E" w:rsidP="00306B4E">
      <w:pPr>
        <w:autoSpaceDE w:val="0"/>
        <w:autoSpaceDN w:val="0"/>
        <w:bidi w:val="0"/>
        <w:adjustRightInd w:val="0"/>
        <w:spacing w:after="0" w:line="240" w:lineRule="auto"/>
        <w:rPr>
          <w:rFonts w:ascii="AdvPTimesI" w:hAnsi="AdvPTimesI" w:cs="AdvPTimesI"/>
          <w:b/>
          <w:bCs/>
          <w:color w:val="000000"/>
          <w:sz w:val="20"/>
          <w:szCs w:val="20"/>
        </w:rPr>
      </w:pPr>
      <w:r w:rsidRPr="00306B4E">
        <w:rPr>
          <w:rFonts w:ascii="AdvNPSTim-B" w:hAnsi="AdvPTimesB" w:cs="AdvNPSTim-B" w:hint="cs"/>
          <w:b/>
          <w:bCs/>
          <w:sz w:val="12"/>
          <w:szCs w:val="12"/>
        </w:rPr>
        <w:t>•</w:t>
      </w:r>
      <w:r w:rsidRPr="00306B4E">
        <w:rPr>
          <w:rFonts w:ascii="AdvNPSTim-B" w:hAnsi="AdvPTimesB" w:cs="AdvNPSTim-B"/>
          <w:b/>
          <w:bCs/>
          <w:sz w:val="12"/>
          <w:szCs w:val="12"/>
        </w:rPr>
        <w:t xml:space="preserve"> </w:t>
      </w:r>
      <w:r w:rsidRPr="00306B4E">
        <w:rPr>
          <w:rFonts w:ascii="AdvPTimesB" w:hAnsi="AdvPTimesB" w:cs="AdvPTimesB"/>
          <w:b/>
          <w:bCs/>
          <w:sz w:val="20"/>
          <w:szCs w:val="20"/>
        </w:rPr>
        <w:t>Chiung-Hui Chiu</w:t>
      </w:r>
    </w:p>
    <w:p w14:paraId="207B143F" w14:textId="5E49E2FD" w:rsidR="00306B4E" w:rsidRDefault="00306B4E" w:rsidP="00306B4E">
      <w:pPr>
        <w:autoSpaceDE w:val="0"/>
        <w:autoSpaceDN w:val="0"/>
        <w:bidi w:val="0"/>
        <w:adjustRightInd w:val="0"/>
        <w:spacing w:after="0" w:line="240" w:lineRule="auto"/>
        <w:rPr>
          <w:rFonts w:ascii="AdvPTimesI" w:hAnsi="AdvPTimesI" w:cs="AdvPTimesI"/>
          <w:color w:val="000000"/>
          <w:sz w:val="20"/>
          <w:szCs w:val="20"/>
        </w:rPr>
      </w:pPr>
      <w:r>
        <w:rPr>
          <w:rFonts w:ascii="AdvPTimesI" w:hAnsi="AdvPTimesI" w:cs="AdvPTimesI"/>
          <w:color w:val="000000"/>
          <w:sz w:val="20"/>
          <w:szCs w:val="20"/>
        </w:rPr>
        <w:t>SES</w:t>
      </w:r>
    </w:p>
    <w:p w14:paraId="2CC468AA"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rPr>
      </w:pPr>
      <w:r w:rsidRPr="00713289">
        <w:rPr>
          <w:rFonts w:ascii="AdvPTimes" w:hAnsi="AdvPTimes" w:cs="AdvPTimes"/>
          <w:color w:val="000000"/>
          <w:sz w:val="34"/>
          <w:szCs w:val="34"/>
        </w:rPr>
        <w:t>Many researchers have defined SES as being composed of</w:t>
      </w:r>
    </w:p>
    <w:p w14:paraId="05F008F2"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rPr>
      </w:pPr>
      <w:r w:rsidRPr="00713289">
        <w:rPr>
          <w:rFonts w:ascii="AdvPTimes" w:hAnsi="AdvPTimes" w:cs="AdvPTimes"/>
          <w:color w:val="000000"/>
          <w:sz w:val="34"/>
          <w:szCs w:val="34"/>
        </w:rPr>
        <w:t>household income, parental education level, parental</w:t>
      </w:r>
    </w:p>
    <w:p w14:paraId="6493CE74"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rPr>
      </w:pPr>
      <w:r w:rsidRPr="00713289">
        <w:rPr>
          <w:rFonts w:ascii="AdvPTimes" w:hAnsi="AdvPTimes" w:cs="AdvPTimes"/>
          <w:color w:val="000000"/>
          <w:sz w:val="34"/>
          <w:szCs w:val="34"/>
        </w:rPr>
        <w:t>occupation, and household possessions (</w:t>
      </w:r>
      <w:proofErr w:type="spellStart"/>
      <w:r w:rsidRPr="00713289">
        <w:rPr>
          <w:rFonts w:ascii="AdvPTimes" w:hAnsi="AdvPTimes" w:cs="AdvPTimes"/>
          <w:color w:val="000000"/>
          <w:sz w:val="34"/>
          <w:szCs w:val="34"/>
        </w:rPr>
        <w:t>Aerschot</w:t>
      </w:r>
      <w:proofErr w:type="spellEnd"/>
      <w:r w:rsidRPr="00713289">
        <w:rPr>
          <w:rFonts w:ascii="AdvPTimes" w:hAnsi="AdvPTimes" w:cs="AdvPTimes"/>
          <w:color w:val="000000"/>
          <w:sz w:val="34"/>
          <w:szCs w:val="34"/>
        </w:rPr>
        <w:t xml:space="preserve"> and</w:t>
      </w:r>
    </w:p>
    <w:p w14:paraId="15642E3B"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rPr>
      </w:pPr>
      <w:proofErr w:type="spellStart"/>
      <w:r w:rsidRPr="00713289">
        <w:rPr>
          <w:rFonts w:ascii="AdvPTimes" w:hAnsi="AdvPTimes" w:cs="AdvPTimes"/>
          <w:color w:val="000000"/>
          <w:sz w:val="34"/>
          <w:szCs w:val="34"/>
        </w:rPr>
        <w:t>Rodousakis</w:t>
      </w:r>
      <w:proofErr w:type="spellEnd"/>
      <w:r w:rsidRPr="00713289">
        <w:rPr>
          <w:rFonts w:ascii="AdvPTimes" w:hAnsi="AdvPTimes" w:cs="AdvPTimes"/>
          <w:color w:val="000000"/>
          <w:sz w:val="34"/>
          <w:szCs w:val="34"/>
        </w:rPr>
        <w:t xml:space="preserve"> </w:t>
      </w:r>
      <w:r w:rsidRPr="00713289">
        <w:rPr>
          <w:rFonts w:ascii="AdvPTimes" w:hAnsi="AdvPTimes" w:cs="AdvPTimes"/>
          <w:color w:val="0000FF"/>
          <w:sz w:val="34"/>
          <w:szCs w:val="34"/>
        </w:rPr>
        <w:t>2008</w:t>
      </w:r>
      <w:r w:rsidRPr="00713289">
        <w:rPr>
          <w:rFonts w:ascii="AdvPTimes" w:hAnsi="AdvPTimes" w:cs="AdvPTimes"/>
          <w:color w:val="000000"/>
          <w:sz w:val="34"/>
          <w:szCs w:val="34"/>
        </w:rPr>
        <w:t xml:space="preserve">; Blignaut </w:t>
      </w:r>
      <w:r w:rsidRPr="00713289">
        <w:rPr>
          <w:rFonts w:ascii="AdvPTimes" w:hAnsi="AdvPTimes" w:cs="AdvPTimes"/>
          <w:color w:val="0000FF"/>
          <w:sz w:val="34"/>
          <w:szCs w:val="34"/>
        </w:rPr>
        <w:t>2009</w:t>
      </w:r>
      <w:r w:rsidRPr="00713289">
        <w:rPr>
          <w:rFonts w:ascii="AdvPTimes" w:hAnsi="AdvPTimes" w:cs="AdvPTimes"/>
          <w:color w:val="000000"/>
          <w:sz w:val="34"/>
          <w:szCs w:val="34"/>
        </w:rPr>
        <w:t xml:space="preserve">; Hohlfeld et al. </w:t>
      </w:r>
      <w:r w:rsidRPr="00713289">
        <w:rPr>
          <w:rFonts w:ascii="AdvPTimes" w:hAnsi="AdvPTimes" w:cs="AdvPTimes"/>
          <w:color w:val="0000FF"/>
          <w:sz w:val="34"/>
          <w:szCs w:val="34"/>
        </w:rPr>
        <w:t>2010</w:t>
      </w:r>
      <w:r w:rsidRPr="00713289">
        <w:rPr>
          <w:rFonts w:ascii="AdvPTimes" w:hAnsi="AdvPTimes" w:cs="AdvPTimes"/>
          <w:color w:val="000000"/>
          <w:sz w:val="34"/>
          <w:szCs w:val="34"/>
        </w:rPr>
        <w:t>).</w:t>
      </w:r>
    </w:p>
    <w:p w14:paraId="3F4E4B1A"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highlight w:val="darkGreen"/>
        </w:rPr>
      </w:pPr>
      <w:r w:rsidRPr="00713289">
        <w:rPr>
          <w:rFonts w:ascii="AdvPTimes" w:hAnsi="AdvPTimes" w:cs="AdvPTimes"/>
          <w:color w:val="000000"/>
          <w:sz w:val="34"/>
          <w:szCs w:val="34"/>
          <w:highlight w:val="darkGreen"/>
        </w:rPr>
        <w:t xml:space="preserve">However, there has been debate over whether SES </w:t>
      </w:r>
      <w:proofErr w:type="gramStart"/>
      <w:r w:rsidRPr="00713289">
        <w:rPr>
          <w:rFonts w:ascii="AdvPTimes" w:hAnsi="AdvPTimes" w:cs="AdvPTimes"/>
          <w:color w:val="000000"/>
          <w:sz w:val="34"/>
          <w:szCs w:val="34"/>
          <w:highlight w:val="darkGreen"/>
        </w:rPr>
        <w:t>should</w:t>
      </w:r>
      <w:proofErr w:type="gramEnd"/>
    </w:p>
    <w:p w14:paraId="39A3EABB"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highlight w:val="darkGreen"/>
        </w:rPr>
      </w:pPr>
      <w:r w:rsidRPr="00713289">
        <w:rPr>
          <w:rFonts w:ascii="AdvPTimes" w:hAnsi="AdvPTimes" w:cs="AdvPTimes"/>
          <w:color w:val="000000"/>
          <w:sz w:val="34"/>
          <w:szCs w:val="34"/>
          <w:highlight w:val="darkGreen"/>
        </w:rPr>
        <w:t xml:space="preserve">be measured reflectively or formatively as a </w:t>
      </w:r>
      <w:proofErr w:type="gramStart"/>
      <w:r w:rsidRPr="00713289">
        <w:rPr>
          <w:rFonts w:ascii="AdvPTimes" w:hAnsi="AdvPTimes" w:cs="AdvPTimes"/>
          <w:color w:val="000000"/>
          <w:sz w:val="34"/>
          <w:szCs w:val="34"/>
          <w:highlight w:val="darkGreen"/>
        </w:rPr>
        <w:t>construct</w:t>
      </w:r>
      <w:proofErr w:type="gramEnd"/>
    </w:p>
    <w:p w14:paraId="6070C9F2"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rPr>
      </w:pPr>
      <w:r w:rsidRPr="00713289">
        <w:rPr>
          <w:rFonts w:ascii="AdvPTimes" w:hAnsi="AdvPTimes" w:cs="AdvPTimes"/>
          <w:color w:val="000000"/>
          <w:sz w:val="34"/>
          <w:szCs w:val="34"/>
          <w:highlight w:val="darkGreen"/>
        </w:rPr>
        <w:t xml:space="preserve">(Howell et al. </w:t>
      </w:r>
      <w:r w:rsidRPr="00713289">
        <w:rPr>
          <w:rFonts w:ascii="AdvPTimes" w:hAnsi="AdvPTimes" w:cs="AdvPTimes"/>
          <w:color w:val="0000FF"/>
          <w:sz w:val="34"/>
          <w:szCs w:val="34"/>
          <w:highlight w:val="darkGreen"/>
        </w:rPr>
        <w:t>2007</w:t>
      </w:r>
      <w:r w:rsidRPr="00713289">
        <w:rPr>
          <w:rFonts w:ascii="AdvPTimes" w:hAnsi="AdvPTimes" w:cs="AdvPTimes"/>
          <w:color w:val="000000"/>
          <w:sz w:val="34"/>
          <w:szCs w:val="34"/>
          <w:highlight w:val="darkGreen"/>
        </w:rPr>
        <w:t>) in SEM</w:t>
      </w:r>
      <w:r w:rsidRPr="00713289">
        <w:rPr>
          <w:rFonts w:ascii="AdvPTimes" w:hAnsi="AdvPTimes" w:cs="AdvPTimes"/>
          <w:color w:val="000000"/>
          <w:sz w:val="34"/>
          <w:szCs w:val="34"/>
        </w:rPr>
        <w:t>. This study followed the</w:t>
      </w:r>
    </w:p>
    <w:p w14:paraId="620023BA"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rPr>
      </w:pPr>
      <w:r w:rsidRPr="00713289">
        <w:rPr>
          <w:rFonts w:ascii="AdvPTimes" w:hAnsi="AdvPTimes" w:cs="AdvPTimes"/>
          <w:color w:val="000000"/>
          <w:sz w:val="34"/>
          <w:szCs w:val="34"/>
        </w:rPr>
        <w:t>suggestion of Edwards and Bagozzi (</w:t>
      </w:r>
      <w:r w:rsidRPr="00713289">
        <w:rPr>
          <w:rFonts w:ascii="AdvPTimes" w:hAnsi="AdvPTimes" w:cs="AdvPTimes"/>
          <w:color w:val="0000FF"/>
          <w:sz w:val="34"/>
          <w:szCs w:val="34"/>
        </w:rPr>
        <w:t>2000</w:t>
      </w:r>
      <w:r w:rsidRPr="00713289">
        <w:rPr>
          <w:rFonts w:ascii="AdvPTimes" w:hAnsi="AdvPTimes" w:cs="AdvPTimes"/>
          <w:color w:val="000000"/>
          <w:sz w:val="34"/>
          <w:szCs w:val="34"/>
        </w:rPr>
        <w:t>) that SES should</w:t>
      </w:r>
    </w:p>
    <w:p w14:paraId="3A67761B"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rPr>
      </w:pPr>
      <w:r w:rsidRPr="00713289">
        <w:rPr>
          <w:rFonts w:ascii="AdvPTimes" w:hAnsi="AdvPTimes" w:cs="AdvPTimes"/>
          <w:color w:val="000000"/>
          <w:sz w:val="34"/>
          <w:szCs w:val="34"/>
        </w:rPr>
        <w:t>be represented indirectly and formatively, so the index of</w:t>
      </w:r>
    </w:p>
    <w:p w14:paraId="2E2AB3FD"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rPr>
      </w:pPr>
      <w:r w:rsidRPr="00713289">
        <w:rPr>
          <w:rFonts w:ascii="AdvPTimes" w:hAnsi="AdvPTimes" w:cs="AdvPTimes"/>
          <w:color w:val="000000"/>
          <w:sz w:val="34"/>
          <w:szCs w:val="34"/>
        </w:rPr>
        <w:t xml:space="preserve">economic, </w:t>
      </w:r>
      <w:proofErr w:type="gramStart"/>
      <w:r w:rsidRPr="00713289">
        <w:rPr>
          <w:rFonts w:ascii="AdvPTimes" w:hAnsi="AdvPTimes" w:cs="AdvPTimes"/>
          <w:color w:val="000000"/>
          <w:sz w:val="34"/>
          <w:szCs w:val="34"/>
        </w:rPr>
        <w:t>social</w:t>
      </w:r>
      <w:proofErr w:type="gramEnd"/>
      <w:r w:rsidRPr="00713289">
        <w:rPr>
          <w:rFonts w:ascii="AdvPTimes" w:hAnsi="AdvPTimes" w:cs="AdvPTimes"/>
          <w:color w:val="000000"/>
          <w:sz w:val="34"/>
          <w:szCs w:val="34"/>
        </w:rPr>
        <w:t xml:space="preserve"> and cultural status (ESCS) variable in the</w:t>
      </w:r>
    </w:p>
    <w:p w14:paraId="3747C402"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rPr>
      </w:pPr>
      <w:r w:rsidRPr="00713289">
        <w:rPr>
          <w:rFonts w:ascii="AdvPTimes" w:hAnsi="AdvPTimes" w:cs="AdvPTimes"/>
          <w:color w:val="000000"/>
          <w:sz w:val="34"/>
          <w:szCs w:val="34"/>
        </w:rPr>
        <w:t xml:space="preserve">PISA data was chosen to represent SES. ESCS is </w:t>
      </w:r>
      <w:proofErr w:type="gramStart"/>
      <w:r w:rsidRPr="00713289">
        <w:rPr>
          <w:rFonts w:ascii="AdvPTimes" w:hAnsi="AdvPTimes" w:cs="AdvPTimes"/>
          <w:color w:val="000000"/>
          <w:sz w:val="34"/>
          <w:szCs w:val="34"/>
        </w:rPr>
        <w:t>calculated</w:t>
      </w:r>
      <w:proofErr w:type="gramEnd"/>
    </w:p>
    <w:p w14:paraId="5737450F"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rPr>
      </w:pPr>
      <w:r w:rsidRPr="00713289">
        <w:rPr>
          <w:rFonts w:ascii="AdvPTimes" w:hAnsi="AdvPTimes" w:cs="AdvPTimes"/>
          <w:color w:val="000000"/>
          <w:sz w:val="34"/>
          <w:szCs w:val="34"/>
        </w:rPr>
        <w:t>based on a number of indices, including the highest educational</w:t>
      </w:r>
    </w:p>
    <w:p w14:paraId="7E614376" w14:textId="77777777" w:rsidR="00306B4E" w:rsidRPr="00713289" w:rsidRDefault="00306B4E" w:rsidP="00306B4E">
      <w:pPr>
        <w:autoSpaceDE w:val="0"/>
        <w:autoSpaceDN w:val="0"/>
        <w:bidi w:val="0"/>
        <w:adjustRightInd w:val="0"/>
        <w:spacing w:after="0" w:line="240" w:lineRule="auto"/>
        <w:rPr>
          <w:rFonts w:ascii="AdvPTimes" w:hAnsi="AdvPTimes" w:cs="AdvPTimes"/>
          <w:color w:val="000000"/>
          <w:sz w:val="34"/>
          <w:szCs w:val="34"/>
        </w:rPr>
      </w:pPr>
      <w:r w:rsidRPr="00713289">
        <w:rPr>
          <w:rFonts w:ascii="AdvPTimes" w:hAnsi="AdvPTimes" w:cs="AdvPTimes"/>
          <w:color w:val="000000"/>
          <w:sz w:val="34"/>
          <w:szCs w:val="34"/>
        </w:rPr>
        <w:t>level of the parents, highest parental occupational</w:t>
      </w:r>
    </w:p>
    <w:p w14:paraId="29F99A87" w14:textId="390A7B8D" w:rsidR="00CB5B1C" w:rsidRPr="00713289" w:rsidRDefault="00306B4E" w:rsidP="00306B4E">
      <w:pPr>
        <w:jc w:val="right"/>
        <w:rPr>
          <w:rFonts w:ascii="AdvPTimes" w:hAnsi="AdvPTimes" w:cs="AdvPTimes"/>
          <w:color w:val="000000"/>
          <w:sz w:val="34"/>
          <w:szCs w:val="34"/>
        </w:rPr>
      </w:pPr>
      <w:r w:rsidRPr="00713289">
        <w:rPr>
          <w:rFonts w:ascii="AdvPTimes" w:hAnsi="AdvPTimes" w:cs="AdvPTimes"/>
          <w:color w:val="000000"/>
          <w:sz w:val="34"/>
          <w:szCs w:val="34"/>
        </w:rPr>
        <w:t xml:space="preserve">status, and household possessions (OECD </w:t>
      </w:r>
      <w:r w:rsidRPr="00713289">
        <w:rPr>
          <w:rFonts w:ascii="AdvPTimes" w:hAnsi="AdvPTimes" w:cs="AdvPTimes"/>
          <w:color w:val="0000FF"/>
          <w:sz w:val="34"/>
          <w:szCs w:val="34"/>
        </w:rPr>
        <w:t>2014b</w:t>
      </w:r>
      <w:r w:rsidRPr="00713289">
        <w:rPr>
          <w:rFonts w:ascii="AdvPTimes" w:hAnsi="AdvPTimes" w:cs="AdvPTimes"/>
          <w:color w:val="000000"/>
          <w:sz w:val="34"/>
          <w:szCs w:val="34"/>
        </w:rPr>
        <w:t>).</w:t>
      </w:r>
    </w:p>
    <w:p w14:paraId="6232A411" w14:textId="0BF06E6B" w:rsidR="00306B4E" w:rsidRDefault="00306B4E" w:rsidP="00306B4E">
      <w:pPr>
        <w:jc w:val="right"/>
        <w:rPr>
          <w:rFonts w:ascii="AdvPTimes" w:hAnsi="AdvPTimes" w:cs="AdvPTimes"/>
          <w:color w:val="000000"/>
          <w:sz w:val="20"/>
          <w:szCs w:val="20"/>
        </w:rPr>
      </w:pPr>
    </w:p>
    <w:p w14:paraId="3F6D5AF4" w14:textId="77777777" w:rsidR="00306B4E" w:rsidRPr="00306B4E" w:rsidRDefault="00306B4E" w:rsidP="00306B4E">
      <w:pPr>
        <w:autoSpaceDE w:val="0"/>
        <w:autoSpaceDN w:val="0"/>
        <w:bidi w:val="0"/>
        <w:adjustRightInd w:val="0"/>
        <w:spacing w:after="0" w:line="240" w:lineRule="auto"/>
        <w:rPr>
          <w:rFonts w:ascii="Segoe UI" w:hAnsi="Segoe UI" w:cs="Segoe UI"/>
          <w:color w:val="000000"/>
          <w:sz w:val="24"/>
          <w:szCs w:val="24"/>
        </w:rPr>
      </w:pPr>
    </w:p>
    <w:p w14:paraId="21C8C861" w14:textId="61470EFE" w:rsidR="00306B4E" w:rsidRPr="00306B4E" w:rsidRDefault="00306B4E" w:rsidP="00306B4E">
      <w:pPr>
        <w:jc w:val="right"/>
        <w:rPr>
          <w:rFonts w:ascii="AdvPTimes" w:hAnsi="AdvPTimes" w:cs="AdvPTimes"/>
          <w:b/>
          <w:bCs/>
          <w:color w:val="000000"/>
          <w:sz w:val="20"/>
          <w:szCs w:val="20"/>
        </w:rPr>
      </w:pPr>
      <w:r w:rsidRPr="00306B4E">
        <w:rPr>
          <w:rFonts w:ascii="Segoe UI" w:hAnsi="Segoe UI" w:cs="Segoe UI"/>
          <w:b/>
          <w:bCs/>
          <w:color w:val="000000"/>
          <w:sz w:val="24"/>
          <w:szCs w:val="24"/>
        </w:rPr>
        <w:t xml:space="preserve"> </w:t>
      </w:r>
      <w:r w:rsidRPr="00306B4E">
        <w:rPr>
          <w:rFonts w:ascii="Segoe UI" w:hAnsi="Segoe UI" w:cs="Segoe UI"/>
          <w:b/>
          <w:bCs/>
          <w:color w:val="000000"/>
        </w:rPr>
        <w:t xml:space="preserve">Bryce Odell </w:t>
      </w:r>
      <w:r w:rsidRPr="00306B4E">
        <w:rPr>
          <w:rFonts w:ascii="Segoe UI" w:hAnsi="Segoe UI" w:cs="Segoe UI"/>
          <w:b/>
          <w:bCs/>
          <w:color w:val="000000"/>
          <w:sz w:val="14"/>
          <w:szCs w:val="14"/>
        </w:rPr>
        <w:t>1</w:t>
      </w:r>
      <w:r w:rsidRPr="00306B4E">
        <w:rPr>
          <w:rFonts w:ascii="Segoe UI" w:hAnsi="Segoe UI" w:cs="Segoe UI"/>
          <w:b/>
          <w:bCs/>
          <w:color w:val="000000"/>
        </w:rPr>
        <w:t xml:space="preserve">, Adam M. </w:t>
      </w:r>
      <w:proofErr w:type="spellStart"/>
      <w:r w:rsidRPr="00306B4E">
        <w:rPr>
          <w:rFonts w:ascii="Segoe UI" w:hAnsi="Segoe UI" w:cs="Segoe UI"/>
          <w:b/>
          <w:bCs/>
          <w:color w:val="000000"/>
        </w:rPr>
        <w:t>Galovan</w:t>
      </w:r>
      <w:proofErr w:type="spellEnd"/>
      <w:r w:rsidRPr="00306B4E">
        <w:rPr>
          <w:rFonts w:ascii="Segoe UI" w:hAnsi="Segoe UI" w:cs="Segoe UI"/>
          <w:b/>
          <w:bCs/>
          <w:color w:val="000000"/>
        </w:rPr>
        <w:t xml:space="preserve"> </w:t>
      </w:r>
      <w:r w:rsidRPr="00306B4E">
        <w:rPr>
          <w:rFonts w:ascii="Segoe UI" w:hAnsi="Segoe UI" w:cs="Segoe UI"/>
          <w:b/>
          <w:bCs/>
          <w:color w:val="000000"/>
          <w:sz w:val="14"/>
          <w:szCs w:val="14"/>
        </w:rPr>
        <w:t>1</w:t>
      </w:r>
      <w:r w:rsidRPr="00306B4E">
        <w:rPr>
          <w:rFonts w:ascii="Segoe UI" w:hAnsi="Segoe UI" w:cs="Segoe UI"/>
          <w:b/>
          <w:bCs/>
          <w:color w:val="000000"/>
        </w:rPr>
        <w:t xml:space="preserve">, Maria </w:t>
      </w:r>
      <w:proofErr w:type="spellStart"/>
      <w:r w:rsidRPr="00306B4E">
        <w:rPr>
          <w:rFonts w:ascii="Segoe UI" w:hAnsi="Segoe UI" w:cs="Segoe UI"/>
          <w:b/>
          <w:bCs/>
          <w:color w:val="000000"/>
        </w:rPr>
        <w:t>Cutumisu</w:t>
      </w:r>
      <w:proofErr w:type="spellEnd"/>
    </w:p>
    <w:p w14:paraId="1318CC30" w14:textId="7E1703A1" w:rsidR="00306B4E" w:rsidRDefault="00306B4E" w:rsidP="00306B4E">
      <w:pPr>
        <w:jc w:val="right"/>
        <w:rPr>
          <w:sz w:val="20"/>
          <w:szCs w:val="20"/>
        </w:rPr>
      </w:pPr>
      <w:r>
        <w:rPr>
          <w:b/>
          <w:bCs/>
          <w:sz w:val="20"/>
          <w:szCs w:val="20"/>
        </w:rPr>
        <w:t xml:space="preserve">Economic, Social, and Cultural Status (ESCS). </w:t>
      </w:r>
      <w:r>
        <w:rPr>
          <w:sz w:val="20"/>
          <w:szCs w:val="20"/>
        </w:rPr>
        <w:t xml:space="preserve">This measurement is constructed by PISA using principal component analysis (PCA) from several other items throughout the survey (OECD, 2017b). The components are parental education (PARED), highest parental occupation (HISEI), and home possessions (HOMEPOS). PARED asks students if their parents have no education, primary education, lower secondary education, vocational/pre-vocational upper secondary, general upper secondary, non-tertiary post-secondary, vocational tertiary, or theoretically-oriented tertiary and post-graduate. HISEI asks the students an </w:t>
      </w:r>
      <w:proofErr w:type="gramStart"/>
      <w:r>
        <w:rPr>
          <w:sz w:val="20"/>
          <w:szCs w:val="20"/>
        </w:rPr>
        <w:t>open ended</w:t>
      </w:r>
      <w:proofErr w:type="gramEnd"/>
      <w:r>
        <w:rPr>
          <w:sz w:val="20"/>
          <w:szCs w:val="20"/>
        </w:rPr>
        <w:t xml:space="preserve"> question of both their parents’ employment. The responses were interpreted and coded as a </w:t>
      </w:r>
      <w:proofErr w:type="gramStart"/>
      <w:r>
        <w:rPr>
          <w:sz w:val="20"/>
          <w:szCs w:val="20"/>
        </w:rPr>
        <w:t>four digit</w:t>
      </w:r>
      <w:proofErr w:type="gramEnd"/>
      <w:r>
        <w:rPr>
          <w:sz w:val="20"/>
          <w:szCs w:val="20"/>
        </w:rPr>
        <w:t xml:space="preserve"> code to enable cross cultural comparisons. The HOMEPOS variable was comprised of 16 questions that asked about the amount and types of items in each student’s home. These three combined variables allow researchers to make an inference to family income or wealth. The ESCS scores are standardized for a standard deviation of one and so that a value of zero represents the overall OECD average. In Bulgaria, the mean ESCS is -.06 with a standard deviation of .98. In Finland, the mean ESCS is .26 with a standard deviation of .75. This measure will be used as an indicator of student SES in the current study.</w:t>
      </w:r>
    </w:p>
    <w:p w14:paraId="53F34421" w14:textId="2496B45C" w:rsidR="00306B4E" w:rsidRDefault="00306B4E" w:rsidP="00306B4E">
      <w:pPr>
        <w:jc w:val="right"/>
        <w:rPr>
          <w:sz w:val="20"/>
          <w:szCs w:val="20"/>
        </w:rPr>
      </w:pPr>
    </w:p>
    <w:p w14:paraId="4491F37B" w14:textId="7D388457" w:rsidR="00306B4E" w:rsidRPr="00306B4E" w:rsidRDefault="00306B4E" w:rsidP="00306B4E">
      <w:pPr>
        <w:jc w:val="right"/>
        <w:rPr>
          <w:b/>
          <w:bCs/>
          <w:sz w:val="20"/>
          <w:szCs w:val="20"/>
        </w:rPr>
      </w:pPr>
      <w:r w:rsidRPr="00306B4E">
        <w:rPr>
          <w:rFonts w:ascii="Plantin" w:hAnsi="Plantin" w:cs="Plantin"/>
          <w:b/>
          <w:bCs/>
          <w:sz w:val="20"/>
          <w:szCs w:val="20"/>
        </w:rPr>
        <w:t>Federico Biagi &amp; Massimo Loi</w:t>
      </w:r>
    </w:p>
    <w:p w14:paraId="521505CF" w14:textId="06131198" w:rsidR="00306B4E" w:rsidRDefault="00306B4E" w:rsidP="00306B4E">
      <w:pPr>
        <w:autoSpaceDE w:val="0"/>
        <w:autoSpaceDN w:val="0"/>
        <w:bidi w:val="0"/>
        <w:adjustRightInd w:val="0"/>
        <w:spacing w:after="0" w:line="240" w:lineRule="auto"/>
        <w:rPr>
          <w:rFonts w:ascii="Plantin" w:hAnsi="Plantin" w:cs="Plantin"/>
          <w:sz w:val="20"/>
          <w:szCs w:val="20"/>
        </w:rPr>
      </w:pPr>
      <w:r>
        <w:rPr>
          <w:rFonts w:ascii="Plantin" w:hAnsi="Plantin" w:cs="Plantin"/>
          <w:sz w:val="20"/>
          <w:szCs w:val="20"/>
        </w:rPr>
        <w:t>the following</w:t>
      </w:r>
      <w:r>
        <w:rPr>
          <w:rFonts w:ascii="Plantin" w:hAnsi="Plantin" w:cs="Plantin"/>
          <w:sz w:val="20"/>
          <w:szCs w:val="20"/>
        </w:rPr>
        <w:t xml:space="preserve"> </w:t>
      </w:r>
      <w:r>
        <w:rPr>
          <w:rFonts w:ascii="Plantin" w:hAnsi="Plantin" w:cs="Plantin"/>
          <w:sz w:val="20"/>
          <w:szCs w:val="20"/>
        </w:rPr>
        <w:t xml:space="preserve">variables were used as controls in the basic model: grade, gender, </w:t>
      </w:r>
      <w:proofErr w:type="gramStart"/>
      <w:r>
        <w:rPr>
          <w:rFonts w:ascii="Plantin" w:hAnsi="Plantin" w:cs="Plantin"/>
          <w:sz w:val="20"/>
          <w:szCs w:val="20"/>
        </w:rPr>
        <w:t>household’s</w:t>
      </w:r>
      <w:proofErr w:type="gramEnd"/>
    </w:p>
    <w:p w14:paraId="0B8CBCC8" w14:textId="77777777" w:rsidR="00306B4E" w:rsidRDefault="00306B4E" w:rsidP="00306B4E">
      <w:pPr>
        <w:autoSpaceDE w:val="0"/>
        <w:autoSpaceDN w:val="0"/>
        <w:bidi w:val="0"/>
        <w:adjustRightInd w:val="0"/>
        <w:spacing w:after="0" w:line="240" w:lineRule="auto"/>
        <w:rPr>
          <w:rFonts w:ascii="Plantin" w:hAnsi="Plantin" w:cs="Plantin"/>
          <w:sz w:val="20"/>
          <w:szCs w:val="20"/>
        </w:rPr>
      </w:pPr>
      <w:r>
        <w:rPr>
          <w:rFonts w:ascii="Plantin" w:hAnsi="Plantin" w:cs="Plantin"/>
          <w:sz w:val="20"/>
          <w:szCs w:val="20"/>
        </w:rPr>
        <w:t xml:space="preserve">socio-economic status (an index created by the OECD capturing both </w:t>
      </w:r>
      <w:proofErr w:type="spellStart"/>
      <w:r>
        <w:rPr>
          <w:rFonts w:ascii="Plantin" w:hAnsi="Plantin" w:cs="Plantin"/>
          <w:sz w:val="20"/>
          <w:szCs w:val="20"/>
        </w:rPr>
        <w:t>incomeand</w:t>
      </w:r>
      <w:proofErr w:type="spellEnd"/>
    </w:p>
    <w:p w14:paraId="3132EB52" w14:textId="77777777" w:rsidR="00306B4E" w:rsidRDefault="00306B4E" w:rsidP="00306B4E">
      <w:pPr>
        <w:autoSpaceDE w:val="0"/>
        <w:autoSpaceDN w:val="0"/>
        <w:bidi w:val="0"/>
        <w:adjustRightInd w:val="0"/>
        <w:spacing w:after="0" w:line="240" w:lineRule="auto"/>
        <w:rPr>
          <w:rFonts w:ascii="Plantin" w:hAnsi="Plantin" w:cs="Plantin"/>
          <w:sz w:val="20"/>
          <w:szCs w:val="20"/>
        </w:rPr>
      </w:pPr>
      <w:r>
        <w:rPr>
          <w:rFonts w:ascii="Plantin" w:hAnsi="Plantin" w:cs="Plantin"/>
          <w:sz w:val="20"/>
          <w:szCs w:val="20"/>
        </w:rPr>
        <w:t>education-related household variables), a dummy variable for student’s migration</w:t>
      </w:r>
    </w:p>
    <w:p w14:paraId="53A37D91" w14:textId="097A7824" w:rsidR="00306B4E" w:rsidRDefault="00306B4E" w:rsidP="00306B4E">
      <w:pPr>
        <w:jc w:val="right"/>
      </w:pPr>
      <w:r>
        <w:rPr>
          <w:rFonts w:ascii="Plantin" w:hAnsi="Plantin" w:cs="Plantin"/>
          <w:sz w:val="20"/>
          <w:szCs w:val="20"/>
        </w:rPr>
        <w:t>background,</w:t>
      </w:r>
    </w:p>
    <w:sectPr w:rsidR="00306B4E" w:rsidSect="002D174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dvPTimesB">
    <w:altName w:val="Cambria"/>
    <w:panose1 w:val="00000000000000000000"/>
    <w:charset w:val="00"/>
    <w:family w:val="roman"/>
    <w:notTrueType/>
    <w:pitch w:val="default"/>
    <w:sig w:usb0="00000003" w:usb1="00000000" w:usb2="00000000" w:usb3="00000000" w:csb0="00000001" w:csb1="00000000"/>
  </w:font>
  <w:font w:name="AdvNPSTim-B">
    <w:altName w:val="Arial"/>
    <w:panose1 w:val="00000000000000000000"/>
    <w:charset w:val="B2"/>
    <w:family w:val="auto"/>
    <w:notTrueType/>
    <w:pitch w:val="default"/>
    <w:sig w:usb0="00002001" w:usb1="00000000" w:usb2="00000000" w:usb3="00000000" w:csb0="00000040" w:csb1="00000000"/>
  </w:font>
  <w:font w:name="AdvPTimesI">
    <w:altName w:val="Cambria"/>
    <w:panose1 w:val="00000000000000000000"/>
    <w:charset w:val="00"/>
    <w:family w:val="roman"/>
    <w:notTrueType/>
    <w:pitch w:val="default"/>
    <w:sig w:usb0="00000003" w:usb1="00000000" w:usb2="00000000" w:usb3="00000000" w:csb0="00000001" w:csb1="00000000"/>
  </w:font>
  <w:font w:name="AdvPTimes">
    <w:altName w:val="Cambria"/>
    <w:panose1 w:val="00000000000000000000"/>
    <w:charset w:val="00"/>
    <w:family w:val="roman"/>
    <w:notTrueType/>
    <w:pitch w:val="default"/>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Planti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A2"/>
    <w:rsid w:val="000128A6"/>
    <w:rsid w:val="00015951"/>
    <w:rsid w:val="00016C26"/>
    <w:rsid w:val="00025214"/>
    <w:rsid w:val="00031568"/>
    <w:rsid w:val="00031FA5"/>
    <w:rsid w:val="00034A8E"/>
    <w:rsid w:val="00034B89"/>
    <w:rsid w:val="0003716F"/>
    <w:rsid w:val="0004305C"/>
    <w:rsid w:val="00051D7E"/>
    <w:rsid w:val="00052671"/>
    <w:rsid w:val="00053C67"/>
    <w:rsid w:val="00067160"/>
    <w:rsid w:val="00073C4F"/>
    <w:rsid w:val="00073EB0"/>
    <w:rsid w:val="000801CA"/>
    <w:rsid w:val="00081A11"/>
    <w:rsid w:val="00083D4C"/>
    <w:rsid w:val="00085D9B"/>
    <w:rsid w:val="00086E2C"/>
    <w:rsid w:val="000903A0"/>
    <w:rsid w:val="000930EC"/>
    <w:rsid w:val="00097BB4"/>
    <w:rsid w:val="000B2737"/>
    <w:rsid w:val="000B29DC"/>
    <w:rsid w:val="000B49DD"/>
    <w:rsid w:val="000B4D52"/>
    <w:rsid w:val="000B7004"/>
    <w:rsid w:val="000C7FAF"/>
    <w:rsid w:val="000D06B2"/>
    <w:rsid w:val="000D3AD4"/>
    <w:rsid w:val="000D3C83"/>
    <w:rsid w:val="000D6617"/>
    <w:rsid w:val="001070B3"/>
    <w:rsid w:val="00111D8D"/>
    <w:rsid w:val="00114218"/>
    <w:rsid w:val="0012443B"/>
    <w:rsid w:val="00125455"/>
    <w:rsid w:val="00137026"/>
    <w:rsid w:val="00145A06"/>
    <w:rsid w:val="001579BA"/>
    <w:rsid w:val="00167083"/>
    <w:rsid w:val="00197A7C"/>
    <w:rsid w:val="001A054B"/>
    <w:rsid w:val="001A55D8"/>
    <w:rsid w:val="001B3E4E"/>
    <w:rsid w:val="001B50C9"/>
    <w:rsid w:val="001B65DD"/>
    <w:rsid w:val="001B7A4D"/>
    <w:rsid w:val="001C5A94"/>
    <w:rsid w:val="001C5B69"/>
    <w:rsid w:val="001D0A55"/>
    <w:rsid w:val="001D36B0"/>
    <w:rsid w:val="001D5E0B"/>
    <w:rsid w:val="001D6AAE"/>
    <w:rsid w:val="001E7A3C"/>
    <w:rsid w:val="001F10C4"/>
    <w:rsid w:val="001F1726"/>
    <w:rsid w:val="001F779E"/>
    <w:rsid w:val="00200B92"/>
    <w:rsid w:val="00204313"/>
    <w:rsid w:val="00210B73"/>
    <w:rsid w:val="00212E3F"/>
    <w:rsid w:val="00227FB4"/>
    <w:rsid w:val="00233C28"/>
    <w:rsid w:val="00233D4D"/>
    <w:rsid w:val="00241998"/>
    <w:rsid w:val="0025156B"/>
    <w:rsid w:val="002521B1"/>
    <w:rsid w:val="002522B0"/>
    <w:rsid w:val="00254072"/>
    <w:rsid w:val="002616E3"/>
    <w:rsid w:val="00275AD7"/>
    <w:rsid w:val="002828AF"/>
    <w:rsid w:val="00283FD9"/>
    <w:rsid w:val="00285920"/>
    <w:rsid w:val="00287B27"/>
    <w:rsid w:val="00291667"/>
    <w:rsid w:val="00294595"/>
    <w:rsid w:val="00297060"/>
    <w:rsid w:val="002A06AF"/>
    <w:rsid w:val="002A0CFE"/>
    <w:rsid w:val="002A4C02"/>
    <w:rsid w:val="002A5C61"/>
    <w:rsid w:val="002A5DAD"/>
    <w:rsid w:val="002B55E3"/>
    <w:rsid w:val="002B7645"/>
    <w:rsid w:val="002C5D5B"/>
    <w:rsid w:val="002D08C7"/>
    <w:rsid w:val="002D0D6F"/>
    <w:rsid w:val="002D174A"/>
    <w:rsid w:val="002D715E"/>
    <w:rsid w:val="002E14FD"/>
    <w:rsid w:val="00304C97"/>
    <w:rsid w:val="00305E21"/>
    <w:rsid w:val="00306B4E"/>
    <w:rsid w:val="00310BA7"/>
    <w:rsid w:val="00311814"/>
    <w:rsid w:val="0031277B"/>
    <w:rsid w:val="003214B0"/>
    <w:rsid w:val="00330490"/>
    <w:rsid w:val="003374D6"/>
    <w:rsid w:val="003421AC"/>
    <w:rsid w:val="0034454B"/>
    <w:rsid w:val="003507FE"/>
    <w:rsid w:val="00351DD0"/>
    <w:rsid w:val="00364766"/>
    <w:rsid w:val="0036581A"/>
    <w:rsid w:val="003724DD"/>
    <w:rsid w:val="0037531B"/>
    <w:rsid w:val="003A036A"/>
    <w:rsid w:val="003B251F"/>
    <w:rsid w:val="003B3342"/>
    <w:rsid w:val="003B4BC1"/>
    <w:rsid w:val="003B7861"/>
    <w:rsid w:val="003C29AB"/>
    <w:rsid w:val="003C6448"/>
    <w:rsid w:val="003D161E"/>
    <w:rsid w:val="003D337B"/>
    <w:rsid w:val="003D3E72"/>
    <w:rsid w:val="003E24D9"/>
    <w:rsid w:val="003F6240"/>
    <w:rsid w:val="003F7822"/>
    <w:rsid w:val="00402626"/>
    <w:rsid w:val="00406501"/>
    <w:rsid w:val="00425F47"/>
    <w:rsid w:val="00435D15"/>
    <w:rsid w:val="00435E4A"/>
    <w:rsid w:val="00436ED0"/>
    <w:rsid w:val="00443C6A"/>
    <w:rsid w:val="00451432"/>
    <w:rsid w:val="00452B41"/>
    <w:rsid w:val="004533CF"/>
    <w:rsid w:val="0046242A"/>
    <w:rsid w:val="00470676"/>
    <w:rsid w:val="00473D41"/>
    <w:rsid w:val="00475A93"/>
    <w:rsid w:val="00477162"/>
    <w:rsid w:val="004843C6"/>
    <w:rsid w:val="00485F13"/>
    <w:rsid w:val="00492A42"/>
    <w:rsid w:val="00493B44"/>
    <w:rsid w:val="004A3B8D"/>
    <w:rsid w:val="004B3409"/>
    <w:rsid w:val="004C77D0"/>
    <w:rsid w:val="004C7CD9"/>
    <w:rsid w:val="004C7EB8"/>
    <w:rsid w:val="004D15EF"/>
    <w:rsid w:val="004D3715"/>
    <w:rsid w:val="004F05A1"/>
    <w:rsid w:val="004F564C"/>
    <w:rsid w:val="00510C95"/>
    <w:rsid w:val="00517138"/>
    <w:rsid w:val="00517CE6"/>
    <w:rsid w:val="00522767"/>
    <w:rsid w:val="005233FC"/>
    <w:rsid w:val="0052589A"/>
    <w:rsid w:val="00525E45"/>
    <w:rsid w:val="005416B3"/>
    <w:rsid w:val="0054596B"/>
    <w:rsid w:val="005479D8"/>
    <w:rsid w:val="005573DA"/>
    <w:rsid w:val="00562AD7"/>
    <w:rsid w:val="0056308C"/>
    <w:rsid w:val="00565029"/>
    <w:rsid w:val="00565A65"/>
    <w:rsid w:val="00567605"/>
    <w:rsid w:val="00572B4A"/>
    <w:rsid w:val="00586D84"/>
    <w:rsid w:val="00594F27"/>
    <w:rsid w:val="005A1944"/>
    <w:rsid w:val="005A2450"/>
    <w:rsid w:val="005A5C1D"/>
    <w:rsid w:val="005A6D33"/>
    <w:rsid w:val="005A7E65"/>
    <w:rsid w:val="005B1F9E"/>
    <w:rsid w:val="005B55E6"/>
    <w:rsid w:val="005C5893"/>
    <w:rsid w:val="005C69A2"/>
    <w:rsid w:val="005D07F6"/>
    <w:rsid w:val="005F22CD"/>
    <w:rsid w:val="0060124E"/>
    <w:rsid w:val="00601CC1"/>
    <w:rsid w:val="00606F42"/>
    <w:rsid w:val="00610B4A"/>
    <w:rsid w:val="00615D79"/>
    <w:rsid w:val="006165A5"/>
    <w:rsid w:val="0061676E"/>
    <w:rsid w:val="00617C47"/>
    <w:rsid w:val="00624B25"/>
    <w:rsid w:val="006324C7"/>
    <w:rsid w:val="00634170"/>
    <w:rsid w:val="00653466"/>
    <w:rsid w:val="00663E12"/>
    <w:rsid w:val="00671D5E"/>
    <w:rsid w:val="0067211C"/>
    <w:rsid w:val="00677869"/>
    <w:rsid w:val="00680D6E"/>
    <w:rsid w:val="00681AC4"/>
    <w:rsid w:val="006964D9"/>
    <w:rsid w:val="00697188"/>
    <w:rsid w:val="006979C1"/>
    <w:rsid w:val="006A4AF0"/>
    <w:rsid w:val="006B18BC"/>
    <w:rsid w:val="006B678F"/>
    <w:rsid w:val="006C45A9"/>
    <w:rsid w:val="006C6397"/>
    <w:rsid w:val="006C6998"/>
    <w:rsid w:val="006C7D0A"/>
    <w:rsid w:val="006D0D81"/>
    <w:rsid w:val="006D104C"/>
    <w:rsid w:val="006E5502"/>
    <w:rsid w:val="006E6A44"/>
    <w:rsid w:val="006F23EA"/>
    <w:rsid w:val="006F37A4"/>
    <w:rsid w:val="00700BE8"/>
    <w:rsid w:val="007051CB"/>
    <w:rsid w:val="00706D8C"/>
    <w:rsid w:val="00713289"/>
    <w:rsid w:val="007142C6"/>
    <w:rsid w:val="00720B30"/>
    <w:rsid w:val="00722AA0"/>
    <w:rsid w:val="00740557"/>
    <w:rsid w:val="007433F7"/>
    <w:rsid w:val="00745EF0"/>
    <w:rsid w:val="00750EF6"/>
    <w:rsid w:val="007525C5"/>
    <w:rsid w:val="007623C9"/>
    <w:rsid w:val="00765089"/>
    <w:rsid w:val="00773D75"/>
    <w:rsid w:val="00781817"/>
    <w:rsid w:val="00781A07"/>
    <w:rsid w:val="0078441A"/>
    <w:rsid w:val="00793F28"/>
    <w:rsid w:val="007A06EA"/>
    <w:rsid w:val="007A0F20"/>
    <w:rsid w:val="007A5766"/>
    <w:rsid w:val="007A6FC6"/>
    <w:rsid w:val="007B19F8"/>
    <w:rsid w:val="007C450D"/>
    <w:rsid w:val="007C62FF"/>
    <w:rsid w:val="007E18C1"/>
    <w:rsid w:val="007E6846"/>
    <w:rsid w:val="007F1531"/>
    <w:rsid w:val="007F708F"/>
    <w:rsid w:val="007F7743"/>
    <w:rsid w:val="00800B2F"/>
    <w:rsid w:val="00801DC4"/>
    <w:rsid w:val="00802643"/>
    <w:rsid w:val="0080318A"/>
    <w:rsid w:val="00805975"/>
    <w:rsid w:val="0080612F"/>
    <w:rsid w:val="008076E9"/>
    <w:rsid w:val="00807A2D"/>
    <w:rsid w:val="00812E4A"/>
    <w:rsid w:val="008252AC"/>
    <w:rsid w:val="00825930"/>
    <w:rsid w:val="0083031E"/>
    <w:rsid w:val="00837CC1"/>
    <w:rsid w:val="00840763"/>
    <w:rsid w:val="00842A43"/>
    <w:rsid w:val="00843470"/>
    <w:rsid w:val="00852EF7"/>
    <w:rsid w:val="00854164"/>
    <w:rsid w:val="0085449F"/>
    <w:rsid w:val="008652C0"/>
    <w:rsid w:val="00866EA9"/>
    <w:rsid w:val="00867401"/>
    <w:rsid w:val="008708D2"/>
    <w:rsid w:val="00871FC2"/>
    <w:rsid w:val="008756A9"/>
    <w:rsid w:val="0087631A"/>
    <w:rsid w:val="00877993"/>
    <w:rsid w:val="008800A1"/>
    <w:rsid w:val="00880771"/>
    <w:rsid w:val="008840C2"/>
    <w:rsid w:val="00891519"/>
    <w:rsid w:val="00891836"/>
    <w:rsid w:val="008A30B9"/>
    <w:rsid w:val="008A55B3"/>
    <w:rsid w:val="008A73FD"/>
    <w:rsid w:val="008D19B3"/>
    <w:rsid w:val="008E212A"/>
    <w:rsid w:val="008F7D9F"/>
    <w:rsid w:val="00901A2C"/>
    <w:rsid w:val="00907F1A"/>
    <w:rsid w:val="0091303A"/>
    <w:rsid w:val="009167CB"/>
    <w:rsid w:val="0092101C"/>
    <w:rsid w:val="00922B1F"/>
    <w:rsid w:val="00922CC7"/>
    <w:rsid w:val="00925A8B"/>
    <w:rsid w:val="00926255"/>
    <w:rsid w:val="0093122C"/>
    <w:rsid w:val="00935550"/>
    <w:rsid w:val="00936DDC"/>
    <w:rsid w:val="00942FEA"/>
    <w:rsid w:val="00947653"/>
    <w:rsid w:val="009551A3"/>
    <w:rsid w:val="00960EB4"/>
    <w:rsid w:val="0096121A"/>
    <w:rsid w:val="00963FF4"/>
    <w:rsid w:val="009660D1"/>
    <w:rsid w:val="00973F4B"/>
    <w:rsid w:val="00983D89"/>
    <w:rsid w:val="009843DA"/>
    <w:rsid w:val="009A1F86"/>
    <w:rsid w:val="009B49BB"/>
    <w:rsid w:val="009B6D69"/>
    <w:rsid w:val="009B7ADB"/>
    <w:rsid w:val="009C646D"/>
    <w:rsid w:val="009C65EF"/>
    <w:rsid w:val="009D1294"/>
    <w:rsid w:val="009D4B3A"/>
    <w:rsid w:val="009E378A"/>
    <w:rsid w:val="009E6A42"/>
    <w:rsid w:val="009F0D63"/>
    <w:rsid w:val="009F3408"/>
    <w:rsid w:val="009F5DAB"/>
    <w:rsid w:val="009F7922"/>
    <w:rsid w:val="00A00F6C"/>
    <w:rsid w:val="00A12777"/>
    <w:rsid w:val="00A171B2"/>
    <w:rsid w:val="00A23C3B"/>
    <w:rsid w:val="00A32BB7"/>
    <w:rsid w:val="00A3380E"/>
    <w:rsid w:val="00A37A3D"/>
    <w:rsid w:val="00A413D8"/>
    <w:rsid w:val="00A8178E"/>
    <w:rsid w:val="00A83E96"/>
    <w:rsid w:val="00A8410B"/>
    <w:rsid w:val="00A87BC1"/>
    <w:rsid w:val="00A90E64"/>
    <w:rsid w:val="00A919C5"/>
    <w:rsid w:val="00A92388"/>
    <w:rsid w:val="00A92646"/>
    <w:rsid w:val="00A944AE"/>
    <w:rsid w:val="00A9723D"/>
    <w:rsid w:val="00A97CA2"/>
    <w:rsid w:val="00AA2608"/>
    <w:rsid w:val="00AB5040"/>
    <w:rsid w:val="00AD2704"/>
    <w:rsid w:val="00AD50E2"/>
    <w:rsid w:val="00AE112F"/>
    <w:rsid w:val="00AE33BF"/>
    <w:rsid w:val="00AE6704"/>
    <w:rsid w:val="00AF1C63"/>
    <w:rsid w:val="00AF216D"/>
    <w:rsid w:val="00AF2523"/>
    <w:rsid w:val="00B06DF7"/>
    <w:rsid w:val="00B13695"/>
    <w:rsid w:val="00B20FD4"/>
    <w:rsid w:val="00B235BE"/>
    <w:rsid w:val="00B24734"/>
    <w:rsid w:val="00B338B3"/>
    <w:rsid w:val="00B3552F"/>
    <w:rsid w:val="00B40846"/>
    <w:rsid w:val="00B43EF1"/>
    <w:rsid w:val="00B44C06"/>
    <w:rsid w:val="00B56452"/>
    <w:rsid w:val="00B60F80"/>
    <w:rsid w:val="00B62242"/>
    <w:rsid w:val="00B65D87"/>
    <w:rsid w:val="00B70817"/>
    <w:rsid w:val="00B71AE6"/>
    <w:rsid w:val="00B72DFA"/>
    <w:rsid w:val="00B73886"/>
    <w:rsid w:val="00B931B3"/>
    <w:rsid w:val="00B97A67"/>
    <w:rsid w:val="00BA30C7"/>
    <w:rsid w:val="00BA77DB"/>
    <w:rsid w:val="00BB5401"/>
    <w:rsid w:val="00BC0621"/>
    <w:rsid w:val="00BD0537"/>
    <w:rsid w:val="00BD1ED1"/>
    <w:rsid w:val="00BE14A4"/>
    <w:rsid w:val="00BE3D10"/>
    <w:rsid w:val="00BE66E7"/>
    <w:rsid w:val="00BF5733"/>
    <w:rsid w:val="00C07384"/>
    <w:rsid w:val="00C078C0"/>
    <w:rsid w:val="00C220C6"/>
    <w:rsid w:val="00C22A65"/>
    <w:rsid w:val="00C26B13"/>
    <w:rsid w:val="00C36135"/>
    <w:rsid w:val="00C42328"/>
    <w:rsid w:val="00C42339"/>
    <w:rsid w:val="00C435D6"/>
    <w:rsid w:val="00C53BC9"/>
    <w:rsid w:val="00C64165"/>
    <w:rsid w:val="00C6706E"/>
    <w:rsid w:val="00C75F63"/>
    <w:rsid w:val="00C7711D"/>
    <w:rsid w:val="00C93AA7"/>
    <w:rsid w:val="00C93B1A"/>
    <w:rsid w:val="00C969EA"/>
    <w:rsid w:val="00CA4B3F"/>
    <w:rsid w:val="00CB117F"/>
    <w:rsid w:val="00CB5B1C"/>
    <w:rsid w:val="00CC0D5D"/>
    <w:rsid w:val="00CC3F68"/>
    <w:rsid w:val="00CC5BED"/>
    <w:rsid w:val="00CD724E"/>
    <w:rsid w:val="00CE107E"/>
    <w:rsid w:val="00CE137F"/>
    <w:rsid w:val="00CE67CE"/>
    <w:rsid w:val="00CF0ACB"/>
    <w:rsid w:val="00CF2D48"/>
    <w:rsid w:val="00CF2FBD"/>
    <w:rsid w:val="00D063D0"/>
    <w:rsid w:val="00D21A6E"/>
    <w:rsid w:val="00D22C79"/>
    <w:rsid w:val="00D32EAD"/>
    <w:rsid w:val="00D54C6F"/>
    <w:rsid w:val="00D66B00"/>
    <w:rsid w:val="00D70FD6"/>
    <w:rsid w:val="00D714EA"/>
    <w:rsid w:val="00D748D0"/>
    <w:rsid w:val="00D86663"/>
    <w:rsid w:val="00D92012"/>
    <w:rsid w:val="00D941A3"/>
    <w:rsid w:val="00D9630F"/>
    <w:rsid w:val="00D97E64"/>
    <w:rsid w:val="00DA2F9C"/>
    <w:rsid w:val="00DB0CC1"/>
    <w:rsid w:val="00DB2D24"/>
    <w:rsid w:val="00DB3419"/>
    <w:rsid w:val="00DB78DA"/>
    <w:rsid w:val="00DB7AEA"/>
    <w:rsid w:val="00DD2041"/>
    <w:rsid w:val="00DE22A4"/>
    <w:rsid w:val="00DE49AA"/>
    <w:rsid w:val="00DE5244"/>
    <w:rsid w:val="00DF1B6A"/>
    <w:rsid w:val="00E07D36"/>
    <w:rsid w:val="00E11375"/>
    <w:rsid w:val="00E15688"/>
    <w:rsid w:val="00E2327B"/>
    <w:rsid w:val="00E36862"/>
    <w:rsid w:val="00E405E1"/>
    <w:rsid w:val="00E432E0"/>
    <w:rsid w:val="00E47C4B"/>
    <w:rsid w:val="00E53CC1"/>
    <w:rsid w:val="00E63A12"/>
    <w:rsid w:val="00E6551D"/>
    <w:rsid w:val="00E70DF1"/>
    <w:rsid w:val="00E84366"/>
    <w:rsid w:val="00EA171A"/>
    <w:rsid w:val="00EA5A55"/>
    <w:rsid w:val="00EA6411"/>
    <w:rsid w:val="00EB4C1C"/>
    <w:rsid w:val="00EB69BA"/>
    <w:rsid w:val="00EC4329"/>
    <w:rsid w:val="00EC665F"/>
    <w:rsid w:val="00EC6BD2"/>
    <w:rsid w:val="00EC7661"/>
    <w:rsid w:val="00ED5335"/>
    <w:rsid w:val="00ED71CB"/>
    <w:rsid w:val="00ED74E6"/>
    <w:rsid w:val="00EE5578"/>
    <w:rsid w:val="00EF3A68"/>
    <w:rsid w:val="00EF57F7"/>
    <w:rsid w:val="00EF72B4"/>
    <w:rsid w:val="00F05FE5"/>
    <w:rsid w:val="00F14E1C"/>
    <w:rsid w:val="00F26BBD"/>
    <w:rsid w:val="00F31376"/>
    <w:rsid w:val="00F31939"/>
    <w:rsid w:val="00F42FA0"/>
    <w:rsid w:val="00F43240"/>
    <w:rsid w:val="00F51184"/>
    <w:rsid w:val="00F55DDB"/>
    <w:rsid w:val="00F55F40"/>
    <w:rsid w:val="00F6426A"/>
    <w:rsid w:val="00F712BF"/>
    <w:rsid w:val="00F724E7"/>
    <w:rsid w:val="00F726DE"/>
    <w:rsid w:val="00F75BD7"/>
    <w:rsid w:val="00F82DA0"/>
    <w:rsid w:val="00F974BA"/>
    <w:rsid w:val="00FA0E0B"/>
    <w:rsid w:val="00FA1AA9"/>
    <w:rsid w:val="00FA2157"/>
    <w:rsid w:val="00FA21F0"/>
    <w:rsid w:val="00FA28CE"/>
    <w:rsid w:val="00FB0BD9"/>
    <w:rsid w:val="00FB6CB3"/>
    <w:rsid w:val="00FC0DC8"/>
    <w:rsid w:val="00FC19B5"/>
    <w:rsid w:val="00FC2F3D"/>
    <w:rsid w:val="00FC6F6C"/>
    <w:rsid w:val="00FC7333"/>
    <w:rsid w:val="00FD5B88"/>
    <w:rsid w:val="00FD7A27"/>
    <w:rsid w:val="00FD7A53"/>
    <w:rsid w:val="00FE185D"/>
    <w:rsid w:val="00FE68C6"/>
    <w:rsid w:val="00FF0FDB"/>
    <w:rsid w:val="00FF2131"/>
    <w:rsid w:val="00FF6ACC"/>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5E64"/>
  <w15:chartTrackingRefBased/>
  <w15:docId w15:val="{E0CC7977-D4FA-491B-BBFA-369753FC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6B4E"/>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MUDAR HUSSIEN</dc:creator>
  <cp:keywords/>
  <dc:description/>
  <cp:lastModifiedBy>MUDAR HUSSIEN</cp:lastModifiedBy>
  <cp:revision>2</cp:revision>
  <dcterms:created xsi:type="dcterms:W3CDTF">2021-05-17T19:23:00Z</dcterms:created>
  <dcterms:modified xsi:type="dcterms:W3CDTF">2021-05-17T20:38:00Z</dcterms:modified>
</cp:coreProperties>
</file>