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49555" w14:textId="65E6189A" w:rsidR="00F553C0" w:rsidRDefault="00F553C0" w:rsidP="00DD418E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  <w:bookmarkStart w:id="0" w:name="_Hlk83052490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Hair et al. (2010) and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Bryne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(2010) </w:t>
      </w:r>
      <w:bookmarkEnd w:id="0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argued that data is considered to be normal if skewness is between </w:t>
      </w:r>
      <w:r>
        <w:rPr>
          <w:rFonts w:ascii="Cambria Math" w:hAnsi="Cambria Math" w:cs="Cambria Math"/>
          <w:color w:val="000000"/>
          <w:sz w:val="19"/>
          <w:szCs w:val="19"/>
          <w:shd w:val="clear" w:color="auto" w:fill="FFFFFF"/>
        </w:rPr>
        <w:t>‐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2 to +2 and kurtosis is between </w:t>
      </w:r>
      <w:r>
        <w:rPr>
          <w:rFonts w:ascii="Cambria Math" w:hAnsi="Cambria Math" w:cs="Cambria Math"/>
          <w:color w:val="000000"/>
          <w:sz w:val="19"/>
          <w:szCs w:val="19"/>
          <w:shd w:val="clear" w:color="auto" w:fill="FFFFFF"/>
        </w:rPr>
        <w:t>‐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7 to +7. More rules of thumb attributable to Kline (2011) are given</w:t>
      </w:r>
    </w:p>
    <w:p w14:paraId="78D0AC97" w14:textId="77777777" w:rsidR="00F553C0" w:rsidRDefault="00F553C0" w:rsidP="00F553C0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</w:p>
    <w:p w14:paraId="7FCAD96B" w14:textId="77777777" w:rsidR="00F553C0" w:rsidRDefault="00F553C0" w:rsidP="00F553C0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</w:p>
    <w:p w14:paraId="72C6049E" w14:textId="787A1D81" w:rsidR="00CB5B1C" w:rsidRDefault="00DD418E" w:rsidP="00F553C0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  <w:r w:rsidRPr="00DD418E">
        <w:rPr>
          <w:rFonts w:ascii="Book Antiqua" w:hAnsi="Book Antiqua" w:cs="Book Antiqua"/>
          <w:color w:val="000000"/>
          <w:sz w:val="20"/>
          <w:szCs w:val="20"/>
        </w:rPr>
        <w:t xml:space="preserve">Skewness and kurtosis were measured and included in Table 3, along with data on missing values. </w:t>
      </w:r>
      <w:r>
        <w:rPr>
          <w:rFonts w:ascii="Book Antiqua" w:hAnsi="Book Antiqua" w:cs="Book Antiqua"/>
          <w:color w:val="000000"/>
          <w:sz w:val="20"/>
          <w:szCs w:val="20"/>
        </w:rPr>
        <w:t xml:space="preserve"> </w:t>
      </w:r>
      <w:r w:rsidRPr="00EC16D6">
        <w:rPr>
          <w:rFonts w:ascii="Book Antiqua" w:hAnsi="Book Antiqua" w:cs="Book Antiqua"/>
          <w:color w:val="000000"/>
          <w:sz w:val="20"/>
          <w:szCs w:val="20"/>
          <w:highlight w:val="yellow"/>
        </w:rPr>
        <w:t xml:space="preserve">Four ICT measures in Finland were beyond the recommended </w:t>
      </w:r>
      <w:bookmarkStart w:id="1" w:name="_Hlk83031175"/>
      <w:r w:rsidRPr="00EC16D6">
        <w:rPr>
          <w:rFonts w:ascii="Book Antiqua" w:hAnsi="Book Antiqua" w:cs="Book Antiqua"/>
          <w:color w:val="000000"/>
          <w:sz w:val="20"/>
          <w:szCs w:val="20"/>
          <w:highlight w:val="yellow"/>
        </w:rPr>
        <w:t>±</w:t>
      </w:r>
      <w:bookmarkEnd w:id="1"/>
      <w:r w:rsidRPr="00EC16D6">
        <w:rPr>
          <w:rFonts w:ascii="Book Antiqua" w:hAnsi="Book Antiqua" w:cs="Book Antiqua"/>
          <w:color w:val="000000"/>
          <w:sz w:val="20"/>
          <w:szCs w:val="20"/>
          <w:highlight w:val="yellow"/>
        </w:rPr>
        <w:t>2 standard deviations cutoff for normality, with only two in Bulgaria (George &amp; Mallery, 2010; Little, 2013).</w:t>
      </w:r>
      <w:r w:rsidRPr="00DD418E">
        <w:rPr>
          <w:rFonts w:ascii="Book Antiqua" w:hAnsi="Book Antiqua" w:cs="Book Antiqua"/>
          <w:color w:val="000000"/>
          <w:sz w:val="20"/>
          <w:szCs w:val="20"/>
        </w:rPr>
        <w:t xml:space="preserve"> Finland’s high kurtosis will be discussed in the </w:t>
      </w:r>
      <w:r w:rsidRPr="00DD418E">
        <w:rPr>
          <w:rFonts w:ascii="Book Antiqua" w:hAnsi="Book Antiqua" w:cs="Book Antiqua"/>
          <w:i/>
          <w:iCs/>
          <w:color w:val="000000"/>
          <w:sz w:val="20"/>
          <w:szCs w:val="20"/>
        </w:rPr>
        <w:t xml:space="preserve">Limitations </w:t>
      </w:r>
      <w:r w:rsidRPr="00DD418E">
        <w:rPr>
          <w:rFonts w:ascii="Book Antiqua" w:hAnsi="Book Antiqua" w:cs="Book Antiqua"/>
          <w:color w:val="000000"/>
          <w:sz w:val="20"/>
          <w:szCs w:val="20"/>
        </w:rPr>
        <w:t>section.</w:t>
      </w:r>
    </w:p>
    <w:p w14:paraId="3FA2825E" w14:textId="58702351" w:rsidR="00383282" w:rsidRDefault="00383282" w:rsidP="00383282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</w:p>
    <w:p w14:paraId="6107CC17" w14:textId="4CC676EA" w:rsidR="00383282" w:rsidRDefault="00383282" w:rsidP="00383282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</w:p>
    <w:p w14:paraId="74CCC972" w14:textId="6F58FD77" w:rsidR="00AB2CD1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</w:p>
    <w:p w14:paraId="2BB9C15A" w14:textId="77777777" w:rsidR="00AB2CD1" w:rsidRPr="00AB2CD1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  <w:r w:rsidRPr="00AB2CD1">
        <w:rPr>
          <w:rFonts w:ascii="Book Antiqua" w:hAnsi="Book Antiqua" w:cs="Book Antiqua"/>
          <w:color w:val="000000"/>
          <w:sz w:val="20"/>
          <w:szCs w:val="20"/>
        </w:rPr>
        <w:t>Inferential statistics</w:t>
      </w:r>
    </w:p>
    <w:p w14:paraId="103B76E9" w14:textId="77777777" w:rsidR="00AB2CD1" w:rsidRPr="00AB2CD1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  <w:r w:rsidRPr="00AB2CD1">
        <w:rPr>
          <w:rFonts w:ascii="Book Antiqua" w:hAnsi="Book Antiqua" w:cs="Book Antiqua"/>
          <w:color w:val="000000"/>
          <w:sz w:val="20"/>
          <w:szCs w:val="20"/>
        </w:rPr>
        <w:t>Univariate population parameters on digitally assessed reading performance and</w:t>
      </w:r>
    </w:p>
    <w:p w14:paraId="544D7A9F" w14:textId="77777777" w:rsidR="00AB2CD1" w:rsidRPr="006A36A5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  <w:highlight w:val="yellow"/>
        </w:rPr>
      </w:pPr>
      <w:r w:rsidRPr="00AB2CD1">
        <w:rPr>
          <w:rFonts w:ascii="Book Antiqua" w:hAnsi="Book Antiqua" w:cs="Book Antiqua"/>
          <w:color w:val="000000"/>
          <w:sz w:val="20"/>
          <w:szCs w:val="20"/>
        </w:rPr>
        <w:t>all ICT measures are presented in Table 1. The s</w:t>
      </w:r>
      <w:r w:rsidRPr="006A36A5">
        <w:rPr>
          <w:rFonts w:ascii="Book Antiqua" w:hAnsi="Book Antiqua" w:cs="Book Antiqua"/>
          <w:color w:val="000000"/>
          <w:sz w:val="20"/>
          <w:szCs w:val="20"/>
          <w:highlight w:val="yellow"/>
        </w:rPr>
        <w:t>tatistics show that the mean digitally</w:t>
      </w:r>
    </w:p>
    <w:p w14:paraId="3B660585" w14:textId="77777777" w:rsidR="00AB2CD1" w:rsidRPr="006A36A5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  <w:highlight w:val="yellow"/>
        </w:rPr>
      </w:pPr>
      <w:r w:rsidRPr="006A36A5">
        <w:rPr>
          <w:rFonts w:ascii="Book Antiqua" w:hAnsi="Book Antiqua" w:cs="Book Antiqua"/>
          <w:color w:val="000000"/>
          <w:sz w:val="20"/>
          <w:szCs w:val="20"/>
          <w:highlight w:val="yellow"/>
        </w:rPr>
        <w:t>assessed reading performance of Dutch students was higher (t (511876) = 35.63,</w:t>
      </w:r>
    </w:p>
    <w:p w14:paraId="53EE9E66" w14:textId="77777777" w:rsidR="00AB2CD1" w:rsidRPr="00AB2CD1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  <w:r w:rsidRPr="006A36A5">
        <w:rPr>
          <w:rFonts w:ascii="Book Antiqua" w:hAnsi="Book Antiqua" w:cs="Book Antiqua"/>
          <w:color w:val="000000"/>
          <w:sz w:val="20"/>
          <w:szCs w:val="20"/>
          <w:highlight w:val="yellow"/>
        </w:rPr>
        <w:t>p &lt; .001) than the international average of all countries participating in PISA 2015.</w:t>
      </w:r>
    </w:p>
    <w:p w14:paraId="043F9C27" w14:textId="77777777" w:rsidR="00AB2CD1" w:rsidRPr="00B669F9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  <w:highlight w:val="green"/>
        </w:rPr>
      </w:pPr>
      <w:r w:rsidRPr="00B669F9">
        <w:rPr>
          <w:rFonts w:ascii="Book Antiqua" w:hAnsi="Book Antiqua" w:cs="Book Antiqua"/>
          <w:color w:val="000000"/>
          <w:sz w:val="20"/>
          <w:szCs w:val="20"/>
          <w:highlight w:val="green"/>
        </w:rPr>
        <w:t>The mean score for availability of ICT resources in the Netherlands is higher than</w:t>
      </w:r>
    </w:p>
    <w:p w14:paraId="175649A1" w14:textId="77777777" w:rsidR="00AB2CD1" w:rsidRPr="00B669F9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  <w:highlight w:val="green"/>
        </w:rPr>
      </w:pPr>
      <w:r w:rsidRPr="00B669F9">
        <w:rPr>
          <w:rFonts w:ascii="Book Antiqua" w:hAnsi="Book Antiqua" w:cs="Book Antiqua"/>
          <w:color w:val="000000"/>
          <w:sz w:val="20"/>
          <w:szCs w:val="20"/>
          <w:highlight w:val="green"/>
        </w:rPr>
        <w:t>the availability of resources in countries participating in the ICT familiarity questionnaire</w:t>
      </w:r>
    </w:p>
    <w:p w14:paraId="64536793" w14:textId="77777777" w:rsidR="00AB2CD1" w:rsidRPr="00B669F9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  <w:highlight w:val="yellow"/>
        </w:rPr>
      </w:pPr>
      <w:r w:rsidRPr="00B669F9">
        <w:rPr>
          <w:rFonts w:ascii="Book Antiqua" w:hAnsi="Book Antiqua" w:cs="Book Antiqua"/>
          <w:color w:val="000000"/>
          <w:sz w:val="20"/>
          <w:szCs w:val="20"/>
          <w:highlight w:val="green"/>
        </w:rPr>
        <w:t>(t (334197) = 70.75, p &lt; .001).</w:t>
      </w:r>
      <w:r w:rsidRPr="00AB2CD1">
        <w:rPr>
          <w:rFonts w:ascii="Book Antiqua" w:hAnsi="Book Antiqua" w:cs="Book Antiqua"/>
          <w:color w:val="000000"/>
          <w:sz w:val="20"/>
          <w:szCs w:val="20"/>
        </w:rPr>
        <w:t xml:space="preserve"> </w:t>
      </w:r>
      <w:r w:rsidRPr="00B669F9">
        <w:rPr>
          <w:rFonts w:ascii="Book Antiqua" w:hAnsi="Book Antiqua" w:cs="Book Antiqua"/>
          <w:color w:val="000000"/>
          <w:sz w:val="20"/>
          <w:szCs w:val="20"/>
          <w:highlight w:val="yellow"/>
        </w:rPr>
        <w:t>Moreover, positive scores for students</w:t>
      </w:r>
      <w:r w:rsidRPr="00B669F9">
        <w:rPr>
          <w:rFonts w:ascii="Book Antiqua" w:hAnsi="Book Antiqua" w:cs="Book Antiqua" w:hint="cs"/>
          <w:color w:val="000000"/>
          <w:sz w:val="20"/>
          <w:szCs w:val="20"/>
          <w:highlight w:val="yellow"/>
        </w:rPr>
        <w:t>’</w:t>
      </w:r>
      <w:r w:rsidRPr="00B669F9">
        <w:rPr>
          <w:rFonts w:ascii="Book Antiqua" w:hAnsi="Book Antiqua" w:cs="Book Antiqua"/>
          <w:color w:val="000000"/>
          <w:sz w:val="20"/>
          <w:szCs w:val="20"/>
          <w:highlight w:val="yellow"/>
        </w:rPr>
        <w:t xml:space="preserve"> use</w:t>
      </w:r>
    </w:p>
    <w:p w14:paraId="6EB9542E" w14:textId="77777777" w:rsidR="00AB2CD1" w:rsidRPr="00B669F9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  <w:highlight w:val="yellow"/>
        </w:rPr>
      </w:pPr>
      <w:r w:rsidRPr="00B669F9">
        <w:rPr>
          <w:rFonts w:ascii="Book Antiqua" w:hAnsi="Book Antiqua" w:cs="Book Antiqua"/>
          <w:color w:val="000000"/>
          <w:sz w:val="20"/>
          <w:szCs w:val="20"/>
          <w:highlight w:val="yellow"/>
        </w:rPr>
        <w:t xml:space="preserve">of ICT at school in general and outside school for schoolwork indicate that </w:t>
      </w:r>
      <w:proofErr w:type="gramStart"/>
      <w:r w:rsidRPr="00B669F9">
        <w:rPr>
          <w:rFonts w:ascii="Book Antiqua" w:hAnsi="Book Antiqua" w:cs="Book Antiqua"/>
          <w:color w:val="000000"/>
          <w:sz w:val="20"/>
          <w:szCs w:val="20"/>
          <w:highlight w:val="yellow"/>
        </w:rPr>
        <w:t>their</w:t>
      </w:r>
      <w:proofErr w:type="gramEnd"/>
    </w:p>
    <w:p w14:paraId="56DF6A7C" w14:textId="77777777" w:rsidR="00AB2CD1" w:rsidRPr="00B669F9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  <w:highlight w:val="yellow"/>
        </w:rPr>
      </w:pPr>
      <w:r w:rsidRPr="00B669F9">
        <w:rPr>
          <w:rFonts w:ascii="Book Antiqua" w:hAnsi="Book Antiqua" w:cs="Book Antiqua"/>
          <w:color w:val="000000"/>
          <w:sz w:val="20"/>
          <w:szCs w:val="20"/>
          <w:highlight w:val="yellow"/>
        </w:rPr>
        <w:t>use is also higher than the international average (t (334197) = 33.20, p &lt; .001 and t</w:t>
      </w:r>
    </w:p>
    <w:p w14:paraId="540507F7" w14:textId="77777777" w:rsidR="00AB2CD1" w:rsidRPr="00AB2CD1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  <w:r w:rsidRPr="00B669F9">
        <w:rPr>
          <w:rFonts w:ascii="Book Antiqua" w:hAnsi="Book Antiqua" w:cs="Book Antiqua"/>
          <w:color w:val="000000"/>
          <w:sz w:val="20"/>
          <w:szCs w:val="20"/>
          <w:highlight w:val="yellow"/>
        </w:rPr>
        <w:t>(334197) = 7.39, p &lt; .001).</w:t>
      </w:r>
      <w:r w:rsidRPr="00AB2CD1">
        <w:rPr>
          <w:rFonts w:ascii="Book Antiqua" w:hAnsi="Book Antiqua" w:cs="Book Antiqua"/>
          <w:color w:val="000000"/>
          <w:sz w:val="20"/>
          <w:szCs w:val="20"/>
        </w:rPr>
        <w:t xml:space="preserve"> Students</w:t>
      </w:r>
      <w:r w:rsidRPr="00AB2CD1">
        <w:rPr>
          <w:rFonts w:ascii="Book Antiqua" w:hAnsi="Book Antiqua" w:cs="Book Antiqua" w:hint="cs"/>
          <w:color w:val="000000"/>
          <w:sz w:val="20"/>
          <w:szCs w:val="20"/>
        </w:rPr>
        <w:t>’</w:t>
      </w:r>
      <w:r w:rsidRPr="00AB2CD1">
        <w:rPr>
          <w:rFonts w:ascii="Book Antiqua" w:hAnsi="Book Antiqua" w:cs="Book Antiqua"/>
          <w:color w:val="000000"/>
          <w:sz w:val="20"/>
          <w:szCs w:val="20"/>
        </w:rPr>
        <w:t xml:space="preserve"> use of ICT outside school for leisure, on the other</w:t>
      </w:r>
    </w:p>
    <w:p w14:paraId="600F5E4D" w14:textId="77777777" w:rsidR="00AB2CD1" w:rsidRPr="00AB2CD1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  <w:r w:rsidRPr="00AB2CD1">
        <w:rPr>
          <w:rFonts w:ascii="Book Antiqua" w:hAnsi="Book Antiqua" w:cs="Book Antiqua"/>
          <w:color w:val="000000"/>
          <w:sz w:val="20"/>
          <w:szCs w:val="20"/>
        </w:rPr>
        <w:t>hand, is lower than the international average (t (334197) = 11.14, p &lt; .001). Results</w:t>
      </w:r>
    </w:p>
    <w:p w14:paraId="4400C387" w14:textId="7D60C67B" w:rsidR="00AB2CD1" w:rsidRPr="00AB2CD1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  <w:r w:rsidRPr="00AB2CD1">
        <w:rPr>
          <w:rFonts w:ascii="Book Antiqua" w:hAnsi="Book Antiqua" w:cs="Book Antiqua"/>
          <w:color w:val="000000"/>
          <w:sz w:val="20"/>
          <w:szCs w:val="20"/>
        </w:rPr>
        <w:t>furthermore show that levels of interest (t (334197) = 4.34, p &lt; .001) are higher than</w:t>
      </w:r>
    </w:p>
    <w:p w14:paraId="04397CF0" w14:textId="77777777" w:rsidR="00AB2CD1" w:rsidRPr="00AB2CD1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  <w:r w:rsidRPr="00AB2CD1">
        <w:rPr>
          <w:rFonts w:ascii="Book Antiqua" w:hAnsi="Book Antiqua" w:cs="Book Antiqua"/>
          <w:color w:val="000000"/>
          <w:sz w:val="20"/>
          <w:szCs w:val="20"/>
        </w:rPr>
        <w:t>the international average, whereas perceived competence (</w:t>
      </w:r>
      <w:r w:rsidRPr="00AB2CD1">
        <w:rPr>
          <w:rFonts w:ascii="Book Antiqua" w:hAnsi="Book Antiqua" w:cs="Book Antiqua"/>
          <w:i/>
          <w:iCs/>
          <w:color w:val="000000"/>
          <w:sz w:val="20"/>
          <w:szCs w:val="20"/>
        </w:rPr>
        <w:t xml:space="preserve">t </w:t>
      </w:r>
      <w:r w:rsidRPr="00AB2CD1">
        <w:rPr>
          <w:rFonts w:ascii="Book Antiqua" w:hAnsi="Book Antiqua" w:cs="Book Antiqua"/>
          <w:color w:val="000000"/>
          <w:sz w:val="20"/>
          <w:szCs w:val="20"/>
        </w:rPr>
        <w:t xml:space="preserve">(334197) = 1.49, </w:t>
      </w:r>
      <w:r w:rsidRPr="00AB2CD1">
        <w:rPr>
          <w:rFonts w:ascii="Book Antiqua" w:hAnsi="Book Antiqua" w:cs="Book Antiqua"/>
          <w:i/>
          <w:iCs/>
          <w:color w:val="000000"/>
          <w:sz w:val="20"/>
          <w:szCs w:val="20"/>
        </w:rPr>
        <w:t xml:space="preserve">p </w:t>
      </w:r>
      <w:r w:rsidRPr="00AB2CD1">
        <w:rPr>
          <w:rFonts w:ascii="Book Antiqua" w:hAnsi="Book Antiqua" w:cs="Book Antiqua"/>
          <w:color w:val="000000"/>
          <w:sz w:val="20"/>
          <w:szCs w:val="20"/>
        </w:rPr>
        <w:t>= .136)</w:t>
      </w:r>
    </w:p>
    <w:p w14:paraId="2C7AA4E8" w14:textId="77777777" w:rsidR="00AB2CD1" w:rsidRPr="00AB2CD1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  <w:r w:rsidRPr="00AB2CD1">
        <w:rPr>
          <w:rFonts w:ascii="Book Antiqua" w:hAnsi="Book Antiqua" w:cs="Book Antiqua"/>
          <w:color w:val="000000"/>
          <w:sz w:val="20"/>
          <w:szCs w:val="20"/>
        </w:rPr>
        <w:t>and perceived autonomy (</w:t>
      </w:r>
      <w:r w:rsidRPr="00AB2CD1">
        <w:rPr>
          <w:rFonts w:ascii="Book Antiqua" w:hAnsi="Book Antiqua" w:cs="Book Antiqua"/>
          <w:i/>
          <w:iCs/>
          <w:color w:val="000000"/>
          <w:sz w:val="20"/>
          <w:szCs w:val="20"/>
        </w:rPr>
        <w:t xml:space="preserve">t </w:t>
      </w:r>
      <w:r w:rsidRPr="00AB2CD1">
        <w:rPr>
          <w:rFonts w:ascii="Book Antiqua" w:hAnsi="Book Antiqua" w:cs="Book Antiqua"/>
          <w:color w:val="000000"/>
          <w:sz w:val="20"/>
          <w:szCs w:val="20"/>
        </w:rPr>
        <w:t xml:space="preserve">(334197) = .73, </w:t>
      </w:r>
      <w:r w:rsidRPr="00AB2CD1">
        <w:rPr>
          <w:rFonts w:ascii="Book Antiqua" w:hAnsi="Book Antiqua" w:cs="Book Antiqua"/>
          <w:i/>
          <w:iCs/>
          <w:color w:val="000000"/>
          <w:sz w:val="20"/>
          <w:szCs w:val="20"/>
        </w:rPr>
        <w:t xml:space="preserve">p </w:t>
      </w:r>
      <w:r w:rsidRPr="00AB2CD1">
        <w:rPr>
          <w:rFonts w:ascii="Book Antiqua" w:hAnsi="Book Antiqua" w:cs="Book Antiqua"/>
          <w:color w:val="000000"/>
          <w:sz w:val="20"/>
          <w:szCs w:val="20"/>
        </w:rPr>
        <w:t>= .014) are comparable to the international</w:t>
      </w:r>
    </w:p>
    <w:p w14:paraId="78152814" w14:textId="77777777" w:rsidR="00AB2CD1" w:rsidRPr="00AB2CD1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  <w:r w:rsidRPr="00AB2CD1">
        <w:rPr>
          <w:rFonts w:ascii="Book Antiqua" w:hAnsi="Book Antiqua" w:cs="Book Antiqua"/>
          <w:color w:val="000000"/>
          <w:sz w:val="20"/>
          <w:szCs w:val="20"/>
        </w:rPr>
        <w:t>averages.</w:t>
      </w:r>
    </w:p>
    <w:p w14:paraId="5EAF7243" w14:textId="77777777" w:rsidR="00AB2CD1" w:rsidRPr="00AB2CD1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  <w:r w:rsidRPr="00AB2CD1">
        <w:rPr>
          <w:rFonts w:ascii="Book Antiqua" w:hAnsi="Book Antiqua" w:cs="Book Antiqua"/>
          <w:color w:val="000000"/>
          <w:sz w:val="20"/>
          <w:szCs w:val="20"/>
        </w:rPr>
        <w:t>Correlations</w:t>
      </w:r>
    </w:p>
    <w:p w14:paraId="0BBF5CDE" w14:textId="77777777" w:rsidR="00AB2CD1" w:rsidRPr="00AB2CD1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  <w:r w:rsidRPr="00AB2CD1">
        <w:rPr>
          <w:rFonts w:ascii="Book Antiqua" w:hAnsi="Book Antiqua" w:cs="Book Antiqua"/>
          <w:color w:val="000000"/>
          <w:sz w:val="20"/>
          <w:szCs w:val="20"/>
        </w:rPr>
        <w:t>Correlations between digitally assessed reading performance and all ICT measures are</w:t>
      </w:r>
    </w:p>
    <w:p w14:paraId="475A7309" w14:textId="77777777" w:rsidR="00AB2CD1" w:rsidRPr="006E57E5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  <w:highlight w:val="yellow"/>
        </w:rPr>
      </w:pPr>
      <w:r w:rsidRPr="00AB2CD1">
        <w:rPr>
          <w:rFonts w:ascii="Book Antiqua" w:hAnsi="Book Antiqua" w:cs="Book Antiqua"/>
          <w:color w:val="000000"/>
          <w:sz w:val="20"/>
          <w:szCs w:val="20"/>
        </w:rPr>
        <w:t xml:space="preserve">presented in Table 2. </w:t>
      </w:r>
      <w:r w:rsidRPr="006E57E5">
        <w:rPr>
          <w:rFonts w:ascii="Book Antiqua" w:hAnsi="Book Antiqua" w:cs="Book Antiqua"/>
          <w:color w:val="000000"/>
          <w:sz w:val="20"/>
          <w:szCs w:val="20"/>
          <w:highlight w:val="yellow"/>
        </w:rPr>
        <w:t>All correlations, with the exception of the correlations between</w:t>
      </w:r>
    </w:p>
    <w:p w14:paraId="73FBF78F" w14:textId="77777777" w:rsidR="00AB2CD1" w:rsidRPr="006E57E5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  <w:highlight w:val="yellow"/>
        </w:rPr>
      </w:pPr>
      <w:r w:rsidRPr="006E57E5">
        <w:rPr>
          <w:rFonts w:ascii="Book Antiqua" w:hAnsi="Book Antiqua" w:cs="Book Antiqua"/>
          <w:color w:val="000000"/>
          <w:sz w:val="20"/>
          <w:szCs w:val="20"/>
          <w:highlight w:val="yellow"/>
        </w:rPr>
        <w:t>digitally assessed reading performance and ICT resources and ICT use outside school</w:t>
      </w:r>
    </w:p>
    <w:p w14:paraId="24551A3E" w14:textId="77777777" w:rsidR="00AB2CD1" w:rsidRPr="00AB2CD1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  <w:r w:rsidRPr="006E57E5">
        <w:rPr>
          <w:rFonts w:ascii="Book Antiqua" w:hAnsi="Book Antiqua" w:cs="Book Antiqua"/>
          <w:color w:val="000000"/>
          <w:sz w:val="20"/>
          <w:szCs w:val="20"/>
          <w:highlight w:val="yellow"/>
        </w:rPr>
        <w:t>for schoolwork, were significant</w:t>
      </w:r>
      <w:r w:rsidRPr="00AB2CD1">
        <w:rPr>
          <w:rFonts w:ascii="Book Antiqua" w:hAnsi="Book Antiqua" w:cs="Book Antiqua"/>
          <w:color w:val="000000"/>
          <w:sz w:val="20"/>
          <w:szCs w:val="20"/>
        </w:rPr>
        <w:t>. The relationship between digitally assessed reading</w:t>
      </w:r>
    </w:p>
    <w:p w14:paraId="6FDC8893" w14:textId="77777777" w:rsidR="00AB2CD1" w:rsidRPr="00AB2CD1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  <w:r w:rsidRPr="00AB2CD1">
        <w:rPr>
          <w:rFonts w:ascii="Book Antiqua" w:hAnsi="Book Antiqua" w:cs="Book Antiqua"/>
          <w:color w:val="000000"/>
          <w:sz w:val="20"/>
          <w:szCs w:val="20"/>
        </w:rPr>
        <w:t>performance and both ICT use at school in general and outside school for leisure are</w:t>
      </w:r>
    </w:p>
    <w:p w14:paraId="7A705740" w14:textId="77777777" w:rsidR="00AB2CD1" w:rsidRPr="00031486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  <w:highlight w:val="red"/>
        </w:rPr>
      </w:pPr>
      <w:r w:rsidRPr="00AB2CD1">
        <w:rPr>
          <w:rFonts w:ascii="Book Antiqua" w:hAnsi="Book Antiqua" w:cs="Book Antiqua"/>
          <w:color w:val="000000"/>
          <w:sz w:val="20"/>
          <w:szCs w:val="20"/>
        </w:rPr>
        <w:t xml:space="preserve">negative, </w:t>
      </w:r>
      <w:r w:rsidRPr="00031486">
        <w:rPr>
          <w:rFonts w:ascii="Book Antiqua" w:hAnsi="Book Antiqua" w:cs="Book Antiqua"/>
          <w:color w:val="000000"/>
          <w:sz w:val="20"/>
          <w:szCs w:val="20"/>
          <w:highlight w:val="red"/>
        </w:rPr>
        <w:t>indicating that students who spend more time using ICT at school in general</w:t>
      </w:r>
    </w:p>
    <w:p w14:paraId="42D02929" w14:textId="77777777" w:rsidR="00AB2CD1" w:rsidRPr="00AB2CD1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  <w:r w:rsidRPr="00031486">
        <w:rPr>
          <w:rFonts w:ascii="Book Antiqua" w:hAnsi="Book Antiqua" w:cs="Book Antiqua"/>
          <w:color w:val="000000"/>
          <w:sz w:val="20"/>
          <w:szCs w:val="20"/>
          <w:highlight w:val="red"/>
        </w:rPr>
        <w:t>or outside school for leisure have lower reading scores</w:t>
      </w:r>
      <w:r w:rsidRPr="00AB2CD1">
        <w:rPr>
          <w:rFonts w:ascii="Book Antiqua" w:hAnsi="Book Antiqua" w:cs="Book Antiqua"/>
          <w:color w:val="000000"/>
          <w:sz w:val="20"/>
          <w:szCs w:val="20"/>
        </w:rPr>
        <w:t>. The positive correlations for</w:t>
      </w:r>
    </w:p>
    <w:p w14:paraId="46C7EDEC" w14:textId="77777777" w:rsidR="00AB2CD1" w:rsidRPr="00AB2CD1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  <w:r w:rsidRPr="00AB2CD1">
        <w:rPr>
          <w:rFonts w:ascii="Book Antiqua" w:hAnsi="Book Antiqua" w:cs="Book Antiqua"/>
          <w:color w:val="000000"/>
          <w:sz w:val="20"/>
          <w:szCs w:val="20"/>
        </w:rPr>
        <w:t>ICT attitudes and digitally assessed reading performance indicate that higher levels of</w:t>
      </w:r>
    </w:p>
    <w:p w14:paraId="7EFF6360" w14:textId="77777777" w:rsidR="00AB2CD1" w:rsidRPr="00AB2CD1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  <w:r w:rsidRPr="00AB2CD1">
        <w:rPr>
          <w:rFonts w:ascii="Book Antiqua" w:hAnsi="Book Antiqua" w:cs="Book Antiqua"/>
          <w:color w:val="000000"/>
          <w:sz w:val="20"/>
          <w:szCs w:val="20"/>
        </w:rPr>
        <w:t>interest, perceived competence, and perceived autonomy are related to higher digitally</w:t>
      </w:r>
    </w:p>
    <w:p w14:paraId="2694689E" w14:textId="77777777" w:rsidR="00AB2CD1" w:rsidRPr="00AB2CD1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  <w:r w:rsidRPr="00AB2CD1">
        <w:rPr>
          <w:rFonts w:ascii="Book Antiqua" w:hAnsi="Book Antiqua" w:cs="Book Antiqua"/>
          <w:color w:val="000000"/>
          <w:sz w:val="20"/>
          <w:szCs w:val="20"/>
        </w:rPr>
        <w:t>assessed reading performance.</w:t>
      </w:r>
    </w:p>
    <w:p w14:paraId="267E29ED" w14:textId="77777777" w:rsidR="00AB2CD1" w:rsidRPr="00AB2CD1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  <w:r w:rsidRPr="00AB2CD1">
        <w:rPr>
          <w:rFonts w:ascii="Book Antiqua" w:hAnsi="Book Antiqua" w:cs="Book Antiqua"/>
          <w:color w:val="000000"/>
          <w:sz w:val="20"/>
          <w:szCs w:val="20"/>
        </w:rPr>
        <w:t>Results furthermore show that the availability of resources is positively related to students</w:t>
      </w:r>
      <w:r w:rsidRPr="00AB2CD1">
        <w:rPr>
          <w:rFonts w:ascii="Book Antiqua" w:hAnsi="Book Antiqua" w:cs="Book Antiqua" w:hint="cs"/>
          <w:color w:val="000000"/>
          <w:sz w:val="20"/>
          <w:szCs w:val="20"/>
        </w:rPr>
        <w:t>’</w:t>
      </w:r>
    </w:p>
    <w:p w14:paraId="511B293C" w14:textId="77777777" w:rsidR="00AB2CD1" w:rsidRPr="00AB2CD1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  <w:r w:rsidRPr="00AB2CD1">
        <w:rPr>
          <w:rFonts w:ascii="Book Antiqua" w:hAnsi="Book Antiqua" w:cs="Book Antiqua"/>
          <w:color w:val="000000"/>
          <w:sz w:val="20"/>
          <w:szCs w:val="20"/>
        </w:rPr>
        <w:t>ICT use and ICT attitude. In addition, the three indicators of ICT use are moderately</w:t>
      </w:r>
    </w:p>
    <w:p w14:paraId="04AB6AAD" w14:textId="348250E9" w:rsidR="00AB2CD1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  <w:r w:rsidRPr="00AB2CD1">
        <w:rPr>
          <w:rFonts w:ascii="Book Antiqua" w:hAnsi="Book Antiqua" w:cs="Book Antiqua"/>
          <w:color w:val="000000"/>
          <w:sz w:val="20"/>
          <w:szCs w:val="20"/>
        </w:rPr>
        <w:t>correlated, as are the three indicators of ICT attitudes. The relationship with ICT</w:t>
      </w:r>
    </w:p>
    <w:p w14:paraId="08B0D8B3" w14:textId="77777777" w:rsidR="00AB2CD1" w:rsidRPr="00AB2CD1" w:rsidRDefault="00AB2CD1" w:rsidP="00AB2CD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  <w:r w:rsidRPr="00AB2CD1">
        <w:rPr>
          <w:rFonts w:ascii="Book Antiqua" w:hAnsi="Book Antiqua" w:cs="Book Antiqua"/>
          <w:color w:val="000000"/>
          <w:sz w:val="20"/>
          <w:szCs w:val="20"/>
        </w:rPr>
        <w:t xml:space="preserve">attitudes </w:t>
      </w:r>
      <w:proofErr w:type="gramStart"/>
      <w:r w:rsidRPr="00AB2CD1">
        <w:rPr>
          <w:rFonts w:ascii="Book Antiqua" w:hAnsi="Book Antiqua" w:cs="Book Antiqua"/>
          <w:color w:val="000000"/>
          <w:sz w:val="20"/>
          <w:szCs w:val="20"/>
        </w:rPr>
        <w:t>is</w:t>
      </w:r>
      <w:proofErr w:type="gramEnd"/>
      <w:r w:rsidRPr="00AB2CD1">
        <w:rPr>
          <w:rFonts w:ascii="Book Antiqua" w:hAnsi="Book Antiqua" w:cs="Book Antiqua"/>
          <w:color w:val="000000"/>
          <w:sz w:val="20"/>
          <w:szCs w:val="20"/>
        </w:rPr>
        <w:t xml:space="preserve"> higher for the use of ICT outside school for leisure than for the use outside</w:t>
      </w:r>
    </w:p>
    <w:p w14:paraId="0666D370" w14:textId="3FABD4B6" w:rsidR="00AB2CD1" w:rsidRDefault="00AB2CD1" w:rsidP="00AB2CD1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/>
          <w:sz w:val="20"/>
          <w:szCs w:val="20"/>
        </w:rPr>
      </w:pPr>
      <w:r w:rsidRPr="00AB2CD1">
        <w:rPr>
          <w:rFonts w:ascii="Book Antiqua" w:hAnsi="Book Antiqua" w:cs="Book Antiqua"/>
          <w:color w:val="000000"/>
          <w:sz w:val="20"/>
          <w:szCs w:val="20"/>
        </w:rPr>
        <w:t>school for schoolwork or at school in general.</w:t>
      </w:r>
    </w:p>
    <w:p w14:paraId="3E0C17F8" w14:textId="387575A9" w:rsidR="00C4145C" w:rsidRDefault="00C4145C" w:rsidP="00C4145C">
      <w:pPr>
        <w:autoSpaceDE w:val="0"/>
        <w:autoSpaceDN w:val="0"/>
        <w:bidi w:val="0"/>
        <w:adjustRightInd w:val="0"/>
        <w:spacing w:after="0" w:line="240" w:lineRule="auto"/>
        <w:rPr>
          <w:rFonts w:ascii="MyriadPro-Light" w:cs="MyriadPro-Light"/>
          <w:sz w:val="15"/>
          <w:szCs w:val="15"/>
        </w:rPr>
      </w:pPr>
      <w:r>
        <w:rPr>
          <w:rFonts w:ascii="MyriadPro-Light" w:cs="MyriadPro-Light"/>
        </w:rPr>
        <w:t>Joyce Gubbels</w:t>
      </w:r>
      <w:r>
        <w:rPr>
          <w:rFonts w:ascii="MyriadPro-Light" w:cs="MyriadPro-Light"/>
          <w:sz w:val="15"/>
          <w:szCs w:val="15"/>
        </w:rPr>
        <w:t>1</w:t>
      </w:r>
    </w:p>
    <w:p w14:paraId="0D2FA552" w14:textId="77E5F4DB" w:rsidR="00AC23D0" w:rsidRDefault="00AC23D0" w:rsidP="00AC23D0">
      <w:pPr>
        <w:autoSpaceDE w:val="0"/>
        <w:autoSpaceDN w:val="0"/>
        <w:bidi w:val="0"/>
        <w:adjustRightInd w:val="0"/>
        <w:spacing w:after="0" w:line="240" w:lineRule="auto"/>
        <w:rPr>
          <w:rFonts w:ascii="MyriadPro-Light" w:cs="MyriadPro-Light"/>
          <w:sz w:val="15"/>
          <w:szCs w:val="15"/>
        </w:rPr>
      </w:pPr>
    </w:p>
    <w:p w14:paraId="6691065B" w14:textId="7B222A6E" w:rsidR="000C1BAB" w:rsidRDefault="000C1BAB" w:rsidP="00A74EC0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LMRoman17-Regular" w:hAnsi="LMRoman17-Regular" w:cs="LMRoman17-Regular"/>
          <w:sz w:val="34"/>
          <w:szCs w:val="34"/>
        </w:rPr>
        <w:t>Agasisti</w:t>
      </w:r>
      <w:proofErr w:type="spellEnd"/>
    </w:p>
    <w:p w14:paraId="478C7F07" w14:textId="15E0A7C6" w:rsidR="00AC23D0" w:rsidRDefault="00AC23D0" w:rsidP="000C1BAB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descriptive statistics of the variables used in our analysis are shown in Table 2, detailed</w:t>
      </w:r>
      <w:r w:rsidR="00A74EC0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country by country. There are differences in sample size country to country, with Italy and</w:t>
      </w:r>
      <w:r w:rsidR="00A74EC0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Spain being the countries with the highest number of sampled students</w:t>
      </w:r>
      <w:r>
        <w:rPr>
          <w:rFonts w:ascii="Times-Roman" w:hAnsi="Times-Roman" w:cs="Times-Roman"/>
          <w:sz w:val="16"/>
          <w:szCs w:val="16"/>
        </w:rPr>
        <w:t>6</w:t>
      </w:r>
      <w:r>
        <w:rPr>
          <w:rFonts w:ascii="Times-Roman" w:hAnsi="Times-Roman" w:cs="Times-Roman"/>
          <w:sz w:val="24"/>
          <w:szCs w:val="24"/>
        </w:rPr>
        <w:t xml:space="preserve">. </w:t>
      </w:r>
      <w:r w:rsidRPr="004F58E7">
        <w:rPr>
          <w:rFonts w:ascii="Times-Roman" w:hAnsi="Times-Roman" w:cs="Times-Roman"/>
          <w:sz w:val="24"/>
          <w:szCs w:val="24"/>
          <w:highlight w:val="yellow"/>
        </w:rPr>
        <w:t>Glancing at the results,</w:t>
      </w:r>
      <w:r w:rsidR="00A74EC0" w:rsidRPr="004F58E7">
        <w:rPr>
          <w:rFonts w:ascii="Times-Roman" w:hAnsi="Times-Roman" w:cs="Times-Roman"/>
          <w:sz w:val="24"/>
          <w:szCs w:val="24"/>
          <w:highlight w:val="yellow"/>
        </w:rPr>
        <w:t xml:space="preserve"> </w:t>
      </w:r>
      <w:r w:rsidRPr="004F58E7">
        <w:rPr>
          <w:rFonts w:ascii="Times-Roman" w:hAnsi="Times-Roman" w:cs="Times-Roman"/>
          <w:sz w:val="24"/>
          <w:szCs w:val="24"/>
          <w:highlight w:val="yellow"/>
        </w:rPr>
        <w:t>the analyzed variables are heterogeneous between countries</w:t>
      </w:r>
      <w:r>
        <w:rPr>
          <w:rFonts w:ascii="Times-Roman" w:hAnsi="Times-Roman" w:cs="Times-Roman"/>
          <w:sz w:val="24"/>
          <w:szCs w:val="24"/>
        </w:rPr>
        <w:t>. Students from Belgium, Germany,</w:t>
      </w:r>
      <w:r w:rsidR="00A74EC0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Finland, </w:t>
      </w:r>
      <w:proofErr w:type="gramStart"/>
      <w:r>
        <w:rPr>
          <w:rFonts w:ascii="Times-Roman" w:hAnsi="Times-Roman" w:cs="Times-Roman"/>
          <w:sz w:val="24"/>
          <w:szCs w:val="24"/>
        </w:rPr>
        <w:t>Ireland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and the Netherlands have higher average PISA scores in all the tests, while</w:t>
      </w:r>
      <w:r w:rsidR="00A74EC0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students from Greece and Sweden have the lowest PISA scores in our analytic sample.</w:t>
      </w:r>
    </w:p>
    <w:p w14:paraId="7346D98D" w14:textId="402FEFD3" w:rsidR="00AC23D0" w:rsidRDefault="00AC23D0" w:rsidP="00A74EC0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Looking at the three ICT indices, clear differences between the countries are detected: Danish</w:t>
      </w:r>
      <w:r w:rsidR="00A74EC0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students show high average values for these indices, which indicates that they are top users of</w:t>
      </w:r>
      <w:r w:rsidR="00A74EC0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ICT both at school and at home, and slightly lower values for entertainment. The other</w:t>
      </w:r>
      <w:r w:rsidR="00A74EC0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countries show much lower values in these variables, and can even be negative in all of them,</w:t>
      </w:r>
    </w:p>
    <w:p w14:paraId="5C45940A" w14:textId="6AE1245D" w:rsidR="00A74EC0" w:rsidRPr="00A74EC0" w:rsidRDefault="00AC23D0" w:rsidP="00A74EC0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see, for example, Ireland. Apart from this, there is no clear pattern: students from some</w:t>
      </w:r>
      <w:r w:rsidR="00A74EC0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countries report a high ICT home use together with low use for entertainment (the Netherlands)</w:t>
      </w:r>
      <w:r w:rsidR="00A74EC0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or high use for entertainment and low home use (Italy). The availability of ICT devices at</w:t>
      </w:r>
      <w:r w:rsidR="00A74EC0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school is also different from country to country. Spain, Germany, Ireland and, above all,</w:t>
      </w:r>
      <w:r w:rsidR="00A74EC0">
        <w:rPr>
          <w:rFonts w:ascii="Times-Roman" w:hAnsi="Times-Roman" w:cs="Times-Roman"/>
          <w:sz w:val="24"/>
          <w:szCs w:val="24"/>
        </w:rPr>
        <w:t xml:space="preserve"> </w:t>
      </w:r>
      <w:proofErr w:type="gramStart"/>
      <w:r>
        <w:rPr>
          <w:rFonts w:ascii="Times-Roman" w:hAnsi="Times-Roman" w:cs="Times-Roman"/>
          <w:sz w:val="24"/>
          <w:szCs w:val="24"/>
        </w:rPr>
        <w:t>Belgium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and Italy, show a negative value for this index. The Netherlands, Denmark, </w:t>
      </w:r>
      <w:proofErr w:type="gramStart"/>
      <w:r>
        <w:rPr>
          <w:rFonts w:ascii="Times-Roman" w:hAnsi="Times-Roman" w:cs="Times-Roman"/>
          <w:sz w:val="24"/>
          <w:szCs w:val="24"/>
        </w:rPr>
        <w:t>Finland</w:t>
      </w:r>
      <w:proofErr w:type="gramEnd"/>
      <w:r w:rsidR="00A74EC0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and Sweden are the countries with the highest positive values.</w:t>
      </w:r>
      <w:r w:rsidR="00A74EC0">
        <w:rPr>
          <w:rFonts w:ascii="Times-Roman" w:hAnsi="Times-Roman" w:cs="Times-Roman"/>
          <w:sz w:val="24"/>
          <w:szCs w:val="24"/>
        </w:rPr>
        <w:t xml:space="preserve"> </w:t>
      </w:r>
      <w:r w:rsidR="00A74EC0" w:rsidRPr="00A74EC0">
        <w:rPr>
          <w:rFonts w:ascii="Times-Roman" w:hAnsi="Times-Roman" w:cs="Times-Roman"/>
          <w:sz w:val="24"/>
          <w:szCs w:val="24"/>
        </w:rPr>
        <w:t>When considering the individual variables, there are more first-generation immigrants in some</w:t>
      </w:r>
      <w:r w:rsidR="00A74EC0">
        <w:rPr>
          <w:rFonts w:ascii="Times-Roman" w:hAnsi="Times-Roman" w:cs="Times-Roman"/>
          <w:sz w:val="24"/>
          <w:szCs w:val="24"/>
        </w:rPr>
        <w:t xml:space="preserve"> </w:t>
      </w:r>
      <w:r w:rsidR="00A74EC0" w:rsidRPr="00A74EC0">
        <w:rPr>
          <w:rFonts w:ascii="Times-Roman" w:hAnsi="Times-Roman" w:cs="Times-Roman"/>
          <w:sz w:val="24"/>
          <w:szCs w:val="24"/>
        </w:rPr>
        <w:t xml:space="preserve">countries, such as Spain, </w:t>
      </w:r>
      <w:proofErr w:type="gramStart"/>
      <w:r w:rsidR="00A74EC0" w:rsidRPr="00A74EC0">
        <w:rPr>
          <w:rFonts w:ascii="Times-Roman" w:hAnsi="Times-Roman" w:cs="Times-Roman"/>
          <w:sz w:val="24"/>
          <w:szCs w:val="24"/>
        </w:rPr>
        <w:t>Ireland</w:t>
      </w:r>
      <w:proofErr w:type="gramEnd"/>
      <w:r w:rsidR="00A74EC0" w:rsidRPr="00A74EC0">
        <w:rPr>
          <w:rFonts w:ascii="Times-Roman" w:hAnsi="Times-Roman" w:cs="Times-Roman"/>
          <w:sz w:val="24"/>
          <w:szCs w:val="24"/>
        </w:rPr>
        <w:t xml:space="preserve"> and Belgium. At least one year</w:t>
      </w:r>
      <w:r w:rsidR="00A74EC0" w:rsidRPr="00A74EC0">
        <w:rPr>
          <w:rFonts w:ascii="Times-Roman" w:hAnsi="Times-Roman" w:cs="Times-Roman" w:hint="cs"/>
          <w:sz w:val="24"/>
          <w:szCs w:val="24"/>
        </w:rPr>
        <w:t>’</w:t>
      </w:r>
      <w:r w:rsidR="00A74EC0" w:rsidRPr="00A74EC0">
        <w:rPr>
          <w:rFonts w:ascii="Times-Roman" w:hAnsi="Times-Roman" w:cs="Times-Roman"/>
          <w:sz w:val="24"/>
          <w:szCs w:val="24"/>
        </w:rPr>
        <w:t>s universal pre-primary</w:t>
      </w:r>
      <w:r w:rsidR="00A74EC0">
        <w:rPr>
          <w:rFonts w:ascii="Times-Roman" w:hAnsi="Times-Roman" w:cs="Times-Roman"/>
          <w:sz w:val="24"/>
          <w:szCs w:val="24"/>
        </w:rPr>
        <w:t xml:space="preserve"> </w:t>
      </w:r>
      <w:r w:rsidR="00A74EC0" w:rsidRPr="00A74EC0">
        <w:rPr>
          <w:rFonts w:ascii="Times-Roman" w:hAnsi="Times-Roman" w:cs="Times-Roman"/>
          <w:sz w:val="24"/>
          <w:szCs w:val="24"/>
        </w:rPr>
        <w:t>education - ISCED 0 - is common practice in all countries except Ireland, where 14% of</w:t>
      </w:r>
      <w:r w:rsidR="00A74EC0">
        <w:rPr>
          <w:rFonts w:ascii="Times-Roman" w:hAnsi="Times-Roman" w:cs="Times-Roman"/>
          <w:sz w:val="24"/>
          <w:szCs w:val="24"/>
        </w:rPr>
        <w:t xml:space="preserve"> </w:t>
      </w:r>
      <w:r w:rsidR="00A74EC0" w:rsidRPr="00A74EC0">
        <w:rPr>
          <w:rFonts w:ascii="Times-Roman" w:hAnsi="Times-Roman" w:cs="Times-Roman"/>
          <w:sz w:val="24"/>
          <w:szCs w:val="24"/>
        </w:rPr>
        <w:t>students have no ISCED 0. On the contrary, as a practice, grade retention (students repeating a</w:t>
      </w:r>
      <w:r w:rsidR="00A74EC0">
        <w:rPr>
          <w:rFonts w:ascii="Times-Roman" w:hAnsi="Times-Roman" w:cs="Times-Roman"/>
          <w:sz w:val="24"/>
          <w:szCs w:val="24"/>
        </w:rPr>
        <w:t xml:space="preserve"> </w:t>
      </w:r>
      <w:r w:rsidR="00A74EC0" w:rsidRPr="00A74EC0">
        <w:rPr>
          <w:rFonts w:ascii="Times-Roman" w:hAnsi="Times-Roman" w:cs="Times-Roman"/>
          <w:sz w:val="24"/>
          <w:szCs w:val="24"/>
        </w:rPr>
        <w:t xml:space="preserve">year) is applied differently across countries. In Spain, </w:t>
      </w:r>
      <w:proofErr w:type="gramStart"/>
      <w:r w:rsidR="00A74EC0" w:rsidRPr="00A74EC0">
        <w:rPr>
          <w:rFonts w:ascii="Times-Roman" w:hAnsi="Times-Roman" w:cs="Times-Roman"/>
          <w:sz w:val="24"/>
          <w:szCs w:val="24"/>
        </w:rPr>
        <w:t>Belgium</w:t>
      </w:r>
      <w:proofErr w:type="gramEnd"/>
      <w:r w:rsidR="00A74EC0" w:rsidRPr="00A74EC0">
        <w:rPr>
          <w:rFonts w:ascii="Times-Roman" w:hAnsi="Times-Roman" w:cs="Times-Roman"/>
          <w:sz w:val="24"/>
          <w:szCs w:val="24"/>
        </w:rPr>
        <w:t xml:space="preserve"> and the Netherlands there are</w:t>
      </w:r>
    </w:p>
    <w:p w14:paraId="70DDAA42" w14:textId="6DC48E8D" w:rsidR="00A74EC0" w:rsidRDefault="00A74EC0" w:rsidP="00A74EC0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74EC0">
        <w:rPr>
          <w:rFonts w:ascii="Times-Roman" w:hAnsi="Times-Roman" w:cs="Times-Roman"/>
          <w:sz w:val="24"/>
          <w:szCs w:val="24"/>
        </w:rPr>
        <w:t>very high rates of year repetition (above 20%), while they are very low in Denmark, Finland,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74EC0">
        <w:rPr>
          <w:rFonts w:ascii="Times-Roman" w:hAnsi="Times-Roman" w:cs="Times-Roman"/>
          <w:sz w:val="24"/>
          <w:szCs w:val="24"/>
        </w:rPr>
        <w:t xml:space="preserve">Greece, Ireland, </w:t>
      </w:r>
      <w:proofErr w:type="gramStart"/>
      <w:r w:rsidRPr="00A74EC0">
        <w:rPr>
          <w:rFonts w:ascii="Times-Roman" w:hAnsi="Times-Roman" w:cs="Times-Roman"/>
          <w:sz w:val="24"/>
          <w:szCs w:val="24"/>
        </w:rPr>
        <w:t>Italy</w:t>
      </w:r>
      <w:proofErr w:type="gramEnd"/>
      <w:r w:rsidRPr="00A74EC0">
        <w:rPr>
          <w:rFonts w:ascii="Times-Roman" w:hAnsi="Times-Roman" w:cs="Times-Roman"/>
          <w:sz w:val="24"/>
          <w:szCs w:val="24"/>
        </w:rPr>
        <w:t xml:space="preserve"> and Sweden (below 5%). The modal grade retention level shows negative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74EC0">
        <w:rPr>
          <w:rFonts w:ascii="Times-Roman" w:hAnsi="Times-Roman" w:cs="Times-Roman"/>
          <w:sz w:val="24"/>
          <w:szCs w:val="24"/>
        </w:rPr>
        <w:t>values for most of the countries analyzed. Only in Ireland, Belgium and the Netherlands is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74EC0">
        <w:rPr>
          <w:rFonts w:ascii="Times-Roman" w:hAnsi="Times-Roman" w:cs="Times-Roman"/>
          <w:sz w:val="24"/>
          <w:szCs w:val="24"/>
        </w:rPr>
        <w:t>there a positive average value for the grade retention variable. Truancy rates also vary across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74EC0">
        <w:rPr>
          <w:rFonts w:ascii="Times-Roman" w:hAnsi="Times-Roman" w:cs="Times-Roman"/>
          <w:sz w:val="24"/>
          <w:szCs w:val="24"/>
        </w:rPr>
        <w:t xml:space="preserve">countries: in Spain, Greece, </w:t>
      </w:r>
      <w:proofErr w:type="gramStart"/>
      <w:r w:rsidRPr="00A74EC0">
        <w:rPr>
          <w:rFonts w:ascii="Times-Roman" w:hAnsi="Times-Roman" w:cs="Times-Roman"/>
          <w:sz w:val="24"/>
          <w:szCs w:val="24"/>
        </w:rPr>
        <w:t>Portugal</w:t>
      </w:r>
      <w:proofErr w:type="gramEnd"/>
      <w:r w:rsidRPr="00A74EC0">
        <w:rPr>
          <w:rFonts w:ascii="Times-Roman" w:hAnsi="Times-Roman" w:cs="Times-Roman"/>
          <w:sz w:val="24"/>
          <w:szCs w:val="24"/>
        </w:rPr>
        <w:t xml:space="preserve"> and Italy truancy shows the highest rates, the opposite is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74EC0">
        <w:rPr>
          <w:rFonts w:ascii="Times-Roman" w:hAnsi="Times-Roman" w:cs="Times-Roman"/>
          <w:sz w:val="24"/>
          <w:szCs w:val="24"/>
        </w:rPr>
        <w:t>true for Austria, Belgium, Germany, the Netherlands and Ireland, which have the lowest</w:t>
      </w:r>
      <w:r>
        <w:rPr>
          <w:rFonts w:ascii="Times-Roman" w:hAnsi="Times-Roman" w:cs="Times-Roman"/>
          <w:sz w:val="24"/>
          <w:szCs w:val="24"/>
        </w:rPr>
        <w:t xml:space="preserve"> percentage of truancy rates. Similarly, the PISA ESCS index also differs across countries: the wealthier students are in the Nordic area, the opposite is true for the Mediterranean countries.</w:t>
      </w:r>
    </w:p>
    <w:p w14:paraId="4BEF6CFE" w14:textId="519241E1" w:rsidR="00AC23D0" w:rsidRPr="00A74EC0" w:rsidRDefault="00A74EC0" w:rsidP="00A74EC0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At school level, we also find that features of the schools attended by the majority of students vary from country to country: more students are in private schools in Ireland, Belgium, </w:t>
      </w:r>
      <w:proofErr w:type="gramStart"/>
      <w:r>
        <w:rPr>
          <w:rFonts w:ascii="Times-Roman" w:hAnsi="Times-Roman" w:cs="Times-Roman"/>
          <w:sz w:val="24"/>
          <w:szCs w:val="24"/>
        </w:rPr>
        <w:t>Spain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and the Netherlands; more students are in rural areas in Austria, Denmark, Ireland, Portugal and Sweden. Finally, in all </w:t>
      </w:r>
      <w:proofErr w:type="gramStart"/>
      <w:r>
        <w:rPr>
          <w:rFonts w:ascii="Times-Roman" w:hAnsi="Times-Roman" w:cs="Times-Roman"/>
          <w:sz w:val="24"/>
          <w:szCs w:val="24"/>
        </w:rPr>
        <w:t>countries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truancy is seen to be a worse problem for the head teachers/principals than for the students, but schools and students agree with regards to household socio-economic levels. Class size is around 25 students per class, lower only in Demark and Belgium.</w:t>
      </w:r>
    </w:p>
    <w:sectPr w:rsidR="00AC23D0" w:rsidRPr="00A74EC0" w:rsidSect="002D174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MNFI F+ Gullive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Pro-Light">
    <w:altName w:val="Arial"/>
    <w:panose1 w:val="00000000000000000000"/>
    <w:charset w:val="B2"/>
    <w:family w:val="swiss"/>
    <w:notTrueType/>
    <w:pitch w:val="default"/>
    <w:sig w:usb0="00002001" w:usb1="00000000" w:usb2="00000000" w:usb3="00000000" w:csb0="0000004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7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07"/>
    <w:rsid w:val="000128A6"/>
    <w:rsid w:val="00015951"/>
    <w:rsid w:val="00016C26"/>
    <w:rsid w:val="00025214"/>
    <w:rsid w:val="00031486"/>
    <w:rsid w:val="00031568"/>
    <w:rsid w:val="00031FA5"/>
    <w:rsid w:val="00034A8E"/>
    <w:rsid w:val="00034B89"/>
    <w:rsid w:val="0003716F"/>
    <w:rsid w:val="0004305C"/>
    <w:rsid w:val="00051D7E"/>
    <w:rsid w:val="00052671"/>
    <w:rsid w:val="00053C67"/>
    <w:rsid w:val="00067160"/>
    <w:rsid w:val="00073C4F"/>
    <w:rsid w:val="00073EB0"/>
    <w:rsid w:val="000801CA"/>
    <w:rsid w:val="00081A11"/>
    <w:rsid w:val="00083D4C"/>
    <w:rsid w:val="00085D9B"/>
    <w:rsid w:val="00086E2C"/>
    <w:rsid w:val="000903A0"/>
    <w:rsid w:val="000930EC"/>
    <w:rsid w:val="00097BB4"/>
    <w:rsid w:val="000B2737"/>
    <w:rsid w:val="000B29DC"/>
    <w:rsid w:val="000B49DD"/>
    <w:rsid w:val="000B4D52"/>
    <w:rsid w:val="000B7004"/>
    <w:rsid w:val="000C1BAB"/>
    <w:rsid w:val="000C7FAF"/>
    <w:rsid w:val="000D06B2"/>
    <w:rsid w:val="000D3AD4"/>
    <w:rsid w:val="000D3C83"/>
    <w:rsid w:val="000D6617"/>
    <w:rsid w:val="001070B3"/>
    <w:rsid w:val="00111D8D"/>
    <w:rsid w:val="00114218"/>
    <w:rsid w:val="0012443B"/>
    <w:rsid w:val="00125455"/>
    <w:rsid w:val="00137026"/>
    <w:rsid w:val="00145A06"/>
    <w:rsid w:val="001579BA"/>
    <w:rsid w:val="00167083"/>
    <w:rsid w:val="0017402A"/>
    <w:rsid w:val="00197A7C"/>
    <w:rsid w:val="001A054B"/>
    <w:rsid w:val="001A55D8"/>
    <w:rsid w:val="001B3E4E"/>
    <w:rsid w:val="001B50C9"/>
    <w:rsid w:val="001B65DD"/>
    <w:rsid w:val="001B7A4D"/>
    <w:rsid w:val="001C5A94"/>
    <w:rsid w:val="001C5B69"/>
    <w:rsid w:val="001D0A55"/>
    <w:rsid w:val="001D36B0"/>
    <w:rsid w:val="001D5E0B"/>
    <w:rsid w:val="001D6AAE"/>
    <w:rsid w:val="001E7A3C"/>
    <w:rsid w:val="001F10C4"/>
    <w:rsid w:val="001F1726"/>
    <w:rsid w:val="001F779E"/>
    <w:rsid w:val="00200B92"/>
    <w:rsid w:val="00204313"/>
    <w:rsid w:val="00210B73"/>
    <w:rsid w:val="00212E3F"/>
    <w:rsid w:val="002271C2"/>
    <w:rsid w:val="00227FB4"/>
    <w:rsid w:val="00233C28"/>
    <w:rsid w:val="00233D4D"/>
    <w:rsid w:val="00241998"/>
    <w:rsid w:val="00245B9F"/>
    <w:rsid w:val="0025156B"/>
    <w:rsid w:val="002521B1"/>
    <w:rsid w:val="002522B0"/>
    <w:rsid w:val="00254072"/>
    <w:rsid w:val="002616E3"/>
    <w:rsid w:val="00275AD7"/>
    <w:rsid w:val="002828AF"/>
    <w:rsid w:val="00283FD9"/>
    <w:rsid w:val="00285920"/>
    <w:rsid w:val="00287B27"/>
    <w:rsid w:val="00291667"/>
    <w:rsid w:val="00294595"/>
    <w:rsid w:val="00297060"/>
    <w:rsid w:val="002A06AF"/>
    <w:rsid w:val="002A0CFE"/>
    <w:rsid w:val="002A4C02"/>
    <w:rsid w:val="002A5C61"/>
    <w:rsid w:val="002A5DAD"/>
    <w:rsid w:val="002B55E3"/>
    <w:rsid w:val="002B7645"/>
    <w:rsid w:val="002C5D5B"/>
    <w:rsid w:val="002D08C7"/>
    <w:rsid w:val="002D0D6F"/>
    <w:rsid w:val="002D174A"/>
    <w:rsid w:val="002D715E"/>
    <w:rsid w:val="002E14FD"/>
    <w:rsid w:val="002F3190"/>
    <w:rsid w:val="00304C97"/>
    <w:rsid w:val="00305E21"/>
    <w:rsid w:val="00310BA7"/>
    <w:rsid w:val="00311814"/>
    <w:rsid w:val="0031277B"/>
    <w:rsid w:val="003214B0"/>
    <w:rsid w:val="00330490"/>
    <w:rsid w:val="003374D6"/>
    <w:rsid w:val="003421AC"/>
    <w:rsid w:val="0034454B"/>
    <w:rsid w:val="003507FE"/>
    <w:rsid w:val="00351DD0"/>
    <w:rsid w:val="00364766"/>
    <w:rsid w:val="0036581A"/>
    <w:rsid w:val="003724DD"/>
    <w:rsid w:val="0037531B"/>
    <w:rsid w:val="00383282"/>
    <w:rsid w:val="003A036A"/>
    <w:rsid w:val="003B251F"/>
    <w:rsid w:val="003B3342"/>
    <w:rsid w:val="003B4BC1"/>
    <w:rsid w:val="003B7861"/>
    <w:rsid w:val="003C29AB"/>
    <w:rsid w:val="003C6448"/>
    <w:rsid w:val="003D161E"/>
    <w:rsid w:val="003D337B"/>
    <w:rsid w:val="003D3E72"/>
    <w:rsid w:val="003E24D9"/>
    <w:rsid w:val="003F6240"/>
    <w:rsid w:val="00402626"/>
    <w:rsid w:val="00406501"/>
    <w:rsid w:val="00425F47"/>
    <w:rsid w:val="00435D15"/>
    <w:rsid w:val="00435E4A"/>
    <w:rsid w:val="00436ED0"/>
    <w:rsid w:val="00443C6A"/>
    <w:rsid w:val="0044413A"/>
    <w:rsid w:val="00451432"/>
    <w:rsid w:val="00452B41"/>
    <w:rsid w:val="004533CF"/>
    <w:rsid w:val="0046242A"/>
    <w:rsid w:val="00470676"/>
    <w:rsid w:val="00473D41"/>
    <w:rsid w:val="00475A93"/>
    <w:rsid w:val="00477162"/>
    <w:rsid w:val="004843C6"/>
    <w:rsid w:val="00485F13"/>
    <w:rsid w:val="00492A42"/>
    <w:rsid w:val="00493B44"/>
    <w:rsid w:val="004A3B8D"/>
    <w:rsid w:val="004B3409"/>
    <w:rsid w:val="004C77D0"/>
    <w:rsid w:val="004C7CD9"/>
    <w:rsid w:val="004C7EB8"/>
    <w:rsid w:val="004D15EF"/>
    <w:rsid w:val="004D3715"/>
    <w:rsid w:val="004F05A1"/>
    <w:rsid w:val="004F564C"/>
    <w:rsid w:val="004F58E7"/>
    <w:rsid w:val="00510C95"/>
    <w:rsid w:val="00517138"/>
    <w:rsid w:val="00517CE6"/>
    <w:rsid w:val="00522767"/>
    <w:rsid w:val="005233FC"/>
    <w:rsid w:val="0052589A"/>
    <w:rsid w:val="00525E45"/>
    <w:rsid w:val="005416B3"/>
    <w:rsid w:val="0054596B"/>
    <w:rsid w:val="005479D8"/>
    <w:rsid w:val="005573DA"/>
    <w:rsid w:val="00562AD7"/>
    <w:rsid w:val="0056308C"/>
    <w:rsid w:val="00565029"/>
    <w:rsid w:val="00565A65"/>
    <w:rsid w:val="00567605"/>
    <w:rsid w:val="00572B4A"/>
    <w:rsid w:val="00581888"/>
    <w:rsid w:val="00586D84"/>
    <w:rsid w:val="00594F27"/>
    <w:rsid w:val="005A1944"/>
    <w:rsid w:val="005A2450"/>
    <w:rsid w:val="005A5C1D"/>
    <w:rsid w:val="005A6D33"/>
    <w:rsid w:val="005A7E65"/>
    <w:rsid w:val="005B1F9E"/>
    <w:rsid w:val="005B55E6"/>
    <w:rsid w:val="005C5893"/>
    <w:rsid w:val="005C69A2"/>
    <w:rsid w:val="005D07F6"/>
    <w:rsid w:val="005F22CD"/>
    <w:rsid w:val="0060124E"/>
    <w:rsid w:val="00601CC1"/>
    <w:rsid w:val="00606F42"/>
    <w:rsid w:val="00610B4A"/>
    <w:rsid w:val="00615D79"/>
    <w:rsid w:val="006165A5"/>
    <w:rsid w:val="0061676E"/>
    <w:rsid w:val="00617C47"/>
    <w:rsid w:val="00624B25"/>
    <w:rsid w:val="006324C7"/>
    <w:rsid w:val="00634170"/>
    <w:rsid w:val="00653466"/>
    <w:rsid w:val="00663E12"/>
    <w:rsid w:val="00671D5E"/>
    <w:rsid w:val="0067211C"/>
    <w:rsid w:val="00677869"/>
    <w:rsid w:val="00680D6E"/>
    <w:rsid w:val="00681AC4"/>
    <w:rsid w:val="006964D9"/>
    <w:rsid w:val="00697188"/>
    <w:rsid w:val="006979C1"/>
    <w:rsid w:val="006A36A5"/>
    <w:rsid w:val="006A4AF0"/>
    <w:rsid w:val="006B18BC"/>
    <w:rsid w:val="006B678F"/>
    <w:rsid w:val="006C45A9"/>
    <w:rsid w:val="006C6397"/>
    <w:rsid w:val="006C6998"/>
    <w:rsid w:val="006C7D0A"/>
    <w:rsid w:val="006D0D81"/>
    <w:rsid w:val="006D104C"/>
    <w:rsid w:val="006E5502"/>
    <w:rsid w:val="006E57E5"/>
    <w:rsid w:val="006E6A44"/>
    <w:rsid w:val="006E6AFA"/>
    <w:rsid w:val="006F23EA"/>
    <w:rsid w:val="006F37A4"/>
    <w:rsid w:val="00700BE8"/>
    <w:rsid w:val="007051CB"/>
    <w:rsid w:val="00706D8C"/>
    <w:rsid w:val="007142C6"/>
    <w:rsid w:val="00720B30"/>
    <w:rsid w:val="00722AA0"/>
    <w:rsid w:val="00740557"/>
    <w:rsid w:val="007433F7"/>
    <w:rsid w:val="00745EF0"/>
    <w:rsid w:val="00750EF6"/>
    <w:rsid w:val="007525C5"/>
    <w:rsid w:val="007623C9"/>
    <w:rsid w:val="00765089"/>
    <w:rsid w:val="00773D75"/>
    <w:rsid w:val="00781817"/>
    <w:rsid w:val="00781A07"/>
    <w:rsid w:val="0078441A"/>
    <w:rsid w:val="00793F28"/>
    <w:rsid w:val="00794B01"/>
    <w:rsid w:val="007A06EA"/>
    <w:rsid w:val="007A0F20"/>
    <w:rsid w:val="007A5766"/>
    <w:rsid w:val="007A6FC6"/>
    <w:rsid w:val="007B19F8"/>
    <w:rsid w:val="007C450D"/>
    <w:rsid w:val="007C62FF"/>
    <w:rsid w:val="007E18C1"/>
    <w:rsid w:val="007E6846"/>
    <w:rsid w:val="007F1531"/>
    <w:rsid w:val="007F708F"/>
    <w:rsid w:val="007F7743"/>
    <w:rsid w:val="00800B2F"/>
    <w:rsid w:val="00801DC4"/>
    <w:rsid w:val="00802643"/>
    <w:rsid w:val="0080318A"/>
    <w:rsid w:val="00805975"/>
    <w:rsid w:val="0080612F"/>
    <w:rsid w:val="008076E9"/>
    <w:rsid w:val="00807A2D"/>
    <w:rsid w:val="00812E4A"/>
    <w:rsid w:val="008252AC"/>
    <w:rsid w:val="00825930"/>
    <w:rsid w:val="0083031E"/>
    <w:rsid w:val="00837CC1"/>
    <w:rsid w:val="00840763"/>
    <w:rsid w:val="00842A43"/>
    <w:rsid w:val="00843470"/>
    <w:rsid w:val="00852EF7"/>
    <w:rsid w:val="00854164"/>
    <w:rsid w:val="0085449F"/>
    <w:rsid w:val="008652C0"/>
    <w:rsid w:val="00866EA9"/>
    <w:rsid w:val="00867401"/>
    <w:rsid w:val="008708D2"/>
    <w:rsid w:val="00871FC2"/>
    <w:rsid w:val="008756A9"/>
    <w:rsid w:val="0087631A"/>
    <w:rsid w:val="00877993"/>
    <w:rsid w:val="008800A1"/>
    <w:rsid w:val="00880771"/>
    <w:rsid w:val="008840C2"/>
    <w:rsid w:val="00891519"/>
    <w:rsid w:val="00891836"/>
    <w:rsid w:val="008A30B9"/>
    <w:rsid w:val="008A55B3"/>
    <w:rsid w:val="008A73FD"/>
    <w:rsid w:val="008D19B3"/>
    <w:rsid w:val="008D2B95"/>
    <w:rsid w:val="008E212A"/>
    <w:rsid w:val="008F7D9F"/>
    <w:rsid w:val="00901A2C"/>
    <w:rsid w:val="00907F1A"/>
    <w:rsid w:val="0091303A"/>
    <w:rsid w:val="009167CB"/>
    <w:rsid w:val="0092101C"/>
    <w:rsid w:val="00922B1F"/>
    <w:rsid w:val="00922CC7"/>
    <w:rsid w:val="00925A8B"/>
    <w:rsid w:val="00926255"/>
    <w:rsid w:val="0093122C"/>
    <w:rsid w:val="00935550"/>
    <w:rsid w:val="00936DDC"/>
    <w:rsid w:val="00942FEA"/>
    <w:rsid w:val="00947653"/>
    <w:rsid w:val="009551A3"/>
    <w:rsid w:val="00960EB4"/>
    <w:rsid w:val="0096121A"/>
    <w:rsid w:val="00963FF4"/>
    <w:rsid w:val="009660D1"/>
    <w:rsid w:val="00973F4B"/>
    <w:rsid w:val="00983D89"/>
    <w:rsid w:val="009843DA"/>
    <w:rsid w:val="009A1F86"/>
    <w:rsid w:val="009B49BB"/>
    <w:rsid w:val="009B6D69"/>
    <w:rsid w:val="009B7ADB"/>
    <w:rsid w:val="009C646D"/>
    <w:rsid w:val="009C65EF"/>
    <w:rsid w:val="009D1294"/>
    <w:rsid w:val="009D4B3A"/>
    <w:rsid w:val="009E378A"/>
    <w:rsid w:val="009E6A42"/>
    <w:rsid w:val="009F0D63"/>
    <w:rsid w:val="009F3408"/>
    <w:rsid w:val="009F5DAB"/>
    <w:rsid w:val="009F7922"/>
    <w:rsid w:val="00A00F6C"/>
    <w:rsid w:val="00A12777"/>
    <w:rsid w:val="00A171B2"/>
    <w:rsid w:val="00A23C3B"/>
    <w:rsid w:val="00A32BB7"/>
    <w:rsid w:val="00A3380E"/>
    <w:rsid w:val="00A34860"/>
    <w:rsid w:val="00A37A3D"/>
    <w:rsid w:val="00A413D8"/>
    <w:rsid w:val="00A74EC0"/>
    <w:rsid w:val="00A8178E"/>
    <w:rsid w:val="00A83E96"/>
    <w:rsid w:val="00A8410B"/>
    <w:rsid w:val="00A85B42"/>
    <w:rsid w:val="00A87BC1"/>
    <w:rsid w:val="00A90E64"/>
    <w:rsid w:val="00A919C5"/>
    <w:rsid w:val="00A92388"/>
    <w:rsid w:val="00A92646"/>
    <w:rsid w:val="00A944AE"/>
    <w:rsid w:val="00A9723D"/>
    <w:rsid w:val="00AA2608"/>
    <w:rsid w:val="00AB2CD1"/>
    <w:rsid w:val="00AB3407"/>
    <w:rsid w:val="00AB5040"/>
    <w:rsid w:val="00AC23D0"/>
    <w:rsid w:val="00AD2704"/>
    <w:rsid w:val="00AD50E2"/>
    <w:rsid w:val="00AE112F"/>
    <w:rsid w:val="00AE33BF"/>
    <w:rsid w:val="00AE6704"/>
    <w:rsid w:val="00AF1C63"/>
    <w:rsid w:val="00AF216D"/>
    <w:rsid w:val="00AF2523"/>
    <w:rsid w:val="00AF6EBE"/>
    <w:rsid w:val="00B06DF7"/>
    <w:rsid w:val="00B13695"/>
    <w:rsid w:val="00B20FD4"/>
    <w:rsid w:val="00B235BE"/>
    <w:rsid w:val="00B24734"/>
    <w:rsid w:val="00B338B3"/>
    <w:rsid w:val="00B3552F"/>
    <w:rsid w:val="00B40846"/>
    <w:rsid w:val="00B43EF1"/>
    <w:rsid w:val="00B44C06"/>
    <w:rsid w:val="00B56452"/>
    <w:rsid w:val="00B60A82"/>
    <w:rsid w:val="00B60F80"/>
    <w:rsid w:val="00B62242"/>
    <w:rsid w:val="00B65D87"/>
    <w:rsid w:val="00B669F9"/>
    <w:rsid w:val="00B70817"/>
    <w:rsid w:val="00B71AE6"/>
    <w:rsid w:val="00B72DFA"/>
    <w:rsid w:val="00B73886"/>
    <w:rsid w:val="00B931B3"/>
    <w:rsid w:val="00B97A67"/>
    <w:rsid w:val="00BA30C7"/>
    <w:rsid w:val="00BA77DB"/>
    <w:rsid w:val="00BB43B4"/>
    <w:rsid w:val="00BB5401"/>
    <w:rsid w:val="00BC0621"/>
    <w:rsid w:val="00BD0537"/>
    <w:rsid w:val="00BD1ED1"/>
    <w:rsid w:val="00BE14A4"/>
    <w:rsid w:val="00BE3D10"/>
    <w:rsid w:val="00BE66E7"/>
    <w:rsid w:val="00BF5733"/>
    <w:rsid w:val="00C07384"/>
    <w:rsid w:val="00C078C0"/>
    <w:rsid w:val="00C220C6"/>
    <w:rsid w:val="00C22A65"/>
    <w:rsid w:val="00C26B13"/>
    <w:rsid w:val="00C33006"/>
    <w:rsid w:val="00C36135"/>
    <w:rsid w:val="00C4145C"/>
    <w:rsid w:val="00C42328"/>
    <w:rsid w:val="00C42339"/>
    <w:rsid w:val="00C435D6"/>
    <w:rsid w:val="00C53BC9"/>
    <w:rsid w:val="00C64165"/>
    <w:rsid w:val="00C6706E"/>
    <w:rsid w:val="00C75F63"/>
    <w:rsid w:val="00C7711D"/>
    <w:rsid w:val="00C93AA7"/>
    <w:rsid w:val="00C93B1A"/>
    <w:rsid w:val="00C969EA"/>
    <w:rsid w:val="00CA4B3F"/>
    <w:rsid w:val="00CB117F"/>
    <w:rsid w:val="00CB5B1C"/>
    <w:rsid w:val="00CC0D5D"/>
    <w:rsid w:val="00CC3F68"/>
    <w:rsid w:val="00CC5BED"/>
    <w:rsid w:val="00CD724E"/>
    <w:rsid w:val="00CE107E"/>
    <w:rsid w:val="00CE137F"/>
    <w:rsid w:val="00CE67CE"/>
    <w:rsid w:val="00CF0ACB"/>
    <w:rsid w:val="00CF2D48"/>
    <w:rsid w:val="00CF2FBD"/>
    <w:rsid w:val="00D063D0"/>
    <w:rsid w:val="00D21A6E"/>
    <w:rsid w:val="00D22C79"/>
    <w:rsid w:val="00D32EAD"/>
    <w:rsid w:val="00D54C6F"/>
    <w:rsid w:val="00D66B00"/>
    <w:rsid w:val="00D70FD6"/>
    <w:rsid w:val="00D714EA"/>
    <w:rsid w:val="00D748D0"/>
    <w:rsid w:val="00D86663"/>
    <w:rsid w:val="00D92012"/>
    <w:rsid w:val="00D941A3"/>
    <w:rsid w:val="00D9630F"/>
    <w:rsid w:val="00D97E64"/>
    <w:rsid w:val="00DA2F9C"/>
    <w:rsid w:val="00DB0CC1"/>
    <w:rsid w:val="00DB2D24"/>
    <w:rsid w:val="00DB3419"/>
    <w:rsid w:val="00DB78DA"/>
    <w:rsid w:val="00DB7AEA"/>
    <w:rsid w:val="00DD2041"/>
    <w:rsid w:val="00DD418E"/>
    <w:rsid w:val="00DE22A4"/>
    <w:rsid w:val="00DE49AA"/>
    <w:rsid w:val="00DE5244"/>
    <w:rsid w:val="00DF1B6A"/>
    <w:rsid w:val="00E07D36"/>
    <w:rsid w:val="00E11375"/>
    <w:rsid w:val="00E15688"/>
    <w:rsid w:val="00E2327B"/>
    <w:rsid w:val="00E36862"/>
    <w:rsid w:val="00E405E1"/>
    <w:rsid w:val="00E432E0"/>
    <w:rsid w:val="00E47C4B"/>
    <w:rsid w:val="00E53CC1"/>
    <w:rsid w:val="00E63A12"/>
    <w:rsid w:val="00E6551D"/>
    <w:rsid w:val="00E70DF1"/>
    <w:rsid w:val="00E827E3"/>
    <w:rsid w:val="00E84366"/>
    <w:rsid w:val="00EA171A"/>
    <w:rsid w:val="00EA5A55"/>
    <w:rsid w:val="00EA6411"/>
    <w:rsid w:val="00EB4C1C"/>
    <w:rsid w:val="00EB69BA"/>
    <w:rsid w:val="00EC16D6"/>
    <w:rsid w:val="00EC4329"/>
    <w:rsid w:val="00EC665F"/>
    <w:rsid w:val="00EC6BD2"/>
    <w:rsid w:val="00EC7661"/>
    <w:rsid w:val="00ED5335"/>
    <w:rsid w:val="00ED71CB"/>
    <w:rsid w:val="00ED74E6"/>
    <w:rsid w:val="00EE5578"/>
    <w:rsid w:val="00EF3A68"/>
    <w:rsid w:val="00EF57F7"/>
    <w:rsid w:val="00EF72B4"/>
    <w:rsid w:val="00F05FE5"/>
    <w:rsid w:val="00F14E1C"/>
    <w:rsid w:val="00F26BBD"/>
    <w:rsid w:val="00F31376"/>
    <w:rsid w:val="00F31939"/>
    <w:rsid w:val="00F42FA0"/>
    <w:rsid w:val="00F43240"/>
    <w:rsid w:val="00F51184"/>
    <w:rsid w:val="00F553C0"/>
    <w:rsid w:val="00F55DDB"/>
    <w:rsid w:val="00F55F40"/>
    <w:rsid w:val="00F639F0"/>
    <w:rsid w:val="00F6426A"/>
    <w:rsid w:val="00F64957"/>
    <w:rsid w:val="00F712BF"/>
    <w:rsid w:val="00F724E7"/>
    <w:rsid w:val="00F726DE"/>
    <w:rsid w:val="00F75BD7"/>
    <w:rsid w:val="00F82DA0"/>
    <w:rsid w:val="00F974BA"/>
    <w:rsid w:val="00FA0E0B"/>
    <w:rsid w:val="00FA1AA9"/>
    <w:rsid w:val="00FA2157"/>
    <w:rsid w:val="00FA21F0"/>
    <w:rsid w:val="00FA28CE"/>
    <w:rsid w:val="00FB0BD9"/>
    <w:rsid w:val="00FB6CB3"/>
    <w:rsid w:val="00FC0DC8"/>
    <w:rsid w:val="00FC19B5"/>
    <w:rsid w:val="00FC2F3D"/>
    <w:rsid w:val="00FC6F6C"/>
    <w:rsid w:val="00FC7333"/>
    <w:rsid w:val="00FD5B88"/>
    <w:rsid w:val="00FD7A27"/>
    <w:rsid w:val="00FD7A53"/>
    <w:rsid w:val="00FE185D"/>
    <w:rsid w:val="00FE68C6"/>
    <w:rsid w:val="00FF0FDB"/>
    <w:rsid w:val="00FF2131"/>
    <w:rsid w:val="00FF6ACC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E80C"/>
  <w15:chartTrackingRefBased/>
  <w15:docId w15:val="{CB6DA09F-CA21-4BE4-AAF0-A197B25B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39F0"/>
    <w:pPr>
      <w:autoSpaceDE w:val="0"/>
      <w:autoSpaceDN w:val="0"/>
      <w:adjustRightInd w:val="0"/>
      <w:spacing w:after="0" w:line="240" w:lineRule="auto"/>
    </w:pPr>
    <w:rPr>
      <w:rFonts w:ascii="HMNFI F+ Gulliver" w:hAnsi="HMNFI F+ Gulliver" w:cs="HMNFI F+ Gullive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95EFD-D040-479E-97AE-CF6D66C36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13426</TotalTime>
  <Pages>2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MUDAR HUSSIEN</dc:creator>
  <cp:keywords/>
  <dc:description/>
  <cp:lastModifiedBy>MUDAR HUSSIEN</cp:lastModifiedBy>
  <cp:revision>12</cp:revision>
  <dcterms:created xsi:type="dcterms:W3CDTF">2021-05-25T20:09:00Z</dcterms:created>
  <dcterms:modified xsi:type="dcterms:W3CDTF">2021-09-23T10:01:00Z</dcterms:modified>
</cp:coreProperties>
</file>