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5897" w14:textId="77777777" w:rsidR="00E07FE0" w:rsidRDefault="00E07FE0" w:rsidP="00E07FE0">
      <w:pPr>
        <w:autoSpaceDE w:val="0"/>
        <w:autoSpaceDN w:val="0"/>
        <w:bidi w:val="0"/>
        <w:adjustRightInd w:val="0"/>
        <w:spacing w:after="0" w:line="240" w:lineRule="auto"/>
        <w:rPr>
          <w:rFonts w:ascii="AdvOT596495f2" w:hAnsi="AdvOT596495f2" w:cs="AdvOT596495f2"/>
        </w:rPr>
      </w:pPr>
      <w:r w:rsidRPr="00E07FE0">
        <w:rPr>
          <w:rFonts w:ascii="AdvOT596495f2" w:hAnsi="AdvOT596495f2" w:cs="AdvOT596495f2"/>
        </w:rPr>
        <w:t>To compare the linear</w:t>
      </w:r>
      <w:r>
        <w:rPr>
          <w:rFonts w:ascii="AdvOT596495f2" w:hAnsi="AdvOT596495f2" w:cs="AdvOT596495f2"/>
        </w:rPr>
        <w:t xml:space="preserve"> </w:t>
      </w:r>
      <w:r w:rsidRPr="00E07FE0">
        <w:rPr>
          <w:rFonts w:ascii="AdvOT596495f2" w:hAnsi="AdvOT596495f2" w:cs="AdvOT596495f2"/>
        </w:rPr>
        <w:t xml:space="preserve">and curvilinear model, we performed the </w:t>
      </w:r>
      <w:proofErr w:type="spellStart"/>
      <w:r w:rsidRPr="00E07FE0">
        <w:rPr>
          <w:rFonts w:ascii="AdvOT596495f2" w:hAnsi="AdvOT596495f2" w:cs="AdvOT596495f2"/>
        </w:rPr>
        <w:t>Satorra</w:t>
      </w:r>
      <w:proofErr w:type="spellEnd"/>
      <w:r w:rsidRPr="00E07FE0">
        <w:rPr>
          <w:rFonts w:ascii="AdvOT596495f2" w:hAnsi="AdvOT596495f2" w:cs="AdvOT596495f2"/>
        </w:rPr>
        <w:t>-Bentler corrected</w:t>
      </w:r>
      <w:r>
        <w:rPr>
          <w:rFonts w:ascii="AdvOT596495f2" w:hAnsi="AdvOT596495f2" w:cs="AdvOT596495f2"/>
        </w:rPr>
        <w:t xml:space="preserve"> </w:t>
      </w:r>
      <w:r w:rsidRPr="00E07FE0">
        <w:rPr>
          <w:rFonts w:ascii="AdvOT596495f2" w:hAnsi="AdvOT596495f2" w:cs="AdvOT596495f2"/>
        </w:rPr>
        <w:t>Likelihood-ratio test (</w:t>
      </w:r>
      <w:proofErr w:type="spellStart"/>
      <w:r w:rsidRPr="00E07FE0">
        <w:rPr>
          <w:rFonts w:ascii="AdvOT596495f2" w:hAnsi="AdvOT596495f2" w:cs="AdvOT596495f2"/>
        </w:rPr>
        <w:t>Satorra</w:t>
      </w:r>
      <w:proofErr w:type="spellEnd"/>
      <w:r w:rsidRPr="00E07FE0">
        <w:rPr>
          <w:rFonts w:ascii="AdvOT596495f2" w:hAnsi="AdvOT596495f2" w:cs="AdvOT596495f2"/>
        </w:rPr>
        <w:t xml:space="preserve"> &amp; Bentler, 2010) and evaluated di</w:t>
      </w:r>
      <w:r w:rsidRPr="00E07FE0">
        <w:rPr>
          <w:rFonts w:ascii="AdvOT596495f2+fb" w:hAnsi="AdvOT596495f2" w:cs="AdvOT596495f2+fb"/>
        </w:rPr>
        <w:t>ff</w:t>
      </w:r>
      <w:r w:rsidRPr="00E07FE0">
        <w:rPr>
          <w:rFonts w:ascii="AdvOT596495f2" w:hAnsi="AdvOT596495f2" w:cs="AdvOT596495f2"/>
        </w:rPr>
        <w:t>erences</w:t>
      </w:r>
      <w:r>
        <w:rPr>
          <w:rFonts w:ascii="AdvOT596495f2" w:hAnsi="AdvOT596495f2" w:cs="AdvOT596495f2"/>
        </w:rPr>
        <w:t xml:space="preserve"> </w:t>
      </w:r>
      <w:r w:rsidRPr="00E07FE0">
        <w:rPr>
          <w:rFonts w:ascii="AdvOT596495f2" w:hAnsi="AdvOT596495f2" w:cs="AdvOT596495f2"/>
        </w:rPr>
        <w:t>in information criteria (i.e., Akaike's Information Criterion [AIC],</w:t>
      </w:r>
      <w:r>
        <w:rPr>
          <w:rFonts w:ascii="AdvOT596495f2" w:hAnsi="AdvOT596495f2" w:cs="AdvOT596495f2"/>
        </w:rPr>
        <w:t xml:space="preserve"> </w:t>
      </w:r>
      <w:r w:rsidRPr="00E07FE0">
        <w:rPr>
          <w:rFonts w:ascii="AdvOT596495f2" w:hAnsi="AdvOT596495f2" w:cs="AdvOT596495f2"/>
        </w:rPr>
        <w:t>Bayesian Information</w:t>
      </w:r>
      <w:r>
        <w:rPr>
          <w:rFonts w:ascii="AdvOT596495f2" w:hAnsi="AdvOT596495f2" w:cs="AdvOT596495f2"/>
        </w:rPr>
        <w:t xml:space="preserve"> </w:t>
      </w:r>
      <w:r w:rsidRPr="00E07FE0">
        <w:rPr>
          <w:rFonts w:ascii="AdvOT596495f2" w:hAnsi="AdvOT596495f2" w:cs="AdvOT596495f2"/>
        </w:rPr>
        <w:t>Criterion [BIC], and sample-size adjusted BIC</w:t>
      </w:r>
      <w:r>
        <w:rPr>
          <w:rFonts w:ascii="AdvOT596495f2" w:hAnsi="AdvOT596495f2" w:cs="AdvOT596495f2"/>
        </w:rPr>
        <w:t xml:space="preserve"> </w:t>
      </w:r>
      <w:r w:rsidRPr="00E07FE0">
        <w:rPr>
          <w:rFonts w:ascii="AdvOT596495f2" w:hAnsi="AdvOT596495f2" w:cs="AdvOT596495f2"/>
        </w:rPr>
        <w:t>[</w:t>
      </w:r>
      <w:proofErr w:type="spellStart"/>
      <w:r w:rsidRPr="00E07FE0">
        <w:rPr>
          <w:rFonts w:ascii="AdvOT596495f2" w:hAnsi="AdvOT596495f2" w:cs="AdvOT596495f2"/>
        </w:rPr>
        <w:t>aBIC</w:t>
      </w:r>
      <w:proofErr w:type="spellEnd"/>
      <w:r w:rsidRPr="00E07FE0">
        <w:rPr>
          <w:rFonts w:ascii="AdvOT596495f2" w:hAnsi="AdvOT596495f2" w:cs="AdvOT596495f2"/>
        </w:rPr>
        <w:t xml:space="preserve">]) for each plausible-value dataset (Enders &amp; </w:t>
      </w:r>
      <w:proofErr w:type="spellStart"/>
      <w:r w:rsidRPr="00E07FE0">
        <w:rPr>
          <w:rFonts w:ascii="AdvOT596495f2" w:hAnsi="AdvOT596495f2" w:cs="AdvOT596495f2"/>
        </w:rPr>
        <w:t>Mansolf</w:t>
      </w:r>
      <w:proofErr w:type="spellEnd"/>
      <w:r w:rsidRPr="00E07FE0">
        <w:rPr>
          <w:rFonts w:ascii="AdvOT596495f2" w:hAnsi="AdvOT596495f2" w:cs="AdvOT596495f2"/>
        </w:rPr>
        <w:t xml:space="preserve">, 2016). </w:t>
      </w:r>
    </w:p>
    <w:p w14:paraId="7B37743B" w14:textId="77777777" w:rsidR="00E07FE0" w:rsidRDefault="00E07FE0" w:rsidP="00E07FE0">
      <w:pPr>
        <w:autoSpaceDE w:val="0"/>
        <w:autoSpaceDN w:val="0"/>
        <w:bidi w:val="0"/>
        <w:adjustRightInd w:val="0"/>
        <w:spacing w:after="0" w:line="240" w:lineRule="auto"/>
        <w:rPr>
          <w:rFonts w:ascii="AdvOT596495f2" w:hAnsi="AdvOT596495f2" w:cs="AdvOT596495f2"/>
        </w:rPr>
      </w:pPr>
    </w:p>
    <w:p w14:paraId="23B1393A" w14:textId="5A748943" w:rsidR="00E07FE0" w:rsidRDefault="00E07FE0" w:rsidP="00E07FE0">
      <w:pPr>
        <w:autoSpaceDE w:val="0"/>
        <w:autoSpaceDN w:val="0"/>
        <w:bidi w:val="0"/>
        <w:adjustRightInd w:val="0"/>
        <w:spacing w:after="0" w:line="240" w:lineRule="auto"/>
        <w:rPr>
          <w:rFonts w:ascii="AdvOT596495f2" w:hAnsi="AdvOT596495f2" w:cs="AdvOT596495f2"/>
        </w:rPr>
      </w:pPr>
      <w:r w:rsidRPr="00E07FE0">
        <w:rPr>
          <w:rFonts w:ascii="AdvOT596495f2" w:hAnsi="AdvOT596495f2" w:cs="AdvOT596495f2"/>
        </w:rPr>
        <w:t>We</w:t>
      </w:r>
      <w:r>
        <w:rPr>
          <w:rFonts w:ascii="AdvOT596495f2" w:hAnsi="AdvOT596495f2" w:cs="AdvOT596495f2"/>
        </w:rPr>
        <w:t xml:space="preserve"> </w:t>
      </w:r>
      <w:r w:rsidRPr="00E07FE0">
        <w:rPr>
          <w:rFonts w:ascii="AdvOT596495f2" w:hAnsi="AdvOT596495f2" w:cs="AdvOT596495f2"/>
        </w:rPr>
        <w:t>applied the latent moderated structural (LMS) equations approach to</w:t>
      </w:r>
      <w:r>
        <w:rPr>
          <w:rFonts w:ascii="AdvOT596495f2" w:hAnsi="AdvOT596495f2" w:cs="AdvOT596495f2"/>
        </w:rPr>
        <w:t xml:space="preserve"> </w:t>
      </w:r>
      <w:r w:rsidRPr="00E07FE0">
        <w:rPr>
          <w:rFonts w:ascii="AdvOT596495f2" w:hAnsi="AdvOT596495f2" w:cs="AdvOT596495f2"/>
        </w:rPr>
        <w:t>create the squared variable of inquiry-based science teaching and to</w:t>
      </w:r>
      <w:r>
        <w:rPr>
          <w:rFonts w:ascii="AdvOT596495f2" w:hAnsi="AdvOT596495f2" w:cs="AdvOT596495f2"/>
        </w:rPr>
        <w:t xml:space="preserve"> </w:t>
      </w:r>
      <w:proofErr w:type="spellStart"/>
      <w:r w:rsidRPr="00E07FE0">
        <w:rPr>
          <w:rFonts w:ascii="AdvOT596495f2" w:hAnsi="AdvOT596495f2" w:cs="AdvOT596495f2"/>
        </w:rPr>
        <w:t>analyse</w:t>
      </w:r>
      <w:proofErr w:type="spellEnd"/>
      <w:r w:rsidRPr="00E07FE0">
        <w:rPr>
          <w:rFonts w:ascii="AdvOT596495f2" w:hAnsi="AdvOT596495f2" w:cs="AdvOT596495f2"/>
        </w:rPr>
        <w:t xml:space="preserve"> the latent interaction terms using the XWITH command in the</w:t>
      </w:r>
      <w:r>
        <w:rPr>
          <w:rFonts w:ascii="AdvOT596495f2" w:hAnsi="AdvOT596495f2" w:cs="AdvOT596495f2"/>
        </w:rPr>
        <w:t xml:space="preserve"> </w:t>
      </w:r>
      <w:r w:rsidRPr="00E07FE0">
        <w:rPr>
          <w:rFonts w:ascii="AdvOT596495f2" w:hAnsi="AdvOT596495f2" w:cs="AdvOT596495f2"/>
        </w:rPr>
        <w:t>software M</w:t>
      </w:r>
      <w:r w:rsidRPr="00E07FE0">
        <w:rPr>
          <w:rFonts w:ascii="AdvOT7fb33346.I" w:hAnsi="AdvOT7fb33346.I" w:cs="AdvOT7fb33346.I"/>
        </w:rPr>
        <w:t xml:space="preserve">plus </w:t>
      </w:r>
      <w:r w:rsidRPr="00E07FE0">
        <w:rPr>
          <w:rFonts w:ascii="AdvOT596495f2" w:hAnsi="AdvOT596495f2" w:cs="AdvOT596495f2"/>
        </w:rPr>
        <w:t>(</w:t>
      </w:r>
      <w:proofErr w:type="spellStart"/>
      <w:r w:rsidRPr="00E07FE0">
        <w:rPr>
          <w:rFonts w:ascii="AdvOT596495f2" w:hAnsi="AdvOT596495f2" w:cs="AdvOT596495f2"/>
        </w:rPr>
        <w:t>Muthén</w:t>
      </w:r>
      <w:proofErr w:type="spellEnd"/>
      <w:r w:rsidRPr="00E07FE0">
        <w:rPr>
          <w:rFonts w:ascii="AdvOT596495f2" w:hAnsi="AdvOT596495f2" w:cs="AdvOT596495f2"/>
        </w:rPr>
        <w:t xml:space="preserve"> &amp; </w:t>
      </w:r>
      <w:proofErr w:type="spellStart"/>
      <w:r w:rsidRPr="00E07FE0">
        <w:rPr>
          <w:rFonts w:ascii="AdvOT596495f2" w:hAnsi="AdvOT596495f2" w:cs="AdvOT596495f2"/>
        </w:rPr>
        <w:t>Muthén</w:t>
      </w:r>
      <w:proofErr w:type="spellEnd"/>
      <w:r w:rsidRPr="00E07FE0">
        <w:rPr>
          <w:rFonts w:ascii="AdvOT596495f2" w:hAnsi="AdvOT596495f2" w:cs="AdvOT596495f2"/>
        </w:rPr>
        <w:t>, 1998</w:t>
      </w:r>
      <w:r w:rsidRPr="00E07FE0">
        <w:rPr>
          <w:rFonts w:ascii="AdvOT596495f2+20" w:hAnsi="AdvOT596495f2+20" w:cs="AdvOT596495f2+20"/>
        </w:rPr>
        <w:t>–</w:t>
      </w:r>
      <w:r w:rsidRPr="00E07FE0">
        <w:rPr>
          <w:rFonts w:ascii="AdvOT596495f2" w:hAnsi="AdvOT596495f2" w:cs="AdvOT596495f2"/>
        </w:rPr>
        <w:t>2015). We chose the LMS</w:t>
      </w:r>
      <w:r>
        <w:rPr>
          <w:rFonts w:ascii="AdvOT596495f2" w:hAnsi="AdvOT596495f2" w:cs="AdvOT596495f2"/>
        </w:rPr>
        <w:t xml:space="preserve"> </w:t>
      </w:r>
      <w:r w:rsidRPr="00E07FE0">
        <w:rPr>
          <w:rFonts w:ascii="AdvOT596495f2" w:hAnsi="AdvOT596495f2" w:cs="AdvOT596495f2"/>
        </w:rPr>
        <w:t>approach in our analyses to overcome the non-normality of the product</w:t>
      </w:r>
      <w:r>
        <w:rPr>
          <w:rFonts w:ascii="AdvOT596495f2" w:hAnsi="AdvOT596495f2" w:cs="AdvOT596495f2"/>
        </w:rPr>
        <w:t xml:space="preserve"> </w:t>
      </w:r>
      <w:r w:rsidRPr="00E07FE0">
        <w:rPr>
          <w:rFonts w:ascii="AdvOT596495f2" w:hAnsi="AdvOT596495f2" w:cs="AdvOT596495f2"/>
        </w:rPr>
        <w:t>term (Klein &amp; Moosbrugger, 2000).</w:t>
      </w:r>
    </w:p>
    <w:p w14:paraId="43C2B37B" w14:textId="1F6C59A4" w:rsidR="0011714C" w:rsidRDefault="0011714C" w:rsidP="0011714C">
      <w:pPr>
        <w:autoSpaceDE w:val="0"/>
        <w:autoSpaceDN w:val="0"/>
        <w:bidi w:val="0"/>
        <w:adjustRightInd w:val="0"/>
        <w:spacing w:after="0" w:line="240" w:lineRule="auto"/>
        <w:rPr>
          <w:rFonts w:ascii="AdvOT596495f2" w:hAnsi="AdvOT596495f2" w:cs="AdvOT596495f2"/>
        </w:rPr>
      </w:pPr>
    </w:p>
    <w:p w14:paraId="1AB7A7E5" w14:textId="12B0C254" w:rsidR="0011714C" w:rsidRDefault="0011714C" w:rsidP="0011714C">
      <w:pPr>
        <w:autoSpaceDE w:val="0"/>
        <w:autoSpaceDN w:val="0"/>
        <w:bidi w:val="0"/>
        <w:adjustRightInd w:val="0"/>
        <w:spacing w:after="0" w:line="240" w:lineRule="auto"/>
        <w:rPr>
          <w:rFonts w:ascii="AdvOT596495f2" w:hAnsi="AdvOT596495f2" w:cs="AdvOT596495f2"/>
        </w:rPr>
      </w:pPr>
    </w:p>
    <w:p w14:paraId="221BC498" w14:textId="1E51B7EA" w:rsidR="0011714C" w:rsidRDefault="0011714C" w:rsidP="0011714C">
      <w:pPr>
        <w:autoSpaceDE w:val="0"/>
        <w:autoSpaceDN w:val="0"/>
        <w:bidi w:val="0"/>
        <w:adjustRightInd w:val="0"/>
        <w:spacing w:after="0" w:line="240" w:lineRule="auto"/>
        <w:rPr>
          <w:rFonts w:ascii="AdvOT596495f2" w:hAnsi="AdvOT596495f2" w:cs="AdvOT596495f2"/>
        </w:rPr>
      </w:pPr>
    </w:p>
    <w:p w14:paraId="4009446E" w14:textId="42F49306" w:rsidR="0011714C" w:rsidRDefault="0011714C" w:rsidP="0011714C">
      <w:pPr>
        <w:autoSpaceDE w:val="0"/>
        <w:autoSpaceDN w:val="0"/>
        <w:bidi w:val="0"/>
        <w:adjustRightInd w:val="0"/>
        <w:spacing w:after="0" w:line="240" w:lineRule="auto"/>
        <w:rPr>
          <w:rFonts w:ascii="AdvOT596495f2" w:hAnsi="AdvOT596495f2" w:cs="AdvOT596495f2"/>
        </w:rPr>
      </w:pPr>
      <w:r>
        <w:rPr>
          <w:rFonts w:ascii="AGaramondPro-Semibold" w:eastAsia="AGaramondPro-Semibold" w:cs="AGaramondPro-Semibold"/>
          <w:sz w:val="20"/>
          <w:szCs w:val="20"/>
        </w:rPr>
        <w:t>Esteban Vazquez-Cano</w:t>
      </w:r>
    </w:p>
    <w:p w14:paraId="5F7B9037" w14:textId="77777777" w:rsidR="0011714C" w:rsidRDefault="0011714C" w:rsidP="0011714C">
      <w:pPr>
        <w:autoSpaceDE w:val="0"/>
        <w:autoSpaceDN w:val="0"/>
        <w:bidi w:val="0"/>
        <w:adjustRightInd w:val="0"/>
        <w:spacing w:after="0" w:line="240" w:lineRule="auto"/>
        <w:rPr>
          <w:rFonts w:ascii="MinionPro-Regular" w:hAnsi="MinionPro-Regular" w:cs="MinionPro-Regular"/>
        </w:rPr>
      </w:pPr>
      <w:r>
        <w:rPr>
          <w:rFonts w:ascii="MinionPro-Regular" w:hAnsi="MinionPro-Regular" w:cs="MinionPro-Regular"/>
        </w:rPr>
        <w:t>To determine the strength of the relationships</w:t>
      </w:r>
    </w:p>
    <w:p w14:paraId="22586B58" w14:textId="77777777" w:rsidR="0011714C" w:rsidRDefault="0011714C" w:rsidP="0011714C">
      <w:pPr>
        <w:autoSpaceDE w:val="0"/>
        <w:autoSpaceDN w:val="0"/>
        <w:bidi w:val="0"/>
        <w:adjustRightInd w:val="0"/>
        <w:spacing w:after="0" w:line="240" w:lineRule="auto"/>
        <w:rPr>
          <w:rFonts w:ascii="MinionPro-Regular" w:hAnsi="MinionPro-Regular" w:cs="MinionPro-Regular"/>
        </w:rPr>
      </w:pPr>
      <w:r>
        <w:rPr>
          <w:rFonts w:ascii="MinionPro-Regular" w:hAnsi="MinionPro-Regular" w:cs="MinionPro-Regular"/>
        </w:rPr>
        <w:t>between two dependent constructs (training and resources and facilitating conditions)</w:t>
      </w:r>
    </w:p>
    <w:p w14:paraId="351ACEE2" w14:textId="77777777" w:rsidR="0011714C" w:rsidRDefault="0011714C" w:rsidP="0011714C">
      <w:pPr>
        <w:autoSpaceDE w:val="0"/>
        <w:autoSpaceDN w:val="0"/>
        <w:bidi w:val="0"/>
        <w:adjustRightInd w:val="0"/>
        <w:spacing w:after="0" w:line="240" w:lineRule="auto"/>
        <w:rPr>
          <w:rFonts w:ascii="MinionPro-Regular" w:hAnsi="MinionPro-Regular" w:cs="MinionPro-Regular"/>
        </w:rPr>
      </w:pPr>
      <w:r>
        <w:rPr>
          <w:rFonts w:ascii="MinionPro-Regular" w:hAnsi="MinionPro-Regular" w:cs="MinionPro-Regular"/>
        </w:rPr>
        <w:t>in the model, bootstrap method was implemented. The positive coefficient values for all</w:t>
      </w:r>
    </w:p>
    <w:p w14:paraId="607F8B9E" w14:textId="77777777" w:rsidR="0011714C" w:rsidRDefault="0011714C" w:rsidP="0011714C">
      <w:pPr>
        <w:autoSpaceDE w:val="0"/>
        <w:autoSpaceDN w:val="0"/>
        <w:bidi w:val="0"/>
        <w:adjustRightInd w:val="0"/>
        <w:spacing w:after="0" w:line="240" w:lineRule="auto"/>
        <w:rPr>
          <w:rFonts w:ascii="MinionPro-Regular" w:hAnsi="MinionPro-Regular" w:cs="MinionPro-Regular"/>
        </w:rPr>
      </w:pPr>
      <w:r>
        <w:rPr>
          <w:rFonts w:ascii="MinionPro-Regular" w:hAnsi="MinionPro-Regular" w:cs="MinionPro-Regular"/>
        </w:rPr>
        <w:t>constructs indicate that participants in this particular study had different difficulties to</w:t>
      </w:r>
    </w:p>
    <w:p w14:paraId="28A13E05" w14:textId="2077749B" w:rsidR="0011714C" w:rsidRDefault="0011714C" w:rsidP="0011714C">
      <w:pPr>
        <w:autoSpaceDE w:val="0"/>
        <w:autoSpaceDN w:val="0"/>
        <w:bidi w:val="0"/>
        <w:adjustRightInd w:val="0"/>
        <w:spacing w:after="0" w:line="240" w:lineRule="auto"/>
        <w:rPr>
          <w:rFonts w:ascii="MinionPro-Regular" w:hAnsi="MinionPro-Regular" w:cs="MinionPro-Regular"/>
        </w:rPr>
      </w:pPr>
      <w:r>
        <w:rPr>
          <w:rFonts w:ascii="MinionPro-Regular" w:hAnsi="MinionPro-Regular" w:cs="MinionPro-Regular"/>
        </w:rPr>
        <w:t>develop didactic activities for fostering digital reading competence of students.</w:t>
      </w:r>
    </w:p>
    <w:p w14:paraId="21C127F7" w14:textId="0A26F76A" w:rsidR="004D1BCE" w:rsidRDefault="004D1BCE" w:rsidP="004D1BCE">
      <w:pPr>
        <w:autoSpaceDE w:val="0"/>
        <w:autoSpaceDN w:val="0"/>
        <w:bidi w:val="0"/>
        <w:adjustRightInd w:val="0"/>
        <w:spacing w:after="0" w:line="240" w:lineRule="auto"/>
        <w:rPr>
          <w:rFonts w:ascii="MinionPro-Regular" w:hAnsi="MinionPro-Regular" w:cs="MinionPro-Regular"/>
        </w:rPr>
      </w:pPr>
    </w:p>
    <w:p w14:paraId="13EE5854" w14:textId="40506B62" w:rsidR="004D1BCE" w:rsidRPr="004D1BCE" w:rsidRDefault="004D1BCE" w:rsidP="004D1BCE">
      <w:pPr>
        <w:autoSpaceDE w:val="0"/>
        <w:autoSpaceDN w:val="0"/>
        <w:bidi w:val="0"/>
        <w:adjustRightInd w:val="0"/>
        <w:spacing w:after="0" w:line="240" w:lineRule="auto"/>
        <w:rPr>
          <w:rFonts w:ascii="MinionPro-Regular" w:hAnsi="MinionPro-Regular" w:cs="MinionPro-Regular"/>
          <w:b/>
          <w:bCs/>
        </w:rPr>
      </w:pPr>
      <w:r w:rsidRPr="004D1BCE">
        <w:rPr>
          <w:rFonts w:ascii="AdvOT596495f2" w:hAnsi="AdvOT596495f2" w:cs="AdvOT596495f2"/>
          <w:b/>
          <w:bCs/>
          <w:sz w:val="21"/>
          <w:szCs w:val="21"/>
        </w:rPr>
        <w:t>Xiang Hu</w:t>
      </w:r>
      <w:r w:rsidRPr="004D1BCE">
        <w:rPr>
          <w:rFonts w:ascii="AdvOT596495f2" w:hAnsi="AdvOT596495f2" w:cs="AdvOT596495f2"/>
          <w:b/>
          <w:bCs/>
          <w:sz w:val="14"/>
          <w:szCs w:val="14"/>
        </w:rPr>
        <w:t>a</w:t>
      </w:r>
      <w:r w:rsidRPr="004D1BCE">
        <w:rPr>
          <w:rFonts w:ascii="AdvOT596495f2" w:hAnsi="AdvOT596495f2" w:cs="AdvOT596495f2"/>
          <w:b/>
          <w:bCs/>
          <w:sz w:val="21"/>
          <w:szCs w:val="21"/>
        </w:rPr>
        <w:t xml:space="preserve">, Yang </w:t>
      </w:r>
      <w:proofErr w:type="gramStart"/>
      <w:r w:rsidRPr="004D1BCE">
        <w:rPr>
          <w:rFonts w:ascii="AdvOT596495f2" w:hAnsi="AdvOT596495f2" w:cs="AdvOT596495f2"/>
          <w:b/>
          <w:bCs/>
          <w:sz w:val="21"/>
          <w:szCs w:val="21"/>
        </w:rPr>
        <w:t>Gong</w:t>
      </w:r>
      <w:r w:rsidRPr="004D1BCE">
        <w:rPr>
          <w:rFonts w:ascii="AdvOT596495f2" w:hAnsi="AdvOT596495f2" w:cs="AdvOT596495f2"/>
          <w:b/>
          <w:bCs/>
          <w:sz w:val="14"/>
          <w:szCs w:val="14"/>
        </w:rPr>
        <w:t>b,</w:t>
      </w:r>
      <w:r w:rsidRPr="004D1BCE">
        <w:rPr>
          <w:rFonts w:ascii="Cambria Math" w:eastAsia="AdvOT8608a8d1+22" w:hAnsi="Cambria Math" w:cs="Cambria Math"/>
          <w:b/>
          <w:bCs/>
          <w:sz w:val="14"/>
          <w:szCs w:val="14"/>
        </w:rPr>
        <w:t>∗</w:t>
      </w:r>
      <w:proofErr w:type="gramEnd"/>
      <w:r w:rsidRPr="004D1BCE">
        <w:rPr>
          <w:rFonts w:ascii="AdvOT596495f2" w:hAnsi="AdvOT596495f2" w:cs="AdvOT596495f2"/>
          <w:b/>
          <w:bCs/>
          <w:sz w:val="21"/>
          <w:szCs w:val="21"/>
        </w:rPr>
        <w:t>, Chun Lai</w:t>
      </w:r>
      <w:r w:rsidRPr="004D1BCE">
        <w:rPr>
          <w:rFonts w:ascii="AdvOT596495f2" w:hAnsi="AdvOT596495f2" w:cs="AdvOT596495f2"/>
          <w:b/>
          <w:bCs/>
          <w:sz w:val="14"/>
          <w:szCs w:val="14"/>
        </w:rPr>
        <w:t>b</w:t>
      </w:r>
      <w:r w:rsidRPr="004D1BCE">
        <w:rPr>
          <w:rFonts w:ascii="AdvOT596495f2" w:hAnsi="AdvOT596495f2" w:cs="AdvOT596495f2"/>
          <w:b/>
          <w:bCs/>
          <w:sz w:val="21"/>
          <w:szCs w:val="21"/>
        </w:rPr>
        <w:t xml:space="preserve">, Frederick K.S. </w:t>
      </w:r>
      <w:proofErr w:type="spellStart"/>
      <w:r w:rsidRPr="004D1BCE">
        <w:rPr>
          <w:rFonts w:ascii="AdvOT596495f2" w:hAnsi="AdvOT596495f2" w:cs="AdvOT596495f2"/>
          <w:b/>
          <w:bCs/>
          <w:sz w:val="21"/>
          <w:szCs w:val="21"/>
        </w:rPr>
        <w:t>Leung</w:t>
      </w:r>
      <w:r w:rsidRPr="004D1BCE">
        <w:rPr>
          <w:rFonts w:ascii="AdvOT596495f2" w:hAnsi="AdvOT596495f2" w:cs="AdvOT596495f2"/>
          <w:b/>
          <w:bCs/>
          <w:sz w:val="14"/>
          <w:szCs w:val="14"/>
        </w:rPr>
        <w:t>a</w:t>
      </w:r>
      <w:proofErr w:type="spellEnd"/>
    </w:p>
    <w:p w14:paraId="7CB4B804" w14:textId="3C046465" w:rsidR="004D1BCE" w:rsidRDefault="004D1BCE" w:rsidP="004D1BCE">
      <w:pPr>
        <w:autoSpaceDE w:val="0"/>
        <w:autoSpaceDN w:val="0"/>
        <w:bidi w:val="0"/>
        <w:adjustRightInd w:val="0"/>
        <w:spacing w:after="0" w:line="240" w:lineRule="auto"/>
        <w:rPr>
          <w:rFonts w:ascii="MinionPro-Regular" w:hAnsi="MinionPro-Regular" w:cs="MinionPro-Regular"/>
        </w:rPr>
      </w:pPr>
    </w:p>
    <w:p w14:paraId="36462BDC" w14:textId="71DA38B9"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AF1971">
        <w:rPr>
          <w:rFonts w:ascii="AdvOT596495f2" w:hAnsi="AdvOT596495f2" w:cs="AdvOT596495f2"/>
          <w:color w:val="FF0000"/>
          <w:sz w:val="20"/>
          <w:szCs w:val="20"/>
        </w:rPr>
        <w:t>As used in the previous study (Luu &amp; Freeman, 2011), step-be-step exploratory model building strategy (Hox, 2010)</w:t>
      </w:r>
      <w:r w:rsidRPr="004D1BCE">
        <w:rPr>
          <w:rFonts w:ascii="AdvOT596495f2" w:hAnsi="AdvOT596495f2" w:cs="AdvOT596495f2"/>
          <w:sz w:val="20"/>
          <w:szCs w:val="20"/>
        </w:rPr>
        <w:t xml:space="preserve"> was employed to build models with the variables of interest for each subject. All the models had the same meaning and structure for mathematics, reading, and science, and the data analysis procedure was reported altogether.</w:t>
      </w:r>
    </w:p>
    <w:p w14:paraId="3D0D7448" w14:textId="5BBF0F76"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596495f2" w:hAnsi="AdvOT596495f2" w:cs="AdvOT596495f2"/>
          <w:sz w:val="20"/>
          <w:szCs w:val="20"/>
        </w:rPr>
        <w:t>First, a one-way ANOVA model with random e</w:t>
      </w:r>
      <w:r w:rsidRPr="004D1BCE">
        <w:rPr>
          <w:rFonts w:ascii="AdvOT596495f2+fb" w:hAnsi="AdvOT596495f2" w:cs="AdvOT596495f2+fb"/>
          <w:sz w:val="20"/>
          <w:szCs w:val="20"/>
        </w:rPr>
        <w:t>ff</w:t>
      </w:r>
      <w:r w:rsidRPr="004D1BCE">
        <w:rPr>
          <w:rFonts w:ascii="AdvOT596495f2" w:hAnsi="AdvOT596495f2" w:cs="AdvOT596495f2"/>
          <w:sz w:val="20"/>
          <w:szCs w:val="20"/>
        </w:rPr>
        <w:t>ects (null model) was built to test if the variances were signi</w:t>
      </w:r>
      <w:r w:rsidRPr="004D1BCE">
        <w:rPr>
          <w:rFonts w:ascii="AdvOT596495f2+fb" w:hAnsi="AdvOT596495f2" w:cs="AdvOT596495f2+fb"/>
          <w:sz w:val="20"/>
          <w:szCs w:val="20"/>
        </w:rPr>
        <w:t>fi</w:t>
      </w:r>
      <w:r w:rsidRPr="004D1BCE">
        <w:rPr>
          <w:rFonts w:ascii="AdvOT596495f2" w:hAnsi="AdvOT596495f2" w:cs="AdvOT596495f2"/>
          <w:sz w:val="20"/>
          <w:szCs w:val="20"/>
        </w:rPr>
        <w:t>cant at each level:</w:t>
      </w:r>
    </w:p>
    <w:p w14:paraId="4BC0FE41"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p>
    <w:p w14:paraId="4832D46F"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15"/>
          <w:szCs w:val="15"/>
        </w:rPr>
      </w:pPr>
      <w:proofErr w:type="spellStart"/>
      <w:r w:rsidRPr="004D1BCE">
        <w:rPr>
          <w:rFonts w:ascii="AdvOT596495f2" w:hAnsi="AdvOT596495f2" w:cs="AdvOT596495f2"/>
          <w:sz w:val="20"/>
          <w:szCs w:val="20"/>
        </w:rPr>
        <w:t>Y</w:t>
      </w:r>
      <w:r w:rsidRPr="004D1BCE">
        <w:rPr>
          <w:rFonts w:ascii="AdvOT596495f2" w:hAnsi="AdvOT596495f2" w:cs="AdvOT596495f2"/>
          <w:sz w:val="15"/>
          <w:szCs w:val="15"/>
        </w:rPr>
        <w:t>ijk</w:t>
      </w:r>
      <w:proofErr w:type="spellEnd"/>
      <w:r w:rsidRPr="004D1BCE">
        <w:rPr>
          <w:rFonts w:ascii="AdvOT596495f2" w:hAnsi="AdvOT596495f2" w:cs="AdvOT596495f2"/>
          <w:sz w:val="20"/>
          <w:szCs w:val="20"/>
        </w:rPr>
        <w:t>=</w:t>
      </w:r>
      <w:r w:rsidRPr="004D1BCE">
        <w:rPr>
          <w:rFonts w:ascii="AdvOT596495f2+03" w:hAnsi="AdvOT596495f2+03" w:cs="AdvOT596495f2+03"/>
          <w:sz w:val="20"/>
          <w:szCs w:val="20"/>
        </w:rPr>
        <w:t>γ</w:t>
      </w:r>
      <w:r w:rsidRPr="004D1BCE">
        <w:rPr>
          <w:rFonts w:ascii="AdvOT596495f2" w:hAnsi="AdvOT596495f2" w:cs="AdvOT596495f2"/>
          <w:sz w:val="15"/>
          <w:szCs w:val="15"/>
        </w:rPr>
        <w:t xml:space="preserve">000 </w:t>
      </w:r>
      <w:r w:rsidRPr="004D1BCE">
        <w:rPr>
          <w:rFonts w:ascii="AdvOT596495f2" w:hAnsi="AdvOT596495f2" w:cs="AdvOT596495f2"/>
          <w:sz w:val="20"/>
          <w:szCs w:val="20"/>
        </w:rPr>
        <w:t xml:space="preserve">+ </w:t>
      </w:r>
      <w:proofErr w:type="spellStart"/>
      <w:r w:rsidRPr="004D1BCE">
        <w:rPr>
          <w:rFonts w:ascii="AdvOT596495f2" w:hAnsi="AdvOT596495f2" w:cs="AdvOT596495f2"/>
          <w:sz w:val="20"/>
          <w:szCs w:val="20"/>
        </w:rPr>
        <w:t>e</w:t>
      </w:r>
      <w:r w:rsidRPr="004D1BCE">
        <w:rPr>
          <w:rFonts w:ascii="AdvOT596495f2" w:hAnsi="AdvOT596495f2" w:cs="AdvOT596495f2"/>
          <w:sz w:val="15"/>
          <w:szCs w:val="15"/>
        </w:rPr>
        <w:t>ijk</w:t>
      </w:r>
      <w:proofErr w:type="spellEnd"/>
      <w:r w:rsidRPr="004D1BCE">
        <w:rPr>
          <w:rFonts w:ascii="AdvOT596495f2" w:hAnsi="AdvOT596495f2" w:cs="AdvOT596495f2"/>
          <w:sz w:val="15"/>
          <w:szCs w:val="15"/>
        </w:rPr>
        <w:t xml:space="preserve"> </w:t>
      </w:r>
      <w:r w:rsidRPr="004D1BCE">
        <w:rPr>
          <w:rFonts w:ascii="AdvOT596495f2" w:hAnsi="AdvOT596495f2" w:cs="AdvOT596495f2"/>
          <w:sz w:val="20"/>
          <w:szCs w:val="20"/>
        </w:rPr>
        <w:t>+ r</w:t>
      </w:r>
      <w:r w:rsidRPr="004D1BCE">
        <w:rPr>
          <w:rFonts w:ascii="AdvOT596495f2" w:hAnsi="AdvOT596495f2" w:cs="AdvOT596495f2"/>
          <w:sz w:val="15"/>
          <w:szCs w:val="15"/>
        </w:rPr>
        <w:t xml:space="preserve">0jk </w:t>
      </w:r>
      <w:r w:rsidRPr="004D1BCE">
        <w:rPr>
          <w:rFonts w:ascii="AdvOT596495f2" w:hAnsi="AdvOT596495f2" w:cs="AdvOT596495f2"/>
          <w:sz w:val="20"/>
          <w:szCs w:val="20"/>
        </w:rPr>
        <w:t>+ u</w:t>
      </w:r>
      <w:r w:rsidRPr="004D1BCE">
        <w:rPr>
          <w:rFonts w:ascii="AdvOT596495f2" w:hAnsi="AdvOT596495f2" w:cs="AdvOT596495f2"/>
          <w:sz w:val="15"/>
          <w:szCs w:val="15"/>
        </w:rPr>
        <w:t>00k</w:t>
      </w:r>
    </w:p>
    <w:p w14:paraId="610C7DD7"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proofErr w:type="gramStart"/>
      <w:r w:rsidRPr="004D1BCE">
        <w:rPr>
          <w:rFonts w:ascii="AdvOT596495f2" w:hAnsi="AdvOT596495f2" w:cs="AdvOT596495f2"/>
          <w:sz w:val="20"/>
          <w:szCs w:val="20"/>
        </w:rPr>
        <w:t>Where</w:t>
      </w:r>
      <w:proofErr w:type="gramEnd"/>
    </w:p>
    <w:p w14:paraId="374480F1"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proofErr w:type="spellStart"/>
      <w:r w:rsidRPr="004D1BCE">
        <w:rPr>
          <w:rFonts w:ascii="AdvOT596495f2" w:hAnsi="AdvOT596495f2" w:cs="AdvOT596495f2"/>
          <w:sz w:val="20"/>
          <w:szCs w:val="20"/>
        </w:rPr>
        <w:t>Y</w:t>
      </w:r>
      <w:r w:rsidRPr="004D1BCE">
        <w:rPr>
          <w:rFonts w:ascii="AdvOT596495f2" w:hAnsi="AdvOT596495f2" w:cs="AdvOT596495f2"/>
          <w:sz w:val="15"/>
          <w:szCs w:val="15"/>
        </w:rPr>
        <w:t>ijk</w:t>
      </w:r>
      <w:proofErr w:type="spellEnd"/>
      <w:r w:rsidRPr="004D1BCE">
        <w:rPr>
          <w:rFonts w:ascii="AdvOT596495f2" w:hAnsi="AdvOT596495f2" w:cs="AdvOT596495f2"/>
          <w:sz w:val="15"/>
          <w:szCs w:val="15"/>
        </w:rPr>
        <w:t xml:space="preserve"> </w:t>
      </w:r>
      <w:r w:rsidRPr="004D1BCE">
        <w:rPr>
          <w:rFonts w:ascii="AdvOT596495f2" w:hAnsi="AdvOT596495f2" w:cs="AdvOT596495f2"/>
          <w:sz w:val="20"/>
          <w:szCs w:val="20"/>
        </w:rPr>
        <w:t xml:space="preserve">is the mathematics/reading/science scores for the student </w:t>
      </w:r>
      <w:proofErr w:type="spellStart"/>
      <w:r w:rsidRPr="004D1BCE">
        <w:rPr>
          <w:rFonts w:ascii="AdvOT596495f2" w:hAnsi="AdvOT596495f2" w:cs="AdvOT596495f2"/>
          <w:sz w:val="20"/>
          <w:szCs w:val="20"/>
        </w:rPr>
        <w:t>i</w:t>
      </w:r>
      <w:proofErr w:type="spellEnd"/>
      <w:r w:rsidRPr="004D1BCE">
        <w:rPr>
          <w:rFonts w:ascii="AdvOT596495f2" w:hAnsi="AdvOT596495f2" w:cs="AdvOT596495f2"/>
          <w:sz w:val="20"/>
          <w:szCs w:val="20"/>
        </w:rPr>
        <w:t xml:space="preserve"> in school j in country </w:t>
      </w:r>
      <w:proofErr w:type="gramStart"/>
      <w:r w:rsidRPr="004D1BCE">
        <w:rPr>
          <w:rFonts w:ascii="AdvOT596495f2" w:hAnsi="AdvOT596495f2" w:cs="AdvOT596495f2"/>
          <w:sz w:val="20"/>
          <w:szCs w:val="20"/>
        </w:rPr>
        <w:t>k</w:t>
      </w:r>
      <w:proofErr w:type="gramEnd"/>
    </w:p>
    <w:p w14:paraId="5A135D3D"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7fb33346.I+03" w:hAnsi="AdvOT7fb33346.I+03" w:cs="AdvOT7fb33346.I+03"/>
          <w:sz w:val="20"/>
          <w:szCs w:val="20"/>
        </w:rPr>
        <w:t>γ</w:t>
      </w:r>
      <w:r w:rsidRPr="004D1BCE">
        <w:rPr>
          <w:rFonts w:ascii="AdvOT7fb33346.I" w:hAnsi="AdvOT7fb33346.I" w:cs="AdvOT7fb33346.I"/>
          <w:sz w:val="15"/>
          <w:szCs w:val="15"/>
        </w:rPr>
        <w:t xml:space="preserve">000 </w:t>
      </w:r>
      <w:r w:rsidRPr="004D1BCE">
        <w:rPr>
          <w:rFonts w:ascii="AdvOT596495f2" w:hAnsi="AdvOT596495f2" w:cs="AdvOT596495f2"/>
          <w:sz w:val="20"/>
          <w:szCs w:val="20"/>
        </w:rPr>
        <w:t xml:space="preserve">is the grand mean mathematics/reading/science scores for all countries included in the </w:t>
      </w:r>
      <w:proofErr w:type="gramStart"/>
      <w:r w:rsidRPr="004D1BCE">
        <w:rPr>
          <w:rFonts w:ascii="AdvOT596495f2" w:hAnsi="AdvOT596495f2" w:cs="AdvOT596495f2"/>
          <w:sz w:val="20"/>
          <w:szCs w:val="20"/>
        </w:rPr>
        <w:t>sample</w:t>
      </w:r>
      <w:proofErr w:type="gramEnd"/>
    </w:p>
    <w:p w14:paraId="33ECD623"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proofErr w:type="spellStart"/>
      <w:r w:rsidRPr="004D1BCE">
        <w:rPr>
          <w:rFonts w:ascii="AdvOT7fb33346.I" w:hAnsi="AdvOT7fb33346.I" w:cs="AdvOT7fb33346.I"/>
          <w:sz w:val="20"/>
          <w:szCs w:val="20"/>
        </w:rPr>
        <w:t>e</w:t>
      </w:r>
      <w:r w:rsidRPr="004D1BCE">
        <w:rPr>
          <w:rFonts w:ascii="AdvOT7fb33346.I" w:hAnsi="AdvOT7fb33346.I" w:cs="AdvOT7fb33346.I"/>
          <w:sz w:val="15"/>
          <w:szCs w:val="15"/>
        </w:rPr>
        <w:t>ijk</w:t>
      </w:r>
      <w:proofErr w:type="spellEnd"/>
      <w:r w:rsidRPr="004D1BCE">
        <w:rPr>
          <w:rFonts w:ascii="AdvOT7fb33346.I" w:hAnsi="AdvOT7fb33346.I" w:cs="AdvOT7fb33346.I"/>
          <w:sz w:val="15"/>
          <w:szCs w:val="15"/>
        </w:rPr>
        <w:t xml:space="preserve"> </w:t>
      </w:r>
      <w:r w:rsidRPr="004D1BCE">
        <w:rPr>
          <w:rFonts w:ascii="AdvOT596495f2" w:hAnsi="AdvOT596495f2" w:cs="AdvOT596495f2"/>
          <w:sz w:val="20"/>
          <w:szCs w:val="20"/>
        </w:rPr>
        <w:t xml:space="preserve">is the residues for student </w:t>
      </w:r>
      <w:proofErr w:type="spellStart"/>
      <w:r w:rsidRPr="004D1BCE">
        <w:rPr>
          <w:rFonts w:ascii="AdvOT596495f2" w:hAnsi="AdvOT596495f2" w:cs="AdvOT596495f2"/>
          <w:sz w:val="20"/>
          <w:szCs w:val="20"/>
        </w:rPr>
        <w:t>i</w:t>
      </w:r>
      <w:proofErr w:type="spellEnd"/>
      <w:r w:rsidRPr="004D1BCE">
        <w:rPr>
          <w:rFonts w:ascii="AdvOT596495f2" w:hAnsi="AdvOT596495f2" w:cs="AdvOT596495f2"/>
          <w:sz w:val="20"/>
          <w:szCs w:val="20"/>
        </w:rPr>
        <w:t xml:space="preserve"> in school j of country </w:t>
      </w:r>
      <w:proofErr w:type="gramStart"/>
      <w:r w:rsidRPr="004D1BCE">
        <w:rPr>
          <w:rFonts w:ascii="AdvOT596495f2" w:hAnsi="AdvOT596495f2" w:cs="AdvOT596495f2"/>
          <w:sz w:val="20"/>
          <w:szCs w:val="20"/>
        </w:rPr>
        <w:t>k</w:t>
      </w:r>
      <w:proofErr w:type="gramEnd"/>
    </w:p>
    <w:p w14:paraId="1FDFC28D"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7fb33346.I" w:hAnsi="AdvOT7fb33346.I" w:cs="AdvOT7fb33346.I"/>
          <w:sz w:val="20"/>
          <w:szCs w:val="20"/>
        </w:rPr>
        <w:t>r</w:t>
      </w:r>
      <w:r w:rsidRPr="004D1BCE">
        <w:rPr>
          <w:rFonts w:ascii="AdvOT7fb33346.I" w:hAnsi="AdvOT7fb33346.I" w:cs="AdvOT7fb33346.I"/>
          <w:sz w:val="15"/>
          <w:szCs w:val="15"/>
        </w:rPr>
        <w:t xml:space="preserve">0jk </w:t>
      </w:r>
      <w:r w:rsidRPr="004D1BCE">
        <w:rPr>
          <w:rFonts w:ascii="AdvOT596495f2" w:hAnsi="AdvOT596495f2" w:cs="AdvOT596495f2"/>
          <w:sz w:val="20"/>
          <w:szCs w:val="20"/>
        </w:rPr>
        <w:t xml:space="preserve">is the residues for school j in country </w:t>
      </w:r>
      <w:proofErr w:type="gramStart"/>
      <w:r w:rsidRPr="004D1BCE">
        <w:rPr>
          <w:rFonts w:ascii="AdvOT596495f2" w:hAnsi="AdvOT596495f2" w:cs="AdvOT596495f2"/>
          <w:sz w:val="20"/>
          <w:szCs w:val="20"/>
        </w:rPr>
        <w:t>k</w:t>
      </w:r>
      <w:proofErr w:type="gramEnd"/>
    </w:p>
    <w:p w14:paraId="663759C9" w14:textId="5F78CA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7fb33346.I" w:hAnsi="AdvOT7fb33346.I" w:cs="AdvOT7fb33346.I"/>
          <w:sz w:val="20"/>
          <w:szCs w:val="20"/>
        </w:rPr>
        <w:t>u</w:t>
      </w:r>
      <w:r w:rsidRPr="004D1BCE">
        <w:rPr>
          <w:rFonts w:ascii="AdvOT7fb33346.I" w:hAnsi="AdvOT7fb33346.I" w:cs="AdvOT7fb33346.I"/>
          <w:sz w:val="15"/>
          <w:szCs w:val="15"/>
        </w:rPr>
        <w:t xml:space="preserve">00k </w:t>
      </w:r>
      <w:r w:rsidRPr="004D1BCE">
        <w:rPr>
          <w:rFonts w:ascii="AdvOT596495f2" w:hAnsi="AdvOT596495f2" w:cs="AdvOT596495f2"/>
          <w:sz w:val="20"/>
          <w:szCs w:val="20"/>
        </w:rPr>
        <w:t>is the residues for country k.</w:t>
      </w:r>
    </w:p>
    <w:p w14:paraId="37FC120B"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p>
    <w:p w14:paraId="7C12FF0E"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596495f2" w:hAnsi="AdvOT596495f2" w:cs="AdvOT596495f2"/>
          <w:sz w:val="20"/>
          <w:szCs w:val="20"/>
        </w:rPr>
        <w:t xml:space="preserve">Second, explanatory predictors </w:t>
      </w:r>
      <w:proofErr w:type="gramStart"/>
      <w:r w:rsidRPr="004D1BCE">
        <w:rPr>
          <w:rFonts w:ascii="AdvOT596495f2" w:hAnsi="AdvOT596495f2" w:cs="AdvOT596495f2"/>
          <w:sz w:val="20"/>
          <w:szCs w:val="20"/>
        </w:rPr>
        <w:t>were  included</w:t>
      </w:r>
      <w:proofErr w:type="gramEnd"/>
      <w:r w:rsidRPr="004D1BCE">
        <w:rPr>
          <w:rFonts w:ascii="AdvOT596495f2" w:hAnsi="AdvOT596495f2" w:cs="AdvOT596495f2"/>
          <w:sz w:val="20"/>
          <w:szCs w:val="20"/>
        </w:rPr>
        <w:t xml:space="preserve"> in sequential sets: the </w:t>
      </w:r>
      <w:r w:rsidRPr="004D1BCE">
        <w:rPr>
          <w:rFonts w:ascii="AdvOT596495f2+fb" w:hAnsi="AdvOT596495f2" w:cs="AdvOT596495f2+fb"/>
          <w:sz w:val="20"/>
          <w:szCs w:val="20"/>
        </w:rPr>
        <w:t>fi</w:t>
      </w:r>
      <w:r w:rsidRPr="004D1BCE">
        <w:rPr>
          <w:rFonts w:ascii="AdvOT596495f2" w:hAnsi="AdvOT596495f2" w:cs="AdvOT596495f2"/>
          <w:sz w:val="20"/>
          <w:szCs w:val="20"/>
        </w:rPr>
        <w:t xml:space="preserve">rst set was </w:t>
      </w:r>
      <w:r w:rsidRPr="004D1BCE">
        <w:rPr>
          <w:rFonts w:ascii="AdvOT1efcda3b.B" w:hAnsi="AdvOT1efcda3b.B" w:cs="AdvOT1efcda3b.B"/>
          <w:sz w:val="20"/>
          <w:szCs w:val="20"/>
        </w:rPr>
        <w:t xml:space="preserve">U </w:t>
      </w:r>
      <w:r w:rsidRPr="004D1BCE">
        <w:rPr>
          <w:rFonts w:ascii="AdvOT596495f2" w:hAnsi="AdvOT596495f2" w:cs="AdvOT596495f2"/>
          <w:sz w:val="20"/>
          <w:szCs w:val="20"/>
        </w:rPr>
        <w:t>student-level variables (GENDER, SES, ICTHOME, ICTSCH, HOMESCH, ENTUSE, USESCH, INTICT, COMPICT, AUTICT, SOIAICT). Each student-level predictor was included separately in the null model to test its absolute e</w:t>
      </w:r>
      <w:r w:rsidRPr="004D1BCE">
        <w:rPr>
          <w:rFonts w:ascii="AdvOT596495f2+fb" w:hAnsi="AdvOT596495f2" w:cs="AdvOT596495f2+fb"/>
          <w:sz w:val="20"/>
          <w:szCs w:val="20"/>
        </w:rPr>
        <w:t>ff</w:t>
      </w:r>
      <w:r w:rsidRPr="004D1BCE">
        <w:rPr>
          <w:rFonts w:ascii="AdvOT596495f2" w:hAnsi="AdvOT596495f2" w:cs="AdvOT596495f2"/>
          <w:sz w:val="20"/>
          <w:szCs w:val="20"/>
        </w:rPr>
        <w:t>ect; predictors with signi</w:t>
      </w:r>
      <w:r w:rsidRPr="004D1BCE">
        <w:rPr>
          <w:rFonts w:ascii="AdvOT596495f2+fb" w:hAnsi="AdvOT596495f2" w:cs="AdvOT596495f2+fb"/>
          <w:sz w:val="20"/>
          <w:szCs w:val="20"/>
        </w:rPr>
        <w:t>fi</w:t>
      </w:r>
      <w:r w:rsidRPr="004D1BCE">
        <w:rPr>
          <w:rFonts w:ascii="AdvOT596495f2" w:hAnsi="AdvOT596495f2" w:cs="AdvOT596495f2"/>
          <w:sz w:val="20"/>
          <w:szCs w:val="20"/>
        </w:rPr>
        <w:t>cant e</w:t>
      </w:r>
      <w:r w:rsidRPr="004D1BCE">
        <w:rPr>
          <w:rFonts w:ascii="AdvOT596495f2+fb" w:hAnsi="AdvOT596495f2" w:cs="AdvOT596495f2+fb"/>
          <w:sz w:val="20"/>
          <w:szCs w:val="20"/>
        </w:rPr>
        <w:t>ff</w:t>
      </w:r>
      <w:r w:rsidRPr="004D1BCE">
        <w:rPr>
          <w:rFonts w:ascii="AdvOT596495f2" w:hAnsi="AdvOT596495f2" w:cs="AdvOT596495f2"/>
          <w:sz w:val="20"/>
          <w:szCs w:val="20"/>
        </w:rPr>
        <w:t>ects (p &lt; .05) were then added together to test their e</w:t>
      </w:r>
      <w:r w:rsidRPr="004D1BCE">
        <w:rPr>
          <w:rFonts w:ascii="AdvOT596495f2+fb" w:hAnsi="AdvOT596495f2" w:cs="AdvOT596495f2+fb"/>
          <w:sz w:val="20"/>
          <w:szCs w:val="20"/>
        </w:rPr>
        <w:t>ff</w:t>
      </w:r>
      <w:r w:rsidRPr="004D1BCE">
        <w:rPr>
          <w:rFonts w:ascii="AdvOT596495f2" w:hAnsi="AdvOT596495f2" w:cs="AdvOT596495f2"/>
          <w:sz w:val="20"/>
          <w:szCs w:val="20"/>
        </w:rPr>
        <w:t>ects in the presence of other predictors (Luu &amp; Freeman, 2011; Ma et al., 2008). If any predictor became no longer statistically signi</w:t>
      </w:r>
      <w:r w:rsidRPr="004D1BCE">
        <w:rPr>
          <w:rFonts w:ascii="AdvOT596495f2+fb" w:hAnsi="AdvOT596495f2" w:cs="AdvOT596495f2+fb"/>
          <w:sz w:val="20"/>
          <w:szCs w:val="20"/>
        </w:rPr>
        <w:t>fi</w:t>
      </w:r>
      <w:r w:rsidRPr="004D1BCE">
        <w:rPr>
          <w:rFonts w:ascii="AdvOT596495f2" w:hAnsi="AdvOT596495f2" w:cs="AdvOT596495f2"/>
          <w:sz w:val="20"/>
          <w:szCs w:val="20"/>
        </w:rPr>
        <w:t>cant in the model, the predictor with the largest p-value was removed. This step was repeated until all included predictors were statistically signi</w:t>
      </w:r>
      <w:r w:rsidRPr="004D1BCE">
        <w:rPr>
          <w:rFonts w:ascii="AdvOT596495f2+fb" w:hAnsi="AdvOT596495f2" w:cs="AdvOT596495f2+fb"/>
          <w:sz w:val="20"/>
          <w:szCs w:val="20"/>
        </w:rPr>
        <w:t>fi</w:t>
      </w:r>
      <w:r w:rsidRPr="004D1BCE">
        <w:rPr>
          <w:rFonts w:ascii="AdvOT596495f2" w:hAnsi="AdvOT596495f2" w:cs="AdvOT596495f2"/>
          <w:sz w:val="20"/>
          <w:szCs w:val="20"/>
        </w:rPr>
        <w:t xml:space="preserve">cant with the dependent variable. </w:t>
      </w:r>
    </w:p>
    <w:p w14:paraId="610102D6"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p>
    <w:p w14:paraId="66F20097" w14:textId="3BB7D2D5"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596495f2" w:hAnsi="AdvOT596495f2" w:cs="AdvOT596495f2"/>
          <w:sz w:val="20"/>
          <w:szCs w:val="20"/>
        </w:rPr>
        <w:t xml:space="preserve">Then, each of the </w:t>
      </w:r>
      <w:r w:rsidRPr="004D1BCE">
        <w:rPr>
          <w:rFonts w:ascii="AdvOT1efcda3b.B" w:hAnsi="AdvOT1efcda3b.B" w:cs="AdvOT1efcda3b.B"/>
          <w:sz w:val="20"/>
          <w:szCs w:val="20"/>
        </w:rPr>
        <w:t xml:space="preserve">V </w:t>
      </w:r>
      <w:r w:rsidRPr="004D1BCE">
        <w:rPr>
          <w:rFonts w:ascii="AdvOT596495f2" w:hAnsi="AdvOT596495f2" w:cs="AdvOT596495f2"/>
          <w:sz w:val="20"/>
          <w:szCs w:val="20"/>
        </w:rPr>
        <w:t>school-level variables (SCHSIZE, SCHLOCA, RATCMP1, RATCMP2, M_ICTSCH, M_USESCH, M_INTICT, M_COMPICT, M_AUTICT, M_SOIAIC) was added to the model built above, followed by the inclusion of all statistically signi</w:t>
      </w:r>
      <w:r w:rsidRPr="004D1BCE">
        <w:rPr>
          <w:rFonts w:ascii="AdvOT596495f2+fb" w:hAnsi="AdvOT596495f2" w:cs="AdvOT596495f2+fb"/>
          <w:sz w:val="20"/>
          <w:szCs w:val="20"/>
        </w:rPr>
        <w:t>fi</w:t>
      </w:r>
      <w:r w:rsidRPr="004D1BCE">
        <w:rPr>
          <w:rFonts w:ascii="AdvOT596495f2" w:hAnsi="AdvOT596495f2" w:cs="AdvOT596495f2"/>
          <w:sz w:val="20"/>
          <w:szCs w:val="20"/>
        </w:rPr>
        <w:t>cant variables. One variable with the largest p-value at one time was still excluded until all remaining variables were statistically signi</w:t>
      </w:r>
      <w:r w:rsidRPr="004D1BCE">
        <w:rPr>
          <w:rFonts w:ascii="AdvOT596495f2+fb" w:hAnsi="AdvOT596495f2" w:cs="AdvOT596495f2+fb"/>
          <w:sz w:val="20"/>
          <w:szCs w:val="20"/>
        </w:rPr>
        <w:t>fi</w:t>
      </w:r>
      <w:r w:rsidRPr="004D1BCE">
        <w:rPr>
          <w:rFonts w:ascii="AdvOT596495f2" w:hAnsi="AdvOT596495f2" w:cs="AdvOT596495f2"/>
          <w:sz w:val="20"/>
          <w:szCs w:val="20"/>
        </w:rPr>
        <w:t xml:space="preserve">cant. Last, the procedure for </w:t>
      </w:r>
      <w:r w:rsidRPr="004D1BCE">
        <w:rPr>
          <w:rFonts w:ascii="AdvOT1efcda3b.B" w:hAnsi="AdvOT1efcda3b.B" w:cs="AdvOT1efcda3b.B"/>
          <w:sz w:val="20"/>
          <w:szCs w:val="20"/>
        </w:rPr>
        <w:t xml:space="preserve">V </w:t>
      </w:r>
      <w:r w:rsidRPr="004D1BCE">
        <w:rPr>
          <w:rFonts w:ascii="AdvOT596495f2" w:hAnsi="AdvOT596495f2" w:cs="AdvOT596495f2"/>
          <w:sz w:val="20"/>
          <w:szCs w:val="20"/>
        </w:rPr>
        <w:t xml:space="preserve">was employed for </w:t>
      </w:r>
      <w:r w:rsidRPr="004D1BCE">
        <w:rPr>
          <w:rFonts w:ascii="AdvOT1efcda3b.B" w:hAnsi="AdvOT1efcda3b.B" w:cs="AdvOT1efcda3b.B"/>
          <w:sz w:val="20"/>
          <w:szCs w:val="20"/>
        </w:rPr>
        <w:t xml:space="preserve">W </w:t>
      </w:r>
      <w:r w:rsidRPr="004D1BCE">
        <w:rPr>
          <w:rFonts w:ascii="AdvOT596495f2" w:hAnsi="AdvOT596495f2" w:cs="AdvOT596495f2"/>
          <w:sz w:val="20"/>
          <w:szCs w:val="20"/>
        </w:rPr>
        <w:t>country-level variables (ACCUSE and</w:t>
      </w:r>
    </w:p>
    <w:p w14:paraId="6D0D9D16" w14:textId="16201C68"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596495f2" w:hAnsi="AdvOT596495f2" w:cs="AdvOT596495f2"/>
          <w:sz w:val="20"/>
          <w:szCs w:val="20"/>
        </w:rPr>
        <w:t xml:space="preserve">SKILLS) to produce the </w:t>
      </w:r>
      <w:r w:rsidRPr="004D1BCE">
        <w:rPr>
          <w:rFonts w:ascii="AdvOT596495f2+fb" w:hAnsi="AdvOT596495f2" w:cs="AdvOT596495f2+fb"/>
          <w:sz w:val="20"/>
          <w:szCs w:val="20"/>
        </w:rPr>
        <w:t>fi</w:t>
      </w:r>
      <w:r w:rsidRPr="004D1BCE">
        <w:rPr>
          <w:rFonts w:ascii="AdvOT596495f2" w:hAnsi="AdvOT596495f2" w:cs="AdvOT596495f2"/>
          <w:sz w:val="20"/>
          <w:szCs w:val="20"/>
        </w:rPr>
        <w:t>nal model.</w:t>
      </w:r>
    </w:p>
    <w:p w14:paraId="68EE9241"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p>
    <w:p w14:paraId="3E5034FA" w14:textId="77777777" w:rsidR="004D1BCE" w:rsidRPr="004D1BCE" w:rsidRDefault="004D1BCE" w:rsidP="004D1BCE">
      <w:pPr>
        <w:autoSpaceDE w:val="0"/>
        <w:autoSpaceDN w:val="0"/>
        <w:bidi w:val="0"/>
        <w:adjustRightInd w:val="0"/>
        <w:spacing w:after="0" w:line="240" w:lineRule="auto"/>
        <w:rPr>
          <w:rFonts w:ascii="AdvOT7fb33346.I" w:hAnsi="AdvOT7fb33346.I" w:cs="AdvOT7fb33346.I"/>
          <w:sz w:val="15"/>
          <w:szCs w:val="15"/>
        </w:rPr>
      </w:pPr>
      <w:proofErr w:type="spellStart"/>
      <w:r w:rsidRPr="004D1BCE">
        <w:rPr>
          <w:rFonts w:ascii="AdvOT596495f2" w:hAnsi="AdvOT596495f2" w:cs="AdvOT596495f2"/>
          <w:sz w:val="20"/>
          <w:szCs w:val="20"/>
        </w:rPr>
        <w:t>Y</w:t>
      </w:r>
      <w:r w:rsidRPr="004D1BCE">
        <w:rPr>
          <w:rFonts w:ascii="AdvOT596495f2" w:hAnsi="AdvOT596495f2" w:cs="AdvOT596495f2"/>
          <w:sz w:val="15"/>
          <w:szCs w:val="15"/>
        </w:rPr>
        <w:t>ijk</w:t>
      </w:r>
      <w:proofErr w:type="spellEnd"/>
      <w:r w:rsidRPr="004D1BCE">
        <w:rPr>
          <w:rFonts w:ascii="AdvOT596495f2" w:hAnsi="AdvOT596495f2" w:cs="AdvOT596495f2"/>
          <w:sz w:val="20"/>
          <w:szCs w:val="20"/>
        </w:rPr>
        <w:t>=</w:t>
      </w:r>
      <w:r w:rsidRPr="004D1BCE">
        <w:rPr>
          <w:rFonts w:ascii="AdvOT7fb33346.I+03" w:hAnsi="AdvOT7fb33346.I+03" w:cs="AdvOT7fb33346.I+03"/>
          <w:sz w:val="20"/>
          <w:szCs w:val="20"/>
        </w:rPr>
        <w:t>γ</w:t>
      </w:r>
      <w:r w:rsidRPr="004D1BCE">
        <w:rPr>
          <w:rFonts w:ascii="AdvOT7fb33346.I" w:hAnsi="AdvOT7fb33346.I" w:cs="AdvOT7fb33346.I"/>
          <w:sz w:val="15"/>
          <w:szCs w:val="15"/>
        </w:rPr>
        <w:t xml:space="preserve">000 </w:t>
      </w:r>
      <w:r w:rsidRPr="004D1BCE">
        <w:rPr>
          <w:rFonts w:ascii="AdvOT596495f2" w:hAnsi="AdvOT596495f2" w:cs="AdvOT596495f2"/>
          <w:sz w:val="20"/>
          <w:szCs w:val="20"/>
        </w:rPr>
        <w:t xml:space="preserve">+ </w:t>
      </w:r>
      <w:r w:rsidRPr="004D1BCE">
        <w:rPr>
          <w:rFonts w:ascii="AdvOT596495f2+03" w:hAnsi="AdvOT596495f2+03" w:cs="AdvOT596495f2+03"/>
          <w:sz w:val="20"/>
          <w:szCs w:val="20"/>
        </w:rPr>
        <w:t>π</w:t>
      </w:r>
      <w:proofErr w:type="spellStart"/>
      <w:r w:rsidRPr="004D1BCE">
        <w:rPr>
          <w:rFonts w:ascii="AdvOT596495f2" w:hAnsi="AdvOT596495f2" w:cs="AdvOT596495f2"/>
          <w:sz w:val="15"/>
          <w:szCs w:val="15"/>
        </w:rPr>
        <w:t>ujk</w:t>
      </w:r>
      <w:proofErr w:type="spellEnd"/>
      <w:r w:rsidRPr="004D1BCE">
        <w:rPr>
          <w:rFonts w:ascii="AdvOT596495f2" w:hAnsi="AdvOT596495f2" w:cs="AdvOT596495f2"/>
          <w:sz w:val="15"/>
          <w:szCs w:val="15"/>
        </w:rPr>
        <w:t xml:space="preserve"> </w:t>
      </w:r>
      <w:proofErr w:type="spellStart"/>
      <w:r w:rsidRPr="004D1BCE">
        <w:rPr>
          <w:rFonts w:ascii="AdvOT1efcda3b.B" w:hAnsi="AdvOT1efcda3b.B" w:cs="AdvOT1efcda3b.B"/>
          <w:sz w:val="20"/>
          <w:szCs w:val="20"/>
        </w:rPr>
        <w:t>Student</w:t>
      </w:r>
      <w:r w:rsidRPr="004D1BCE">
        <w:rPr>
          <w:rFonts w:ascii="AdvOT596495f2" w:hAnsi="AdvOT596495f2" w:cs="AdvOT596495f2"/>
          <w:sz w:val="15"/>
          <w:szCs w:val="15"/>
        </w:rPr>
        <w:t>ijk</w:t>
      </w:r>
      <w:proofErr w:type="spellEnd"/>
      <w:r w:rsidRPr="004D1BCE">
        <w:rPr>
          <w:rFonts w:ascii="AdvOT596495f2" w:hAnsi="AdvOT596495f2" w:cs="AdvOT596495f2"/>
          <w:sz w:val="15"/>
          <w:szCs w:val="15"/>
        </w:rPr>
        <w:t xml:space="preserve"> </w:t>
      </w:r>
      <w:r w:rsidRPr="004D1BCE">
        <w:rPr>
          <w:rFonts w:ascii="AdvOT596495f2" w:hAnsi="AdvOT596495f2" w:cs="AdvOT596495f2"/>
          <w:sz w:val="20"/>
          <w:szCs w:val="20"/>
        </w:rPr>
        <w:t xml:space="preserve">+ </w:t>
      </w:r>
      <w:r w:rsidRPr="004D1BCE">
        <w:rPr>
          <w:rFonts w:ascii="AdvOT596495f2+03" w:hAnsi="AdvOT596495f2+03" w:cs="AdvOT596495f2+03"/>
          <w:sz w:val="20"/>
          <w:szCs w:val="20"/>
        </w:rPr>
        <w:t>β</w:t>
      </w:r>
      <w:r w:rsidRPr="004D1BCE">
        <w:rPr>
          <w:rFonts w:ascii="AdvOT596495f2" w:hAnsi="AdvOT596495f2" w:cs="AdvOT596495f2"/>
          <w:sz w:val="15"/>
          <w:szCs w:val="15"/>
        </w:rPr>
        <w:t xml:space="preserve">0vk </w:t>
      </w:r>
      <w:r w:rsidRPr="004D1BCE">
        <w:rPr>
          <w:rFonts w:ascii="AdvOT1efcda3b.B" w:hAnsi="AdvOT1efcda3b.B" w:cs="AdvOT1efcda3b.B"/>
          <w:sz w:val="20"/>
          <w:szCs w:val="20"/>
        </w:rPr>
        <w:t>School</w:t>
      </w:r>
      <w:r w:rsidRPr="004D1BCE">
        <w:rPr>
          <w:rFonts w:ascii="AdvOT596495f2" w:hAnsi="AdvOT596495f2" w:cs="AdvOT596495f2"/>
          <w:sz w:val="15"/>
          <w:szCs w:val="15"/>
        </w:rPr>
        <w:t xml:space="preserve">0jk </w:t>
      </w:r>
      <w:r w:rsidRPr="004D1BCE">
        <w:rPr>
          <w:rFonts w:ascii="AdvOT596495f2" w:hAnsi="AdvOT596495f2" w:cs="AdvOT596495f2"/>
          <w:sz w:val="20"/>
          <w:szCs w:val="20"/>
        </w:rPr>
        <w:t xml:space="preserve">+ </w:t>
      </w:r>
      <w:r w:rsidRPr="004D1BCE">
        <w:rPr>
          <w:rFonts w:ascii="AdvOT596495f2+03" w:hAnsi="AdvOT596495f2+03" w:cs="AdvOT596495f2+03"/>
          <w:sz w:val="20"/>
          <w:szCs w:val="20"/>
        </w:rPr>
        <w:t>γ</w:t>
      </w:r>
      <w:r w:rsidRPr="004D1BCE">
        <w:rPr>
          <w:rFonts w:ascii="AdvOT596495f2" w:hAnsi="AdvOT596495f2" w:cs="AdvOT596495f2"/>
          <w:sz w:val="15"/>
          <w:szCs w:val="15"/>
        </w:rPr>
        <w:t xml:space="preserve">00w </w:t>
      </w:r>
      <w:r w:rsidRPr="004D1BCE">
        <w:rPr>
          <w:rFonts w:ascii="AdvOT1efcda3b.B" w:hAnsi="AdvOT1efcda3b.B" w:cs="AdvOT1efcda3b.B"/>
          <w:sz w:val="20"/>
          <w:szCs w:val="20"/>
        </w:rPr>
        <w:t>Country</w:t>
      </w:r>
      <w:r w:rsidRPr="004D1BCE">
        <w:rPr>
          <w:rFonts w:ascii="AdvOT596495f2" w:hAnsi="AdvOT596495f2" w:cs="AdvOT596495f2"/>
          <w:sz w:val="15"/>
          <w:szCs w:val="15"/>
        </w:rPr>
        <w:t xml:space="preserve">00k </w:t>
      </w:r>
      <w:r w:rsidRPr="004D1BCE">
        <w:rPr>
          <w:rFonts w:ascii="AdvOT596495f2" w:hAnsi="AdvOT596495f2" w:cs="AdvOT596495f2"/>
          <w:sz w:val="20"/>
          <w:szCs w:val="20"/>
        </w:rPr>
        <w:t xml:space="preserve">+ </w:t>
      </w:r>
      <w:proofErr w:type="spellStart"/>
      <w:r w:rsidRPr="004D1BCE">
        <w:rPr>
          <w:rFonts w:ascii="AdvOT7fb33346.I" w:hAnsi="AdvOT7fb33346.I" w:cs="AdvOT7fb33346.I"/>
          <w:sz w:val="20"/>
          <w:szCs w:val="20"/>
        </w:rPr>
        <w:t>e</w:t>
      </w:r>
      <w:r w:rsidRPr="004D1BCE">
        <w:rPr>
          <w:rFonts w:ascii="AdvOT7fb33346.I" w:hAnsi="AdvOT7fb33346.I" w:cs="AdvOT7fb33346.I"/>
          <w:sz w:val="15"/>
          <w:szCs w:val="15"/>
        </w:rPr>
        <w:t>ijk</w:t>
      </w:r>
      <w:proofErr w:type="spellEnd"/>
      <w:r w:rsidRPr="004D1BCE">
        <w:rPr>
          <w:rFonts w:ascii="AdvOT7fb33346.I" w:hAnsi="AdvOT7fb33346.I" w:cs="AdvOT7fb33346.I"/>
          <w:sz w:val="15"/>
          <w:szCs w:val="15"/>
        </w:rPr>
        <w:t xml:space="preserve"> </w:t>
      </w:r>
      <w:r w:rsidRPr="004D1BCE">
        <w:rPr>
          <w:rFonts w:ascii="AdvOT596495f2" w:hAnsi="AdvOT596495f2" w:cs="AdvOT596495f2"/>
          <w:sz w:val="20"/>
          <w:szCs w:val="20"/>
        </w:rPr>
        <w:t xml:space="preserve">+ </w:t>
      </w:r>
      <w:r w:rsidRPr="004D1BCE">
        <w:rPr>
          <w:rFonts w:ascii="AdvOT7fb33346.I" w:hAnsi="AdvOT7fb33346.I" w:cs="AdvOT7fb33346.I"/>
          <w:sz w:val="20"/>
          <w:szCs w:val="20"/>
        </w:rPr>
        <w:t>r</w:t>
      </w:r>
      <w:r w:rsidRPr="004D1BCE">
        <w:rPr>
          <w:rFonts w:ascii="AdvOT7fb33346.I" w:hAnsi="AdvOT7fb33346.I" w:cs="AdvOT7fb33346.I"/>
          <w:sz w:val="15"/>
          <w:szCs w:val="15"/>
        </w:rPr>
        <w:t xml:space="preserve">0jk </w:t>
      </w:r>
      <w:r w:rsidRPr="004D1BCE">
        <w:rPr>
          <w:rFonts w:ascii="AdvOT596495f2" w:hAnsi="AdvOT596495f2" w:cs="AdvOT596495f2"/>
          <w:sz w:val="20"/>
          <w:szCs w:val="20"/>
        </w:rPr>
        <w:t xml:space="preserve">+ </w:t>
      </w:r>
      <w:r w:rsidRPr="004D1BCE">
        <w:rPr>
          <w:rFonts w:ascii="AdvOT7fb33346.I" w:hAnsi="AdvOT7fb33346.I" w:cs="AdvOT7fb33346.I"/>
          <w:sz w:val="20"/>
          <w:szCs w:val="20"/>
        </w:rPr>
        <w:t>u</w:t>
      </w:r>
      <w:r w:rsidRPr="004D1BCE">
        <w:rPr>
          <w:rFonts w:ascii="AdvOT7fb33346.I" w:hAnsi="AdvOT7fb33346.I" w:cs="AdvOT7fb33346.I"/>
          <w:sz w:val="15"/>
          <w:szCs w:val="15"/>
        </w:rPr>
        <w:t>00k</w:t>
      </w:r>
    </w:p>
    <w:p w14:paraId="260D2886"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proofErr w:type="gramStart"/>
      <w:r w:rsidRPr="004D1BCE">
        <w:rPr>
          <w:rFonts w:ascii="AdvOT596495f2" w:hAnsi="AdvOT596495f2" w:cs="AdvOT596495f2"/>
          <w:sz w:val="20"/>
          <w:szCs w:val="20"/>
        </w:rPr>
        <w:lastRenderedPageBreak/>
        <w:t>Where</w:t>
      </w:r>
      <w:proofErr w:type="gramEnd"/>
    </w:p>
    <w:p w14:paraId="61D85E04"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596495f2+03" w:hAnsi="AdvOT596495f2+03" w:cs="AdvOT596495f2+03"/>
          <w:sz w:val="20"/>
          <w:szCs w:val="20"/>
        </w:rPr>
        <w:t>π</w:t>
      </w:r>
      <w:proofErr w:type="spellStart"/>
      <w:r w:rsidRPr="004D1BCE">
        <w:rPr>
          <w:rFonts w:ascii="AdvOT596495f2" w:hAnsi="AdvOT596495f2" w:cs="AdvOT596495f2"/>
          <w:sz w:val="15"/>
          <w:szCs w:val="15"/>
        </w:rPr>
        <w:t>ujk</w:t>
      </w:r>
      <w:proofErr w:type="spellEnd"/>
      <w:r w:rsidRPr="004D1BCE">
        <w:rPr>
          <w:rFonts w:ascii="AdvOT596495f2" w:hAnsi="AdvOT596495f2" w:cs="AdvOT596495f2"/>
          <w:sz w:val="15"/>
          <w:szCs w:val="15"/>
        </w:rPr>
        <w:t xml:space="preserve"> </w:t>
      </w:r>
      <w:r w:rsidRPr="004D1BCE">
        <w:rPr>
          <w:rFonts w:ascii="AdvOT596495f2" w:hAnsi="AdvOT596495f2" w:cs="AdvOT596495f2"/>
          <w:sz w:val="20"/>
          <w:szCs w:val="20"/>
        </w:rPr>
        <w:t xml:space="preserve">is the slope of U student-level variables for student u in school j of country </w:t>
      </w:r>
      <w:proofErr w:type="gramStart"/>
      <w:r w:rsidRPr="004D1BCE">
        <w:rPr>
          <w:rFonts w:ascii="AdvOT596495f2" w:hAnsi="AdvOT596495f2" w:cs="AdvOT596495f2"/>
          <w:sz w:val="20"/>
          <w:szCs w:val="20"/>
        </w:rPr>
        <w:t>k</w:t>
      </w:r>
      <w:proofErr w:type="gramEnd"/>
    </w:p>
    <w:p w14:paraId="449BA847" w14:textId="77777777" w:rsidR="004D1BCE" w:rsidRP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596495f2+03" w:hAnsi="AdvOT596495f2+03" w:cs="AdvOT596495f2+03"/>
          <w:sz w:val="20"/>
          <w:szCs w:val="20"/>
        </w:rPr>
        <w:t>β</w:t>
      </w:r>
      <w:r w:rsidRPr="004D1BCE">
        <w:rPr>
          <w:rFonts w:ascii="AdvOT596495f2" w:hAnsi="AdvOT596495f2" w:cs="AdvOT596495f2"/>
          <w:sz w:val="15"/>
          <w:szCs w:val="15"/>
        </w:rPr>
        <w:t xml:space="preserve">0vk </w:t>
      </w:r>
      <w:r w:rsidRPr="004D1BCE">
        <w:rPr>
          <w:rFonts w:ascii="AdvOT596495f2" w:hAnsi="AdvOT596495f2" w:cs="AdvOT596495f2"/>
          <w:sz w:val="20"/>
          <w:szCs w:val="20"/>
        </w:rPr>
        <w:t xml:space="preserve">is the slope of V school-level variables for school v in country </w:t>
      </w:r>
      <w:proofErr w:type="gramStart"/>
      <w:r w:rsidRPr="004D1BCE">
        <w:rPr>
          <w:rFonts w:ascii="AdvOT596495f2" w:hAnsi="AdvOT596495f2" w:cs="AdvOT596495f2"/>
          <w:sz w:val="20"/>
          <w:szCs w:val="20"/>
        </w:rPr>
        <w:t>k</w:t>
      </w:r>
      <w:proofErr w:type="gramEnd"/>
    </w:p>
    <w:p w14:paraId="0F8C42BF" w14:textId="602E57A6" w:rsidR="004D1BCE" w:rsidRDefault="004D1BCE" w:rsidP="004D1BCE">
      <w:pPr>
        <w:autoSpaceDE w:val="0"/>
        <w:autoSpaceDN w:val="0"/>
        <w:bidi w:val="0"/>
        <w:adjustRightInd w:val="0"/>
        <w:spacing w:after="0" w:line="240" w:lineRule="auto"/>
        <w:rPr>
          <w:rFonts w:ascii="AdvOT596495f2" w:hAnsi="AdvOT596495f2" w:cs="AdvOT596495f2"/>
          <w:sz w:val="20"/>
          <w:szCs w:val="20"/>
        </w:rPr>
      </w:pPr>
      <w:r w:rsidRPr="004D1BCE">
        <w:rPr>
          <w:rFonts w:ascii="AdvOT596495f2+03" w:hAnsi="AdvOT596495f2+03" w:cs="AdvOT596495f2+03"/>
          <w:sz w:val="20"/>
          <w:szCs w:val="20"/>
        </w:rPr>
        <w:t>γ</w:t>
      </w:r>
      <w:r w:rsidRPr="004D1BCE">
        <w:rPr>
          <w:rFonts w:ascii="AdvOT596495f2" w:hAnsi="AdvOT596495f2" w:cs="AdvOT596495f2"/>
          <w:sz w:val="15"/>
          <w:szCs w:val="15"/>
        </w:rPr>
        <w:t xml:space="preserve">00w </w:t>
      </w:r>
      <w:r w:rsidRPr="004D1BCE">
        <w:rPr>
          <w:rFonts w:ascii="AdvOT596495f2" w:hAnsi="AdvOT596495f2" w:cs="AdvOT596495f2"/>
          <w:sz w:val="20"/>
          <w:szCs w:val="20"/>
        </w:rPr>
        <w:t>is the slope of W country-level variables for country w.</w:t>
      </w:r>
    </w:p>
    <w:p w14:paraId="6CE567F3" w14:textId="37D1BDA7" w:rsidR="00CF4614" w:rsidRDefault="00CF4614" w:rsidP="00CF4614">
      <w:pPr>
        <w:autoSpaceDE w:val="0"/>
        <w:autoSpaceDN w:val="0"/>
        <w:bidi w:val="0"/>
        <w:adjustRightInd w:val="0"/>
        <w:spacing w:after="0" w:line="240" w:lineRule="auto"/>
        <w:rPr>
          <w:rFonts w:ascii="AdvOT596495f2" w:hAnsi="AdvOT596495f2" w:cs="AdvOT596495f2"/>
          <w:sz w:val="20"/>
          <w:szCs w:val="20"/>
        </w:rPr>
      </w:pPr>
    </w:p>
    <w:p w14:paraId="04658A8F" w14:textId="46815016" w:rsidR="00CF4614" w:rsidRDefault="00CF4614" w:rsidP="00CF4614">
      <w:pPr>
        <w:autoSpaceDE w:val="0"/>
        <w:autoSpaceDN w:val="0"/>
        <w:bidi w:val="0"/>
        <w:adjustRightInd w:val="0"/>
        <w:spacing w:after="0" w:line="240" w:lineRule="auto"/>
        <w:rPr>
          <w:rFonts w:ascii="AdvOT596495f2" w:hAnsi="AdvOT596495f2" w:cs="AdvOT596495f2"/>
          <w:sz w:val="20"/>
          <w:szCs w:val="20"/>
        </w:rPr>
      </w:pPr>
    </w:p>
    <w:p w14:paraId="69EA4869" w14:textId="5BE8DDFA" w:rsidR="00CF4614" w:rsidRDefault="00CF4614" w:rsidP="00CF4614">
      <w:pPr>
        <w:autoSpaceDE w:val="0"/>
        <w:autoSpaceDN w:val="0"/>
        <w:bidi w:val="0"/>
        <w:adjustRightInd w:val="0"/>
        <w:spacing w:after="0" w:line="240" w:lineRule="auto"/>
        <w:rPr>
          <w:rFonts w:ascii="AdvOT596495f2" w:hAnsi="AdvOT596495f2" w:cs="AdvOT596495f2"/>
          <w:sz w:val="20"/>
          <w:szCs w:val="20"/>
        </w:rPr>
      </w:pPr>
    </w:p>
    <w:p w14:paraId="0F98A700" w14:textId="6E4B630B" w:rsidR="00CF4614" w:rsidRPr="00CF4614" w:rsidRDefault="00CF4614" w:rsidP="00CF4614">
      <w:pPr>
        <w:autoSpaceDE w:val="0"/>
        <w:autoSpaceDN w:val="0"/>
        <w:bidi w:val="0"/>
        <w:adjustRightInd w:val="0"/>
        <w:spacing w:after="0" w:line="240" w:lineRule="auto"/>
        <w:rPr>
          <w:rFonts w:ascii="AdvOT596495f2" w:hAnsi="AdvOT596495f2" w:cs="AdvOT596495f2"/>
          <w:sz w:val="24"/>
          <w:szCs w:val="24"/>
        </w:rPr>
      </w:pPr>
    </w:p>
    <w:p w14:paraId="4AC9A0F9" w14:textId="3F321607" w:rsidR="00CF4614" w:rsidRPr="00CF4614" w:rsidRDefault="00CF4614" w:rsidP="00CF4614">
      <w:pPr>
        <w:autoSpaceDE w:val="0"/>
        <w:autoSpaceDN w:val="0"/>
        <w:bidi w:val="0"/>
        <w:adjustRightInd w:val="0"/>
        <w:spacing w:after="0" w:line="240" w:lineRule="auto"/>
        <w:rPr>
          <w:rFonts w:ascii="AdvOT863180fb" w:hAnsi="AdvOT863180fb" w:cs="AdvOT863180fb"/>
          <w:color w:val="000000"/>
          <w:sz w:val="20"/>
          <w:szCs w:val="20"/>
        </w:rPr>
      </w:pPr>
      <w:r w:rsidRPr="00CF4614">
        <w:rPr>
          <w:rFonts w:ascii="AdvOT863180fb" w:hAnsi="AdvOT863180fb" w:cs="AdvOT863180fb"/>
          <w:color w:val="000000"/>
          <w:sz w:val="20"/>
          <w:szCs w:val="20"/>
        </w:rPr>
        <w:t xml:space="preserve">To build a model with the predictors of interest, an exploratory strategy described by Hox (cited in </w:t>
      </w:r>
      <w:r w:rsidRPr="00CF4614">
        <w:rPr>
          <w:rFonts w:ascii="AdvOT863180fb" w:hAnsi="AdvOT863180fb" w:cs="AdvOT863180fb"/>
          <w:color w:val="000066"/>
          <w:sz w:val="20"/>
          <w:szCs w:val="20"/>
        </w:rPr>
        <w:t>Tabachnick &amp; Fidell, 2007</w:t>
      </w:r>
      <w:r w:rsidRPr="00CF4614">
        <w:rPr>
          <w:rFonts w:ascii="AdvOT863180fb" w:hAnsi="AdvOT863180fb" w:cs="AdvOT863180fb"/>
          <w:color w:val="000000"/>
          <w:sz w:val="20"/>
          <w:szCs w:val="20"/>
        </w:rPr>
        <w:t>) was used.</w:t>
      </w:r>
    </w:p>
    <w:p w14:paraId="7F83CD86" w14:textId="77777777" w:rsidR="00CF4614" w:rsidRDefault="00CF4614" w:rsidP="00CF4614">
      <w:pPr>
        <w:autoSpaceDE w:val="0"/>
        <w:autoSpaceDN w:val="0"/>
        <w:bidi w:val="0"/>
        <w:adjustRightInd w:val="0"/>
        <w:spacing w:after="0" w:line="240" w:lineRule="auto"/>
        <w:rPr>
          <w:rFonts w:ascii="AdvOT863180fb" w:hAnsi="AdvOT863180fb" w:cs="AdvOT863180fb"/>
          <w:color w:val="000000"/>
          <w:sz w:val="16"/>
          <w:szCs w:val="16"/>
        </w:rPr>
      </w:pPr>
    </w:p>
    <w:p w14:paraId="5D23981A" w14:textId="3A1DB87A" w:rsidR="00CF4614" w:rsidRDefault="00CF4614" w:rsidP="00CF4614">
      <w:pPr>
        <w:autoSpaceDE w:val="0"/>
        <w:autoSpaceDN w:val="0"/>
        <w:bidi w:val="0"/>
        <w:adjustRightInd w:val="0"/>
        <w:spacing w:after="0" w:line="240" w:lineRule="auto"/>
        <w:rPr>
          <w:rFonts w:ascii="AdvOT863180fb" w:hAnsi="AdvOT863180fb" w:cs="AdvOT863180fb"/>
          <w:color w:val="000000"/>
          <w:sz w:val="18"/>
          <w:szCs w:val="18"/>
        </w:rPr>
      </w:pPr>
      <w:r w:rsidRPr="00CF4614">
        <w:rPr>
          <w:rFonts w:ascii="AdvOT863180fb" w:hAnsi="AdvOT863180fb" w:cs="AdvOT863180fb"/>
          <w:color w:val="000000"/>
          <w:sz w:val="18"/>
          <w:szCs w:val="18"/>
        </w:rPr>
        <w:t>First, the simplest intercept model (null model) was generated to examine the intraclass correlation (ICC). Student-level predictors were assessed for statistical signi</w:t>
      </w:r>
      <w:r w:rsidRPr="00CF4614">
        <w:rPr>
          <w:rFonts w:ascii="AdvOT863180fb+fb" w:hAnsi="AdvOT863180fb" w:cs="AdvOT863180fb+fb"/>
          <w:color w:val="000000"/>
          <w:sz w:val="18"/>
          <w:szCs w:val="18"/>
        </w:rPr>
        <w:t>fi</w:t>
      </w:r>
      <w:r w:rsidRPr="00CF4614">
        <w:rPr>
          <w:rFonts w:ascii="AdvOT863180fb" w:hAnsi="AdvOT863180fb" w:cs="AdvOT863180fb"/>
          <w:color w:val="000000"/>
          <w:sz w:val="18"/>
          <w:szCs w:val="18"/>
        </w:rPr>
        <w:t>cance, and then school-level predictors were added to the model. The variance explained by the model was determined through a calculation of effect size. A background model, comprised of student demographic characteristics (ESCS, gender, and immigrant status) and school characteristics (school mean ESCS</w:t>
      </w:r>
      <w:r w:rsidRPr="00CF4614">
        <w:rPr>
          <w:rFonts w:ascii="AdvOT863180fb" w:hAnsi="AdvOT863180fb" w:cs="AdvOT863180fb"/>
          <w:color w:val="000066"/>
          <w:sz w:val="14"/>
          <w:szCs w:val="14"/>
        </w:rPr>
        <w:t>4</w:t>
      </w:r>
      <w:r w:rsidRPr="00CF4614">
        <w:rPr>
          <w:rFonts w:ascii="AdvOT863180fb" w:hAnsi="AdvOT863180fb" w:cs="AdvOT863180fb"/>
          <w:color w:val="000000"/>
          <w:sz w:val="18"/>
          <w:szCs w:val="18"/>
        </w:rPr>
        <w:t>, school size, and community in which school is located), was generated to account for variables that were not measures of ICT.</w:t>
      </w:r>
    </w:p>
    <w:p w14:paraId="213AEEC6" w14:textId="363F87A8" w:rsidR="00CF4614" w:rsidRDefault="00CF4614" w:rsidP="00CF4614">
      <w:pPr>
        <w:autoSpaceDE w:val="0"/>
        <w:autoSpaceDN w:val="0"/>
        <w:bidi w:val="0"/>
        <w:adjustRightInd w:val="0"/>
        <w:spacing w:after="0" w:line="240" w:lineRule="auto"/>
        <w:rPr>
          <w:rFonts w:ascii="AdvOT863180fb" w:hAnsi="AdvOT863180fb" w:cs="AdvOT863180fb"/>
          <w:color w:val="000000"/>
          <w:sz w:val="18"/>
          <w:szCs w:val="18"/>
        </w:rPr>
      </w:pPr>
    </w:p>
    <w:p w14:paraId="3E440907" w14:textId="531B38F1" w:rsidR="00CF4614" w:rsidRDefault="00CF4614" w:rsidP="00CF4614">
      <w:pPr>
        <w:autoSpaceDE w:val="0"/>
        <w:autoSpaceDN w:val="0"/>
        <w:bidi w:val="0"/>
        <w:adjustRightInd w:val="0"/>
        <w:spacing w:after="0" w:line="240" w:lineRule="auto"/>
        <w:rPr>
          <w:rFonts w:ascii="AdvOT863180fb" w:hAnsi="AdvOT863180fb" w:cs="AdvOT863180fb"/>
          <w:color w:val="000000"/>
          <w:sz w:val="18"/>
          <w:szCs w:val="18"/>
        </w:rPr>
      </w:pPr>
    </w:p>
    <w:p w14:paraId="4B7C3677" w14:textId="77777777" w:rsidR="00CF4614" w:rsidRDefault="00CF4614" w:rsidP="00CF4614">
      <w:pPr>
        <w:autoSpaceDE w:val="0"/>
        <w:autoSpaceDN w:val="0"/>
        <w:bidi w:val="0"/>
        <w:adjustRightInd w:val="0"/>
        <w:spacing w:after="0" w:line="240" w:lineRule="auto"/>
        <w:rPr>
          <w:rFonts w:ascii="AdvOTb92eb7df.I" w:hAnsi="AdvOTb92eb7df.I" w:cs="AdvOTb92eb7df.I"/>
          <w:color w:val="000000"/>
          <w:sz w:val="16"/>
          <w:szCs w:val="16"/>
        </w:rPr>
      </w:pPr>
      <w:r>
        <w:rPr>
          <w:rFonts w:ascii="AdvOTb92eb7df.I" w:hAnsi="AdvOTb92eb7df.I" w:cs="AdvOTb92eb7df.I"/>
          <w:color w:val="000000"/>
          <w:sz w:val="16"/>
          <w:szCs w:val="16"/>
        </w:rPr>
        <w:t>2.3.1. The null model</w:t>
      </w:r>
    </w:p>
    <w:p w14:paraId="566468DD" w14:textId="62FB79D7" w:rsidR="00CF4614" w:rsidRDefault="00CF4614" w:rsidP="00CF4614">
      <w:pPr>
        <w:autoSpaceDE w:val="0"/>
        <w:autoSpaceDN w:val="0"/>
        <w:bidi w:val="0"/>
        <w:adjustRightInd w:val="0"/>
        <w:spacing w:after="0" w:line="240" w:lineRule="auto"/>
        <w:rPr>
          <w:rFonts w:ascii="AdvOT863180fb" w:hAnsi="AdvOT863180fb" w:cs="AdvOT863180fb"/>
          <w:color w:val="000000"/>
          <w:sz w:val="20"/>
          <w:szCs w:val="20"/>
        </w:rPr>
      </w:pPr>
      <w:r w:rsidRPr="00CF4614">
        <w:rPr>
          <w:rFonts w:ascii="AdvOT863180fb" w:hAnsi="AdvOT863180fb" w:cs="AdvOT863180fb"/>
          <w:color w:val="000000"/>
          <w:sz w:val="20"/>
          <w:szCs w:val="20"/>
        </w:rPr>
        <w:t>Variance in scienti</w:t>
      </w:r>
      <w:r w:rsidRPr="00CF4614">
        <w:rPr>
          <w:rFonts w:ascii="AdvOT863180fb+fb" w:hAnsi="AdvOTb92eb7df.I" w:cs="AdvOT863180fb+fb"/>
          <w:color w:val="000000"/>
          <w:sz w:val="20"/>
          <w:szCs w:val="20"/>
        </w:rPr>
        <w:t>fi</w:t>
      </w:r>
      <w:r w:rsidRPr="00CF4614">
        <w:rPr>
          <w:rFonts w:ascii="AdvOT863180fb" w:hAnsi="AdvOT863180fb" w:cs="AdvOT863180fb"/>
          <w:color w:val="000000"/>
          <w:sz w:val="20"/>
          <w:szCs w:val="20"/>
        </w:rPr>
        <w:t>c literacy was partitioned into (a) variance in scienti</w:t>
      </w:r>
      <w:r w:rsidRPr="00CF4614">
        <w:rPr>
          <w:rFonts w:ascii="AdvOT863180fb+fb" w:hAnsi="AdvOTb92eb7df.I" w:cs="AdvOT863180fb+fb"/>
          <w:color w:val="000000"/>
          <w:sz w:val="20"/>
          <w:szCs w:val="20"/>
        </w:rPr>
        <w:t>fi</w:t>
      </w:r>
      <w:r w:rsidRPr="00CF4614">
        <w:rPr>
          <w:rFonts w:ascii="AdvOT863180fb" w:hAnsi="AdvOT863180fb" w:cs="AdvOT863180fb"/>
          <w:color w:val="000000"/>
          <w:sz w:val="20"/>
          <w:szCs w:val="20"/>
        </w:rPr>
        <w:t xml:space="preserve">c literacy scores that lies between students within one school (pooled over schools), and (b) variance that lies systematically between schools. The proportion of variance in the dependent variable may be modeled as a function of school characteristics, and the ICC is the proportion of the total variance </w:t>
      </w:r>
      <w:r w:rsidRPr="00AF1971">
        <w:rPr>
          <w:rFonts w:ascii="AdvOT863180fb" w:hAnsi="AdvOT863180fb" w:cs="AdvOT863180fb"/>
          <w:color w:val="000000"/>
          <w:sz w:val="20"/>
          <w:szCs w:val="20"/>
          <w:highlight w:val="yellow"/>
        </w:rPr>
        <w:t>that lies systematically between schools; if ICC</w:t>
      </w:r>
      <w:r w:rsidRPr="00AF1971">
        <w:rPr>
          <w:rFonts w:ascii="AdvP4C4E74" w:hAnsi="AdvOTb92eb7df.I" w:cs="AdvP4C4E74"/>
          <w:color w:val="000000"/>
          <w:sz w:val="20"/>
          <w:szCs w:val="20"/>
          <w:highlight w:val="yellow"/>
        </w:rPr>
        <w:t xml:space="preserve">_ </w:t>
      </w:r>
      <w:r w:rsidRPr="00AF1971">
        <w:rPr>
          <w:rFonts w:ascii="AdvOT863180fb" w:hAnsi="AdvOT863180fb" w:cs="AdvOT863180fb"/>
          <w:color w:val="000000"/>
          <w:sz w:val="20"/>
          <w:szCs w:val="20"/>
          <w:highlight w:val="yellow"/>
        </w:rPr>
        <w:t>10% of the total variance in the outcome, it is an indication that HLM techniques would be appropriate in a school-effects study (</w:t>
      </w:r>
      <w:r w:rsidRPr="00AF1971">
        <w:rPr>
          <w:rFonts w:ascii="AdvOT863180fb" w:hAnsi="AdvOT863180fb" w:cs="AdvOT863180fb"/>
          <w:color w:val="000066"/>
          <w:sz w:val="20"/>
          <w:szCs w:val="20"/>
          <w:highlight w:val="yellow"/>
        </w:rPr>
        <w:t>Lee, 2000</w:t>
      </w:r>
      <w:r w:rsidRPr="00AF1971">
        <w:rPr>
          <w:rFonts w:ascii="AdvOT863180fb" w:hAnsi="AdvOT863180fb" w:cs="AdvOT863180fb"/>
          <w:color w:val="000000"/>
          <w:sz w:val="20"/>
          <w:szCs w:val="20"/>
          <w:highlight w:val="yellow"/>
        </w:rPr>
        <w:t>).</w:t>
      </w:r>
      <w:r w:rsidRPr="00CF4614">
        <w:rPr>
          <w:rFonts w:ascii="AdvOT863180fb" w:hAnsi="AdvOT863180fb" w:cs="AdvOT863180fb"/>
          <w:color w:val="000000"/>
          <w:sz w:val="20"/>
          <w:szCs w:val="20"/>
        </w:rPr>
        <w:t xml:space="preserve"> The null model tests the hypothesis that all schools have the same mean scienti</w:t>
      </w:r>
      <w:r w:rsidRPr="00CF4614">
        <w:rPr>
          <w:rFonts w:ascii="AdvOT863180fb+fb" w:hAnsi="AdvOTb92eb7df.I" w:cs="AdvOT863180fb+fb"/>
          <w:color w:val="000000"/>
          <w:sz w:val="20"/>
          <w:szCs w:val="20"/>
        </w:rPr>
        <w:t>fi</w:t>
      </w:r>
      <w:r w:rsidRPr="00CF4614">
        <w:rPr>
          <w:rFonts w:ascii="AdvOT863180fb" w:hAnsi="AdvOT863180fb" w:cs="AdvOT863180fb"/>
          <w:color w:val="000000"/>
          <w:sz w:val="20"/>
          <w:szCs w:val="20"/>
        </w:rPr>
        <w:t>c literacy (i.e., whether or not mean</w:t>
      </w:r>
      <w:r>
        <w:rPr>
          <w:rFonts w:ascii="AdvOT863180fb" w:hAnsi="AdvOT863180fb" w:cs="AdvOT863180fb"/>
          <w:color w:val="000000"/>
          <w:sz w:val="20"/>
          <w:szCs w:val="20"/>
        </w:rPr>
        <w:t xml:space="preserve"> </w:t>
      </w:r>
      <w:r w:rsidRPr="00CF4614">
        <w:rPr>
          <w:rFonts w:ascii="AdvOT863180fb" w:hAnsi="AdvOT863180fb" w:cs="AdvOT863180fb"/>
          <w:color w:val="000000"/>
          <w:sz w:val="20"/>
          <w:szCs w:val="20"/>
        </w:rPr>
        <w:t>differences exist between schools), since no student or school characteristics are considered (Lee, 2000; Tabachnick &amp; Fidell, 2007), and provides an estimated scientific literacy score for each country (Heck &amp; Thomas, 1999).</w:t>
      </w:r>
    </w:p>
    <w:p w14:paraId="647E0DE9" w14:textId="52E8978F" w:rsidR="00CF4614" w:rsidRDefault="00CF4614" w:rsidP="00CF4614">
      <w:pPr>
        <w:autoSpaceDE w:val="0"/>
        <w:autoSpaceDN w:val="0"/>
        <w:bidi w:val="0"/>
        <w:adjustRightInd w:val="0"/>
        <w:spacing w:after="0" w:line="240" w:lineRule="auto"/>
        <w:rPr>
          <w:rFonts w:ascii="AdvOT863180fb" w:hAnsi="AdvOT863180fb" w:cs="AdvOT863180fb"/>
          <w:color w:val="000000"/>
          <w:sz w:val="20"/>
          <w:szCs w:val="20"/>
        </w:rPr>
      </w:pPr>
    </w:p>
    <w:p w14:paraId="0EA27B2A" w14:textId="52AC0854" w:rsidR="00CF4614" w:rsidRPr="00985070" w:rsidRDefault="00CF4614" w:rsidP="00CF4614">
      <w:pPr>
        <w:autoSpaceDE w:val="0"/>
        <w:autoSpaceDN w:val="0"/>
        <w:bidi w:val="0"/>
        <w:adjustRightInd w:val="0"/>
        <w:spacing w:after="0" w:line="240" w:lineRule="auto"/>
        <w:rPr>
          <w:rFonts w:ascii="AdvOT863180fb" w:hAnsi="AdvOT863180fb" w:cs="AdvOT863180fb"/>
          <w:color w:val="000000"/>
          <w:sz w:val="20"/>
          <w:szCs w:val="20"/>
          <w:highlight w:val="yellow"/>
        </w:rPr>
      </w:pPr>
      <w:r w:rsidRPr="00985070">
        <w:rPr>
          <w:rFonts w:ascii="AdvOT863180fb" w:hAnsi="AdvOT863180fb" w:cs="AdvOT863180fb"/>
          <w:color w:val="000000"/>
          <w:sz w:val="20"/>
          <w:szCs w:val="20"/>
          <w:highlight w:val="yellow"/>
        </w:rPr>
        <w:t xml:space="preserve">To examine the absolute effect, each student-level variable was added separately to the null model to determine whether or not its relationship varied significantly across schools, independent of other variables (Ma &amp; Klinger, 2000). Variables with statistically significant effects (i.e., a critical value of </w:t>
      </w:r>
      <w:proofErr w:type="spellStart"/>
      <w:r w:rsidRPr="00985070">
        <w:rPr>
          <w:rFonts w:ascii="AdvOT863180fb" w:hAnsi="AdvOT863180fb" w:cs="AdvOT863180fb"/>
          <w:color w:val="000000"/>
          <w:sz w:val="20"/>
          <w:szCs w:val="20"/>
          <w:highlight w:val="yellow"/>
        </w:rPr>
        <w:t>jtj</w:t>
      </w:r>
      <w:proofErr w:type="spellEnd"/>
      <w:r w:rsidRPr="00985070">
        <w:rPr>
          <w:rFonts w:ascii="AdvOT863180fb" w:hAnsi="AdvOT863180fb" w:cs="AdvOT863180fb"/>
          <w:color w:val="000000"/>
          <w:sz w:val="20"/>
          <w:szCs w:val="20"/>
          <w:highlight w:val="yellow"/>
        </w:rPr>
        <w:t xml:space="preserve"> </w:t>
      </w:r>
      <w:r w:rsidRPr="00985070">
        <w:rPr>
          <w:rFonts w:ascii="AdvOT863180fb" w:hAnsi="AdvOT863180fb" w:cs="AdvOT863180fb" w:hint="eastAsia"/>
          <w:color w:val="000000"/>
          <w:sz w:val="20"/>
          <w:szCs w:val="20"/>
          <w:highlight w:val="yellow"/>
        </w:rPr>
        <w:t>¼</w:t>
      </w:r>
      <w:r w:rsidRPr="00985070">
        <w:rPr>
          <w:rFonts w:ascii="AdvOT863180fb" w:hAnsi="AdvOT863180fb" w:cs="AdvOT863180fb"/>
          <w:color w:val="000000"/>
          <w:sz w:val="20"/>
          <w:szCs w:val="20"/>
          <w:highlight w:val="yellow"/>
        </w:rPr>
        <w:t xml:space="preserve"> 1.96, p &lt; .05) were then introduced together to examine their effects in the presence of other variables. Thus the relative effect of the variable was adjusted for the shared effects of other variables (Ma &amp; Klinger, 2000). Variables that were no</w:t>
      </w:r>
    </w:p>
    <w:p w14:paraId="400B22B7" w14:textId="0160A75F" w:rsidR="00CF4614" w:rsidRPr="00CF4614" w:rsidRDefault="00CF4614" w:rsidP="00CF4614">
      <w:pPr>
        <w:autoSpaceDE w:val="0"/>
        <w:autoSpaceDN w:val="0"/>
        <w:bidi w:val="0"/>
        <w:adjustRightInd w:val="0"/>
        <w:spacing w:after="0" w:line="240" w:lineRule="auto"/>
        <w:rPr>
          <w:rFonts w:ascii="AdvOT863180fb" w:hAnsi="AdvOT863180fb" w:cs="AdvOT863180fb"/>
          <w:color w:val="000000"/>
          <w:sz w:val="20"/>
          <w:szCs w:val="20"/>
        </w:rPr>
      </w:pPr>
      <w:r w:rsidRPr="00985070">
        <w:rPr>
          <w:rFonts w:ascii="AdvOT863180fb" w:hAnsi="AdvOT863180fb" w:cs="AdvOT863180fb"/>
          <w:color w:val="000000"/>
          <w:sz w:val="20"/>
          <w:szCs w:val="20"/>
          <w:highlight w:val="yellow"/>
        </w:rPr>
        <w:t>longer statistically significant were removed one at a time, starting with the variable with the largest p-value in the model, until all remaining variables in the model were statistically significant. When the variance of the relative effects model is compared to the null model, the proportional reduction in the within-group variance can be determined</w:t>
      </w:r>
      <w:r w:rsidRPr="00CF4614">
        <w:rPr>
          <w:rFonts w:ascii="AdvOT863180fb" w:hAnsi="AdvOT863180fb" w:cs="AdvOT863180fb"/>
          <w:color w:val="000000"/>
          <w:sz w:val="20"/>
          <w:szCs w:val="20"/>
        </w:rPr>
        <w:t>.</w:t>
      </w:r>
    </w:p>
    <w:p w14:paraId="1CADA35C" w14:textId="4C60BF49" w:rsidR="00CF4614" w:rsidRDefault="00CF4614" w:rsidP="00CF4614">
      <w:pPr>
        <w:autoSpaceDE w:val="0"/>
        <w:autoSpaceDN w:val="0"/>
        <w:bidi w:val="0"/>
        <w:adjustRightInd w:val="0"/>
        <w:spacing w:after="0" w:line="240" w:lineRule="auto"/>
        <w:rPr>
          <w:rFonts w:ascii="AdvOT863180fb" w:hAnsi="AdvOT863180fb" w:cs="AdvOT863180fb"/>
          <w:color w:val="000000"/>
          <w:sz w:val="20"/>
          <w:szCs w:val="20"/>
        </w:rPr>
      </w:pPr>
    </w:p>
    <w:p w14:paraId="36973C92" w14:textId="77777777" w:rsidR="00CF4614" w:rsidRPr="00CF4614" w:rsidRDefault="00CF4614" w:rsidP="00CF4614">
      <w:pPr>
        <w:autoSpaceDE w:val="0"/>
        <w:autoSpaceDN w:val="0"/>
        <w:bidi w:val="0"/>
        <w:adjustRightInd w:val="0"/>
        <w:spacing w:after="0" w:line="240" w:lineRule="auto"/>
        <w:rPr>
          <w:rFonts w:ascii="AdvOT863180fb" w:hAnsi="AdvOT863180fb" w:cs="AdvOT863180fb"/>
          <w:color w:val="000000"/>
          <w:sz w:val="20"/>
          <w:szCs w:val="20"/>
        </w:rPr>
      </w:pPr>
    </w:p>
    <w:p w14:paraId="6F9B5CAF" w14:textId="77777777" w:rsidR="00CF4614" w:rsidRPr="00CF4614" w:rsidRDefault="00CF4614" w:rsidP="00CF4614">
      <w:pPr>
        <w:autoSpaceDE w:val="0"/>
        <w:autoSpaceDN w:val="0"/>
        <w:bidi w:val="0"/>
        <w:adjustRightInd w:val="0"/>
        <w:spacing w:after="0" w:line="240" w:lineRule="auto"/>
        <w:rPr>
          <w:rFonts w:ascii="AdvOT863180fb" w:hAnsi="AdvOT863180fb" w:cs="AdvOT863180fb"/>
          <w:color w:val="000000"/>
          <w:sz w:val="18"/>
          <w:szCs w:val="18"/>
        </w:rPr>
      </w:pPr>
    </w:p>
    <w:p w14:paraId="3A952B62" w14:textId="07AE1FE7" w:rsidR="004D1BCE" w:rsidRDefault="004D1BCE" w:rsidP="004D1BCE">
      <w:pPr>
        <w:autoSpaceDE w:val="0"/>
        <w:autoSpaceDN w:val="0"/>
        <w:bidi w:val="0"/>
        <w:adjustRightInd w:val="0"/>
        <w:spacing w:after="0" w:line="240" w:lineRule="auto"/>
        <w:rPr>
          <w:rFonts w:ascii="AdvOT596495f2" w:hAnsi="AdvOT596495f2" w:cs="AdvOT596495f2"/>
          <w:sz w:val="20"/>
          <w:szCs w:val="20"/>
        </w:rPr>
      </w:pPr>
    </w:p>
    <w:p w14:paraId="330169A2" w14:textId="77777777" w:rsidR="00643EF8" w:rsidRDefault="00643EF8" w:rsidP="00643EF8">
      <w:pPr>
        <w:pStyle w:val="Default"/>
      </w:pPr>
    </w:p>
    <w:p w14:paraId="3E0A9777" w14:textId="583E37D4" w:rsidR="004D1BCE" w:rsidRDefault="00643EF8" w:rsidP="00643EF8">
      <w:pPr>
        <w:autoSpaceDE w:val="0"/>
        <w:autoSpaceDN w:val="0"/>
        <w:bidi w:val="0"/>
        <w:adjustRightInd w:val="0"/>
        <w:spacing w:after="0" w:line="240" w:lineRule="auto"/>
        <w:rPr>
          <w:rFonts w:ascii="AdvOT596495f2" w:hAnsi="AdvOT596495f2" w:cs="AdvOT596495f2"/>
          <w:sz w:val="20"/>
          <w:szCs w:val="20"/>
        </w:rPr>
      </w:pPr>
      <w:r>
        <w:t xml:space="preserve"> </w:t>
      </w:r>
      <w:r>
        <w:rPr>
          <w:b/>
          <w:bCs/>
          <w:sz w:val="32"/>
          <w:szCs w:val="32"/>
        </w:rPr>
        <w:t>ICT as cultural capital: The relationship between socioeconomic status and the computer-use profile of young people</w:t>
      </w:r>
    </w:p>
    <w:p w14:paraId="355396B1" w14:textId="62C8E1E2" w:rsidR="004D1BCE" w:rsidRDefault="004D1BCE" w:rsidP="004D1BCE">
      <w:pPr>
        <w:autoSpaceDE w:val="0"/>
        <w:autoSpaceDN w:val="0"/>
        <w:bidi w:val="0"/>
        <w:adjustRightInd w:val="0"/>
        <w:spacing w:after="0" w:line="240" w:lineRule="auto"/>
        <w:rPr>
          <w:rFonts w:ascii="AdvOT596495f2" w:hAnsi="AdvOT596495f2" w:cs="AdvOT596495f2"/>
          <w:sz w:val="20"/>
          <w:szCs w:val="20"/>
        </w:rPr>
      </w:pPr>
    </w:p>
    <w:p w14:paraId="4F8E9648" w14:textId="5A3FF53D" w:rsidR="004D1BCE" w:rsidRDefault="00643EF8" w:rsidP="004D1BCE">
      <w:pPr>
        <w:autoSpaceDE w:val="0"/>
        <w:autoSpaceDN w:val="0"/>
        <w:bidi w:val="0"/>
        <w:adjustRightInd w:val="0"/>
        <w:spacing w:after="0" w:line="240" w:lineRule="auto"/>
        <w:rPr>
          <w:color w:val="000000"/>
          <w:sz w:val="20"/>
          <w:szCs w:val="20"/>
        </w:rPr>
      </w:pPr>
      <w:r>
        <w:rPr>
          <w:color w:val="000000"/>
          <w:sz w:val="20"/>
          <w:szCs w:val="20"/>
        </w:rPr>
        <w:t xml:space="preserve">Direct effects on the endogenous variables were calculated as standardized beta-weight (path coefficients or bs). The path models were estimated using AMOS (Arbuckle, 2003). Different parameters will be tested to assess the fit between the hypothesized model and the data. </w:t>
      </w:r>
      <w:r w:rsidRPr="00CF2C36">
        <w:rPr>
          <w:color w:val="000000"/>
          <w:sz w:val="20"/>
          <w:szCs w:val="20"/>
          <w:highlight w:val="yellow"/>
        </w:rPr>
        <w:t xml:space="preserve">Cut-off criteria for fit indexes recommended by Hu and Bentler (1999) were used: 1) the χ² statistic and corresponding </w:t>
      </w:r>
      <w:r w:rsidRPr="00CF2C36">
        <w:rPr>
          <w:i/>
          <w:iCs/>
          <w:color w:val="000000"/>
          <w:sz w:val="20"/>
          <w:szCs w:val="20"/>
          <w:highlight w:val="yellow"/>
        </w:rPr>
        <w:t>p</w:t>
      </w:r>
      <w:r w:rsidRPr="00CF2C36">
        <w:rPr>
          <w:color w:val="000000"/>
          <w:sz w:val="20"/>
          <w:szCs w:val="20"/>
          <w:highlight w:val="yellow"/>
        </w:rPr>
        <w:t xml:space="preserve">-value; the </w:t>
      </w:r>
      <w:r w:rsidRPr="00CF2C36">
        <w:rPr>
          <w:i/>
          <w:iCs/>
          <w:color w:val="000000"/>
          <w:sz w:val="20"/>
          <w:szCs w:val="20"/>
          <w:highlight w:val="yellow"/>
        </w:rPr>
        <w:t>p</w:t>
      </w:r>
      <w:r w:rsidRPr="00CF2C36">
        <w:rPr>
          <w:color w:val="000000"/>
          <w:sz w:val="20"/>
          <w:szCs w:val="20"/>
          <w:highlight w:val="yellow"/>
        </w:rPr>
        <w:t xml:space="preserve">-value should not be significant; 2) the Adjusted Goodness of Fit Index (AGFI) should be at least 0.9; 3) the Comparative Fit Index (CFI) should be close to 0.95; </w:t>
      </w:r>
      <w:proofErr w:type="gramStart"/>
      <w:r w:rsidRPr="00CF2C36">
        <w:rPr>
          <w:color w:val="000000"/>
          <w:sz w:val="20"/>
          <w:szCs w:val="20"/>
          <w:highlight w:val="yellow"/>
        </w:rPr>
        <w:t>and,</w:t>
      </w:r>
      <w:proofErr w:type="gramEnd"/>
      <w:r w:rsidRPr="00CF2C36">
        <w:rPr>
          <w:color w:val="000000"/>
          <w:sz w:val="20"/>
          <w:szCs w:val="20"/>
          <w:highlight w:val="yellow"/>
        </w:rPr>
        <w:t xml:space="preserve"> 4) the Root Mean Square Error of Approximation (RMSEA) should have a value of 0.05 or less.</w:t>
      </w:r>
    </w:p>
    <w:p w14:paraId="62B0084A" w14:textId="163AE4A3" w:rsidR="00643EF8" w:rsidRDefault="00643EF8" w:rsidP="00643EF8">
      <w:pPr>
        <w:autoSpaceDE w:val="0"/>
        <w:autoSpaceDN w:val="0"/>
        <w:bidi w:val="0"/>
        <w:adjustRightInd w:val="0"/>
        <w:spacing w:after="0" w:line="240" w:lineRule="auto"/>
        <w:rPr>
          <w:color w:val="000000"/>
          <w:sz w:val="20"/>
          <w:szCs w:val="20"/>
        </w:rPr>
      </w:pPr>
    </w:p>
    <w:p w14:paraId="6C620E50" w14:textId="08CC0FBF" w:rsidR="00643EF8" w:rsidRDefault="00643EF8" w:rsidP="00643EF8">
      <w:pPr>
        <w:autoSpaceDE w:val="0"/>
        <w:autoSpaceDN w:val="0"/>
        <w:bidi w:val="0"/>
        <w:adjustRightInd w:val="0"/>
        <w:spacing w:after="0" w:line="240" w:lineRule="auto"/>
        <w:rPr>
          <w:color w:val="000000"/>
          <w:sz w:val="20"/>
          <w:szCs w:val="20"/>
        </w:rPr>
      </w:pPr>
    </w:p>
    <w:p w14:paraId="1784CF75" w14:textId="5D177067" w:rsidR="00643EF8" w:rsidRDefault="00643EF8" w:rsidP="00643EF8">
      <w:pPr>
        <w:autoSpaceDE w:val="0"/>
        <w:autoSpaceDN w:val="0"/>
        <w:bidi w:val="0"/>
        <w:adjustRightInd w:val="0"/>
        <w:spacing w:after="0" w:line="240" w:lineRule="auto"/>
        <w:rPr>
          <w:color w:val="000000"/>
          <w:sz w:val="20"/>
          <w:szCs w:val="20"/>
        </w:rPr>
      </w:pPr>
    </w:p>
    <w:p w14:paraId="67400265" w14:textId="1DA8DAE0" w:rsidR="00643EF8" w:rsidRDefault="00643EF8" w:rsidP="00643EF8">
      <w:pPr>
        <w:autoSpaceDE w:val="0"/>
        <w:autoSpaceDN w:val="0"/>
        <w:bidi w:val="0"/>
        <w:adjustRightInd w:val="0"/>
        <w:spacing w:after="0" w:line="240" w:lineRule="auto"/>
        <w:rPr>
          <w:color w:val="000000"/>
          <w:sz w:val="20"/>
          <w:szCs w:val="20"/>
        </w:rPr>
      </w:pPr>
    </w:p>
    <w:p w14:paraId="52AD9D20" w14:textId="1B89A0DB" w:rsidR="00643EF8" w:rsidRPr="00643EF8" w:rsidRDefault="00643EF8" w:rsidP="00643EF8">
      <w:pPr>
        <w:autoSpaceDE w:val="0"/>
        <w:autoSpaceDN w:val="0"/>
        <w:bidi w:val="0"/>
        <w:adjustRightInd w:val="0"/>
        <w:spacing w:after="0" w:line="240" w:lineRule="auto"/>
        <w:rPr>
          <w:rFonts w:ascii="Times New Roman" w:hAnsi="Times New Roman" w:cs="Times New Roman"/>
        </w:rPr>
      </w:pPr>
      <w:r>
        <w:rPr>
          <w:rFonts w:ascii="Times New Roman" w:hAnsi="Times New Roman" w:cs="Times New Roman"/>
        </w:rPr>
        <w:t>In the model selection, the simplest model (which has minimum latent class and the least predictive parameter) is preferred (</w:t>
      </w:r>
      <w:proofErr w:type="spellStart"/>
      <w:r>
        <w:rPr>
          <w:rFonts w:ascii="Times New Roman" w:hAnsi="Times New Roman" w:cs="Times New Roman"/>
        </w:rPr>
        <w:t>Vermunt</w:t>
      </w:r>
      <w:proofErr w:type="spellEnd"/>
      <w:r>
        <w:rPr>
          <w:rFonts w:ascii="Times New Roman" w:hAnsi="Times New Roman" w:cs="Times New Roman"/>
        </w:rPr>
        <w:t xml:space="preserve">, 2003; </w:t>
      </w:r>
      <w:proofErr w:type="spellStart"/>
      <w:r>
        <w:rPr>
          <w:rFonts w:ascii="Times New Roman" w:hAnsi="Times New Roman" w:cs="Times New Roman"/>
        </w:rPr>
        <w:t>Vermunt</w:t>
      </w:r>
      <w:proofErr w:type="spellEnd"/>
      <w:r>
        <w:rPr>
          <w:rFonts w:ascii="Times New Roman" w:hAnsi="Times New Roman" w:cs="Times New Roman"/>
        </w:rPr>
        <w:t xml:space="preserve"> &amp; Magidson, 2004). Fitting measures such as log-likelihood (LL) and Bayesian information criterion (BIC) </w:t>
      </w:r>
      <w:r w:rsidRPr="00643EF8">
        <w:rPr>
          <w:rFonts w:ascii="Times New Roman" w:hAnsi="Times New Roman" w:cs="Times New Roman"/>
        </w:rPr>
        <w:t>are used in order to define the best number of clusters. However, related literature (</w:t>
      </w:r>
      <w:proofErr w:type="spellStart"/>
      <w:r w:rsidRPr="00643EF8">
        <w:rPr>
          <w:rFonts w:ascii="Times New Roman" w:hAnsi="Times New Roman" w:cs="Times New Roman"/>
        </w:rPr>
        <w:t>Luko</w:t>
      </w:r>
      <w:r w:rsidRPr="00643EF8">
        <w:rPr>
          <w:rFonts w:ascii="Times New Roman" w:hAnsi="Times New Roman" w:cs="Times New Roman" w:hint="cs"/>
        </w:rPr>
        <w:t>č</w:t>
      </w:r>
      <w:r w:rsidRPr="00643EF8">
        <w:rPr>
          <w:rFonts w:ascii="Times New Roman" w:hAnsi="Times New Roman" w:cs="Times New Roman"/>
        </w:rPr>
        <w:t>ien</w:t>
      </w:r>
      <w:r w:rsidRPr="00643EF8">
        <w:rPr>
          <w:rFonts w:ascii="Times New Roman" w:hAnsi="Times New Roman" w:cs="Times New Roman" w:hint="cs"/>
        </w:rPr>
        <w:t>ė</w:t>
      </w:r>
      <w:proofErr w:type="spellEnd"/>
      <w:r w:rsidRPr="00643EF8">
        <w:rPr>
          <w:rFonts w:ascii="Times New Roman" w:hAnsi="Times New Roman" w:cs="Times New Roman"/>
        </w:rPr>
        <w:t>,</w:t>
      </w:r>
    </w:p>
    <w:p w14:paraId="71E1725A" w14:textId="52E2CCAA" w:rsidR="00643EF8" w:rsidRPr="00643EF8" w:rsidRDefault="00643EF8" w:rsidP="00643EF8">
      <w:pPr>
        <w:autoSpaceDE w:val="0"/>
        <w:autoSpaceDN w:val="0"/>
        <w:bidi w:val="0"/>
        <w:adjustRightInd w:val="0"/>
        <w:spacing w:after="0" w:line="240" w:lineRule="auto"/>
        <w:rPr>
          <w:rFonts w:ascii="Times New Roman" w:hAnsi="Times New Roman" w:cs="Times New Roman"/>
        </w:rPr>
      </w:pPr>
      <w:r>
        <w:rPr>
          <w:rFonts w:ascii="Times New Roman" w:hAnsi="Times New Roman" w:cs="Times New Roman"/>
        </w:rPr>
        <w:t xml:space="preserve">Varriale, and </w:t>
      </w:r>
      <w:proofErr w:type="spellStart"/>
      <w:r>
        <w:rPr>
          <w:rFonts w:ascii="Times New Roman" w:hAnsi="Times New Roman" w:cs="Times New Roman"/>
        </w:rPr>
        <w:t>Vermunt</w:t>
      </w:r>
      <w:proofErr w:type="spellEnd"/>
      <w:r>
        <w:rPr>
          <w:rFonts w:ascii="Times New Roman" w:hAnsi="Times New Roman" w:cs="Times New Roman"/>
        </w:rPr>
        <w:t xml:space="preserve">, 2010) recommends only using of BIC value. Thus, this research was used BIC value as criteria regarding model selection. Secondly, three-step analysis is employed in order to </w:t>
      </w:r>
      <w:r w:rsidRPr="00643EF8">
        <w:rPr>
          <w:rFonts w:ascii="Times New Roman" w:hAnsi="Times New Roman" w:cs="Times New Roman"/>
        </w:rPr>
        <w:t>determine chosen independent variables</w:t>
      </w:r>
      <w:r w:rsidRPr="00643EF8">
        <w:rPr>
          <w:rFonts w:ascii="Times New Roman" w:hAnsi="Times New Roman" w:cs="Times New Roman" w:hint="cs"/>
        </w:rPr>
        <w:t>’</w:t>
      </w:r>
      <w:r w:rsidRPr="00643EF8">
        <w:rPr>
          <w:rFonts w:ascii="Times New Roman" w:hAnsi="Times New Roman" w:cs="Times New Roman"/>
        </w:rPr>
        <w:t xml:space="preserve"> ability to predict emerged latent classes (</w:t>
      </w:r>
      <w:proofErr w:type="spellStart"/>
      <w:r w:rsidRPr="00643EF8">
        <w:rPr>
          <w:rFonts w:ascii="Times New Roman" w:hAnsi="Times New Roman" w:cs="Times New Roman"/>
        </w:rPr>
        <w:t>Vermunt</w:t>
      </w:r>
      <w:proofErr w:type="spellEnd"/>
      <w:r w:rsidRPr="00643EF8">
        <w:rPr>
          <w:rFonts w:ascii="Times New Roman" w:hAnsi="Times New Roman" w:cs="Times New Roman"/>
        </w:rPr>
        <w:t>, 2010).</w:t>
      </w:r>
      <w:r>
        <w:rPr>
          <w:rFonts w:ascii="Times New Roman" w:hAnsi="Times New Roman" w:cs="Times New Roman"/>
        </w:rPr>
        <w:t xml:space="preserve"> Latent Gold 5.1 package programme is used in analyses (</w:t>
      </w:r>
      <w:proofErr w:type="spellStart"/>
      <w:r>
        <w:rPr>
          <w:rFonts w:ascii="Times New Roman" w:hAnsi="Times New Roman" w:cs="Times New Roman"/>
        </w:rPr>
        <w:t>Vermunt</w:t>
      </w:r>
      <w:proofErr w:type="spellEnd"/>
      <w:r>
        <w:rPr>
          <w:rFonts w:ascii="Times New Roman" w:hAnsi="Times New Roman" w:cs="Times New Roman"/>
        </w:rPr>
        <w:t xml:space="preserve"> &amp; Magidson, 2013a, 2013b). Furthermore, country level weightings are employed while analyzing.</w:t>
      </w:r>
    </w:p>
    <w:p w14:paraId="1E395C72" w14:textId="1BB342C3" w:rsidR="004D1BCE" w:rsidRDefault="004D1BCE" w:rsidP="004D1BCE">
      <w:pPr>
        <w:autoSpaceDE w:val="0"/>
        <w:autoSpaceDN w:val="0"/>
        <w:bidi w:val="0"/>
        <w:adjustRightInd w:val="0"/>
        <w:spacing w:after="0" w:line="240" w:lineRule="auto"/>
        <w:rPr>
          <w:rFonts w:ascii="Times New Roman" w:hAnsi="Times New Roman" w:cs="Times New Roman"/>
        </w:rPr>
      </w:pPr>
    </w:p>
    <w:p w14:paraId="4714EA5D" w14:textId="086FBC1E" w:rsidR="00BD178E" w:rsidRDefault="00BD178E" w:rsidP="00BD178E">
      <w:pPr>
        <w:autoSpaceDE w:val="0"/>
        <w:autoSpaceDN w:val="0"/>
        <w:bidi w:val="0"/>
        <w:adjustRightInd w:val="0"/>
        <w:spacing w:after="0" w:line="240" w:lineRule="auto"/>
        <w:rPr>
          <w:rFonts w:ascii="Times New Roman" w:hAnsi="Times New Roman" w:cs="Times New Roman"/>
        </w:rPr>
      </w:pPr>
    </w:p>
    <w:p w14:paraId="41908591" w14:textId="6060EE21" w:rsidR="00BD178E" w:rsidRDefault="00BD178E" w:rsidP="00BD178E">
      <w:pPr>
        <w:autoSpaceDE w:val="0"/>
        <w:autoSpaceDN w:val="0"/>
        <w:bidi w:val="0"/>
        <w:adjustRightInd w:val="0"/>
        <w:spacing w:after="0" w:line="240" w:lineRule="auto"/>
        <w:rPr>
          <w:rFonts w:ascii="Times New Roman" w:hAnsi="Times New Roman" w:cs="Times New Roman"/>
        </w:rPr>
      </w:pPr>
    </w:p>
    <w:p w14:paraId="6DA84FD6" w14:textId="77777777" w:rsidR="00BD178E" w:rsidRPr="00BD178E" w:rsidRDefault="00BD178E" w:rsidP="00BD178E">
      <w:pPr>
        <w:autoSpaceDE w:val="0"/>
        <w:autoSpaceDN w:val="0"/>
        <w:bidi w:val="0"/>
        <w:adjustRightInd w:val="0"/>
        <w:spacing w:after="0" w:line="240" w:lineRule="auto"/>
        <w:rPr>
          <w:rFonts w:ascii="TimesNewRomanPSMT" w:cs="TimesNewRomanPSMT"/>
          <w:b/>
          <w:bCs/>
          <w:sz w:val="14"/>
          <w:szCs w:val="14"/>
        </w:rPr>
      </w:pPr>
      <w:r w:rsidRPr="00BD178E">
        <w:rPr>
          <w:rFonts w:ascii="TimesNewRomanPSMT" w:cs="TimesNewRomanPSMT"/>
          <w:b/>
          <w:bCs/>
        </w:rPr>
        <w:t>Aino I.L. Saarinen</w:t>
      </w:r>
      <w:r w:rsidRPr="00BD178E">
        <w:rPr>
          <w:rFonts w:ascii="TimesNewRomanPSMT" w:cs="TimesNewRomanPSMT"/>
          <w:b/>
          <w:bCs/>
          <w:sz w:val="14"/>
          <w:szCs w:val="14"/>
        </w:rPr>
        <w:t>1,2</w:t>
      </w:r>
      <w:r w:rsidRPr="00BD178E">
        <w:rPr>
          <w:rFonts w:ascii="TimesNewRomanPSMT" w:cs="TimesNewRomanPSMT"/>
          <w:b/>
          <w:bCs/>
        </w:rPr>
        <w:t>, Jari Lipsanen</w:t>
      </w:r>
      <w:r w:rsidRPr="00BD178E">
        <w:rPr>
          <w:rFonts w:ascii="TimesNewRomanPSMT" w:cs="TimesNewRomanPSMT"/>
          <w:b/>
          <w:bCs/>
          <w:sz w:val="14"/>
          <w:szCs w:val="14"/>
        </w:rPr>
        <w:t>2</w:t>
      </w:r>
      <w:r w:rsidRPr="00BD178E">
        <w:rPr>
          <w:rFonts w:ascii="TimesNewRomanPSMT" w:cs="TimesNewRomanPSMT"/>
          <w:b/>
          <w:bCs/>
        </w:rPr>
        <w:t>, Mirka Hintsanen</w:t>
      </w:r>
      <w:r w:rsidRPr="00BD178E">
        <w:rPr>
          <w:rFonts w:ascii="TimesNewRomanPSMT" w:cs="TimesNewRomanPSMT"/>
          <w:b/>
          <w:bCs/>
          <w:sz w:val="14"/>
          <w:szCs w:val="14"/>
        </w:rPr>
        <w:t>1</w:t>
      </w:r>
      <w:r w:rsidRPr="00BD178E">
        <w:rPr>
          <w:rFonts w:ascii="TimesNewRomanPSMT" w:cs="TimesNewRomanPSMT"/>
          <w:b/>
          <w:bCs/>
        </w:rPr>
        <w:t>, Minna Huotilainen</w:t>
      </w:r>
      <w:r w:rsidRPr="00BD178E">
        <w:rPr>
          <w:rFonts w:ascii="TimesNewRomanPSMT" w:cs="TimesNewRomanPSMT"/>
          <w:b/>
          <w:bCs/>
          <w:sz w:val="14"/>
          <w:szCs w:val="14"/>
        </w:rPr>
        <w:t>2</w:t>
      </w:r>
    </w:p>
    <w:p w14:paraId="019C5BC2" w14:textId="6D0BC072" w:rsidR="00BD178E" w:rsidRPr="00BD178E" w:rsidRDefault="00BD178E" w:rsidP="00BD178E">
      <w:pPr>
        <w:autoSpaceDE w:val="0"/>
        <w:autoSpaceDN w:val="0"/>
        <w:bidi w:val="0"/>
        <w:adjustRightInd w:val="0"/>
        <w:spacing w:after="0" w:line="240" w:lineRule="auto"/>
        <w:rPr>
          <w:rFonts w:ascii="Times New Roman" w:hAnsi="Times New Roman" w:cs="Times New Roman"/>
          <w:b/>
          <w:bCs/>
        </w:rPr>
      </w:pPr>
      <w:r w:rsidRPr="00BD178E">
        <w:rPr>
          <w:rFonts w:ascii="TimesNewRomanPSMT" w:cs="TimesNewRomanPSMT"/>
          <w:b/>
          <w:bCs/>
        </w:rPr>
        <w:t>&amp; Liisa Keltikangas-Jarvinen</w:t>
      </w:r>
      <w:r w:rsidRPr="00BD178E">
        <w:rPr>
          <w:rFonts w:ascii="TimesNewRomanPSMT" w:cs="TimesNewRomanPSMT"/>
          <w:b/>
          <w:bCs/>
          <w:sz w:val="14"/>
          <w:szCs w:val="14"/>
        </w:rPr>
        <w:t>2</w:t>
      </w:r>
    </w:p>
    <w:p w14:paraId="2C158D77" w14:textId="77777777" w:rsidR="00BD178E" w:rsidRDefault="00BD178E" w:rsidP="00BD178E">
      <w:pPr>
        <w:autoSpaceDE w:val="0"/>
        <w:autoSpaceDN w:val="0"/>
        <w:bidi w:val="0"/>
        <w:adjustRightInd w:val="0"/>
        <w:spacing w:after="0" w:line="240" w:lineRule="auto"/>
        <w:rPr>
          <w:rFonts w:ascii="TimesNewRomanPSMT" w:cs="TimesNewRomanPSMT"/>
          <w:color w:val="000000"/>
        </w:rPr>
      </w:pPr>
      <w:r>
        <w:rPr>
          <w:rFonts w:ascii="TimesNewRomanPSMT" w:cs="TimesNewRomanPSMT"/>
          <w:color w:val="000000"/>
        </w:rPr>
        <w:t xml:space="preserve">The goodness-of-fit of the structural equation models was assessed </w:t>
      </w:r>
      <w:proofErr w:type="gramStart"/>
      <w:r>
        <w:rPr>
          <w:rFonts w:ascii="TimesNewRomanPSMT" w:cs="TimesNewRomanPSMT"/>
          <w:color w:val="000000"/>
        </w:rPr>
        <w:t>with</w:t>
      </w:r>
      <w:proofErr w:type="gramEnd"/>
    </w:p>
    <w:p w14:paraId="51E0EBE4" w14:textId="77777777" w:rsidR="00BD178E" w:rsidRDefault="00BD178E" w:rsidP="00BD178E">
      <w:pPr>
        <w:autoSpaceDE w:val="0"/>
        <w:autoSpaceDN w:val="0"/>
        <w:bidi w:val="0"/>
        <w:adjustRightInd w:val="0"/>
        <w:spacing w:after="0" w:line="240" w:lineRule="auto"/>
        <w:rPr>
          <w:rFonts w:ascii="TimesNewRomanPSMT" w:cs="TimesNewRomanPSMT"/>
          <w:color w:val="000000"/>
        </w:rPr>
      </w:pPr>
      <w:r>
        <w:rPr>
          <w:rFonts w:ascii="TimesNewRomanPSMT" w:cs="TimesNewRomanPSMT"/>
          <w:color w:val="000000"/>
        </w:rPr>
        <w:t>the values of the Root-Mean-Square Error of Approximation (RMSEA), the</w:t>
      </w:r>
    </w:p>
    <w:p w14:paraId="3CC6659E" w14:textId="77777777" w:rsidR="00BD178E" w:rsidRDefault="00BD178E" w:rsidP="00BD178E">
      <w:pPr>
        <w:autoSpaceDE w:val="0"/>
        <w:autoSpaceDN w:val="0"/>
        <w:bidi w:val="0"/>
        <w:adjustRightInd w:val="0"/>
        <w:spacing w:after="0" w:line="240" w:lineRule="auto"/>
        <w:rPr>
          <w:rFonts w:ascii="TimesNewRomanPSMT" w:cs="TimesNewRomanPSMT"/>
          <w:color w:val="000000"/>
        </w:rPr>
      </w:pPr>
      <w:r>
        <w:rPr>
          <w:rFonts w:ascii="TimesNewRomanPSMT" w:cs="TimesNewRomanPSMT"/>
          <w:color w:val="000000"/>
        </w:rPr>
        <w:t xml:space="preserve">Comparative Fit Index (CFI), and the Tucker Lewis Index (TLI). It has </w:t>
      </w:r>
      <w:proofErr w:type="gramStart"/>
      <w:r>
        <w:rPr>
          <w:rFonts w:ascii="TimesNewRomanPSMT" w:cs="TimesNewRomanPSMT"/>
          <w:color w:val="000000"/>
        </w:rPr>
        <w:t>been</w:t>
      </w:r>
      <w:proofErr w:type="gramEnd"/>
    </w:p>
    <w:p w14:paraId="2235256F" w14:textId="77777777" w:rsidR="00BD178E" w:rsidRDefault="00BD178E" w:rsidP="00BD178E">
      <w:pPr>
        <w:autoSpaceDE w:val="0"/>
        <w:autoSpaceDN w:val="0"/>
        <w:bidi w:val="0"/>
        <w:adjustRightInd w:val="0"/>
        <w:spacing w:after="0" w:line="240" w:lineRule="auto"/>
        <w:rPr>
          <w:rFonts w:ascii="TimesNewRomanPSMT" w:cs="TimesNewRomanPSMT"/>
          <w:color w:val="000000"/>
        </w:rPr>
      </w:pPr>
      <w:r>
        <w:rPr>
          <w:rFonts w:ascii="TimesNewRomanPSMT" w:cs="TimesNewRomanPSMT"/>
          <w:color w:val="000000"/>
        </w:rPr>
        <w:t>showed that the value of RMSEA should be less than 0.06 and the CFI and</w:t>
      </w:r>
    </w:p>
    <w:p w14:paraId="6BE9CE4A" w14:textId="77777777" w:rsidR="00BD178E" w:rsidRDefault="00BD178E" w:rsidP="00BD178E">
      <w:pPr>
        <w:autoSpaceDE w:val="0"/>
        <w:autoSpaceDN w:val="0"/>
        <w:bidi w:val="0"/>
        <w:adjustRightInd w:val="0"/>
        <w:spacing w:after="0" w:line="240" w:lineRule="auto"/>
        <w:rPr>
          <w:rFonts w:ascii="TimesNewRomanPSMT" w:cs="TimesNewRomanPSMT"/>
          <w:color w:val="000000"/>
        </w:rPr>
      </w:pPr>
      <w:r>
        <w:rPr>
          <w:rFonts w:ascii="TimesNewRomanPSMT" w:cs="TimesNewRomanPSMT"/>
          <w:color w:val="000000"/>
        </w:rPr>
        <w:t>the TLI should be more than 0.95 (</w:t>
      </w:r>
      <w:r>
        <w:rPr>
          <w:rFonts w:ascii="TimesNewRomanPSMT" w:cs="TimesNewRomanPSMT"/>
          <w:color w:val="8164A3"/>
        </w:rPr>
        <w:t>Hu &amp; Bentler, 1999</w:t>
      </w:r>
      <w:r>
        <w:rPr>
          <w:rFonts w:ascii="TimesNewRomanPSMT" w:cs="TimesNewRomanPSMT"/>
          <w:color w:val="000000"/>
        </w:rPr>
        <w:t>). Additionally, lower</w:t>
      </w:r>
    </w:p>
    <w:p w14:paraId="039BEB37" w14:textId="77777777" w:rsidR="00BD178E" w:rsidRDefault="00BD178E" w:rsidP="00BD178E">
      <w:pPr>
        <w:autoSpaceDE w:val="0"/>
        <w:autoSpaceDN w:val="0"/>
        <w:bidi w:val="0"/>
        <w:adjustRightInd w:val="0"/>
        <w:spacing w:after="0" w:line="240" w:lineRule="auto"/>
        <w:rPr>
          <w:rFonts w:ascii="TimesNewRomanPSMT" w:cs="TimesNewRomanPSMT"/>
          <w:color w:val="000000"/>
        </w:rPr>
      </w:pPr>
      <w:r>
        <w:rPr>
          <w:rFonts w:ascii="TimesNewRomanPSMT" w:cs="TimesNewRomanPSMT"/>
          <w:color w:val="000000"/>
        </w:rPr>
        <w:t xml:space="preserve">values of the </w:t>
      </w:r>
      <w:r>
        <w:rPr>
          <w:rFonts w:ascii="TimesNewRomanPSMT" w:cs="TimesNewRomanPSMT" w:hint="cs"/>
          <w:color w:val="000000"/>
        </w:rPr>
        <w:t>χ</w:t>
      </w:r>
      <w:r>
        <w:rPr>
          <w:rFonts w:ascii="TimesNewRomanPSMT" w:cs="TimesNewRomanPSMT"/>
          <w:color w:val="000000"/>
          <w:sz w:val="14"/>
          <w:szCs w:val="14"/>
        </w:rPr>
        <w:t xml:space="preserve">2 </w:t>
      </w:r>
      <w:r>
        <w:rPr>
          <w:rFonts w:ascii="TimesNewRomanPSMT" w:cs="TimesNewRomanPSMT"/>
          <w:color w:val="000000"/>
        </w:rPr>
        <w:t xml:space="preserve">test of absolute model fit suggest better model fit to the </w:t>
      </w:r>
      <w:proofErr w:type="gramStart"/>
      <w:r>
        <w:rPr>
          <w:rFonts w:ascii="TimesNewRomanPSMT" w:cs="TimesNewRomanPSMT"/>
          <w:color w:val="000000"/>
        </w:rPr>
        <w:t>data</w:t>
      </w:r>
      <w:proofErr w:type="gramEnd"/>
    </w:p>
    <w:p w14:paraId="4274DE7F" w14:textId="0F9B5A0D" w:rsidR="00BD178E" w:rsidRPr="00643EF8" w:rsidRDefault="00BD178E" w:rsidP="00BD178E">
      <w:pPr>
        <w:autoSpaceDE w:val="0"/>
        <w:autoSpaceDN w:val="0"/>
        <w:bidi w:val="0"/>
        <w:adjustRightInd w:val="0"/>
        <w:spacing w:after="0" w:line="240" w:lineRule="auto"/>
        <w:rPr>
          <w:rFonts w:ascii="Times New Roman" w:hAnsi="Times New Roman" w:cs="Times New Roman"/>
        </w:rPr>
      </w:pPr>
      <w:r>
        <w:rPr>
          <w:rFonts w:ascii="TimesNewRomanPSMT" w:cs="TimesNewRomanPSMT"/>
          <w:color w:val="000000"/>
        </w:rPr>
        <w:t>(</w:t>
      </w:r>
      <w:r>
        <w:rPr>
          <w:rFonts w:ascii="TimesNewRomanPSMT" w:cs="TimesNewRomanPSMT"/>
          <w:color w:val="8164A3"/>
        </w:rPr>
        <w:t>Schreiber et al., 2006</w:t>
      </w:r>
      <w:r>
        <w:rPr>
          <w:rFonts w:ascii="TimesNewRomanPSMT" w:cs="TimesNewRomanPSMT"/>
          <w:color w:val="000000"/>
        </w:rPr>
        <w:t>).</w:t>
      </w:r>
    </w:p>
    <w:sectPr w:rsidR="00BD178E" w:rsidRPr="00643EF8" w:rsidSect="002D174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GillSans">
    <w:altName w:val="Calibri"/>
    <w:panose1 w:val="00000000000000000000"/>
    <w:charset w:val="00"/>
    <w:family w:val="swiss"/>
    <w:notTrueType/>
    <w:pitch w:val="default"/>
    <w:sig w:usb0="00000003" w:usb1="00000000" w:usb2="00000000" w:usb3="00000000" w:csb0="00000001" w:csb1="00000000"/>
  </w:font>
  <w:font w:name="AdvOT596495f2">
    <w:altName w:val="Cambria"/>
    <w:panose1 w:val="00000000000000000000"/>
    <w:charset w:val="00"/>
    <w:family w:val="roman"/>
    <w:notTrueType/>
    <w:pitch w:val="default"/>
    <w:sig w:usb0="00000003" w:usb1="00000000" w:usb2="00000000" w:usb3="00000000" w:csb0="00000001" w:csb1="00000000"/>
  </w:font>
  <w:font w:name="AdvOT596495f2+fb">
    <w:altName w:val="Arial"/>
    <w:panose1 w:val="00000000000000000000"/>
    <w:charset w:val="B2"/>
    <w:family w:val="auto"/>
    <w:notTrueType/>
    <w:pitch w:val="default"/>
    <w:sig w:usb0="00002001" w:usb1="00000000" w:usb2="00000000" w:usb3="00000000" w:csb0="00000040" w:csb1="00000000"/>
  </w:font>
  <w:font w:name="AdvOT7fb33346.I">
    <w:altName w:val="Cambria"/>
    <w:panose1 w:val="00000000000000000000"/>
    <w:charset w:val="00"/>
    <w:family w:val="roman"/>
    <w:notTrueType/>
    <w:pitch w:val="default"/>
    <w:sig w:usb0="00000003" w:usb1="00000000" w:usb2="00000000" w:usb3="00000000" w:csb0="00000001" w:csb1="00000000"/>
  </w:font>
  <w:font w:name="AdvOT596495f2+20">
    <w:altName w:val="Calibri"/>
    <w:panose1 w:val="00000000000000000000"/>
    <w:charset w:val="00"/>
    <w:family w:val="swiss"/>
    <w:notTrueType/>
    <w:pitch w:val="default"/>
    <w:sig w:usb0="00000003" w:usb1="00000000" w:usb2="00000000" w:usb3="00000000" w:csb0="00000001" w:csb1="00000000"/>
  </w:font>
  <w:font w:name="AGaramondPro-Semibold">
    <w:altName w:val="Yu Gothic"/>
    <w:panose1 w:val="00000000000000000000"/>
    <w:charset w:val="80"/>
    <w:family w:val="roman"/>
    <w:notTrueType/>
    <w:pitch w:val="default"/>
    <w:sig w:usb0="00000001" w:usb1="08070000" w:usb2="00000010" w:usb3="00000000" w:csb0="00020000" w:csb1="00000000"/>
  </w:font>
  <w:font w:name="MinionPro-Regular">
    <w:altName w:val="Cambria"/>
    <w:panose1 w:val="00000000000000000000"/>
    <w:charset w:val="EE"/>
    <w:family w:val="roman"/>
    <w:notTrueType/>
    <w:pitch w:val="default"/>
    <w:sig w:usb0="00000005" w:usb1="00000000" w:usb2="00000000" w:usb3="00000000" w:csb0="00000002" w:csb1="00000000"/>
  </w:font>
  <w:font w:name="Cambria Math">
    <w:altName w:val="Cambria Math"/>
    <w:panose1 w:val="02040503050406030204"/>
    <w:charset w:val="00"/>
    <w:family w:val="roman"/>
    <w:pitch w:val="variable"/>
    <w:sig w:usb0="E00006FF" w:usb1="420024FF" w:usb2="02000000" w:usb3="00000000" w:csb0="0000019F" w:csb1="00000000"/>
  </w:font>
  <w:font w:name="AdvOT8608a8d1+22">
    <w:altName w:val="Malgun Gothic"/>
    <w:panose1 w:val="00000000000000000000"/>
    <w:charset w:val="81"/>
    <w:family w:val="auto"/>
    <w:notTrueType/>
    <w:pitch w:val="default"/>
    <w:sig w:usb0="00000001" w:usb1="09060000" w:usb2="00000010" w:usb3="00000000" w:csb0="00080000" w:csb1="00000000"/>
  </w:font>
  <w:font w:name="AdvOT596495f2+03">
    <w:altName w:val="Calibri"/>
    <w:panose1 w:val="00000000000000000000"/>
    <w:charset w:val="A1"/>
    <w:family w:val="auto"/>
    <w:notTrueType/>
    <w:pitch w:val="default"/>
    <w:sig w:usb0="00000081" w:usb1="00000000" w:usb2="00000000" w:usb3="00000000" w:csb0="00000008" w:csb1="00000000"/>
  </w:font>
  <w:font w:name="AdvOT7fb33346.I+03">
    <w:altName w:val="Calibri"/>
    <w:panose1 w:val="00000000000000000000"/>
    <w:charset w:val="A1"/>
    <w:family w:val="auto"/>
    <w:notTrueType/>
    <w:pitch w:val="default"/>
    <w:sig w:usb0="00000081" w:usb1="00000000" w:usb2="00000000" w:usb3="00000000" w:csb0="00000008" w:csb1="00000000"/>
  </w:font>
  <w:font w:name="AdvOT1efcda3b.B">
    <w:altName w:val="Calibri"/>
    <w:panose1 w:val="00000000000000000000"/>
    <w:charset w:val="00"/>
    <w:family w:val="swiss"/>
    <w:notTrueType/>
    <w:pitch w:val="default"/>
    <w:sig w:usb0="00000003" w:usb1="00000000" w:usb2="00000000" w:usb3="00000000" w:csb0="00000001" w:csb1="00000000"/>
  </w:font>
  <w:font w:name="AdvOT863180fb">
    <w:altName w:val="Cambria"/>
    <w:panose1 w:val="00000000000000000000"/>
    <w:charset w:val="00"/>
    <w:family w:val="roman"/>
    <w:notTrueType/>
    <w:pitch w:val="default"/>
    <w:sig w:usb0="00000003" w:usb1="00000000" w:usb2="00000000" w:usb3="00000000" w:csb0="00000001" w:csb1="00000000"/>
  </w:font>
  <w:font w:name="AdvOT863180fb+fb">
    <w:altName w:val="Arial"/>
    <w:panose1 w:val="00000000000000000000"/>
    <w:charset w:val="B2"/>
    <w:family w:val="auto"/>
    <w:notTrueType/>
    <w:pitch w:val="default"/>
    <w:sig w:usb0="00002001" w:usb1="00000000" w:usb2="00000000" w:usb3="00000000" w:csb0="00000040" w:csb1="00000000"/>
  </w:font>
  <w:font w:name="AdvOTb92eb7df.I">
    <w:altName w:val="Cambria"/>
    <w:panose1 w:val="00000000000000000000"/>
    <w:charset w:val="00"/>
    <w:family w:val="roman"/>
    <w:notTrueType/>
    <w:pitch w:val="default"/>
    <w:sig w:usb0="00000003" w:usb1="00000000" w:usb2="00000000" w:usb3="00000000" w:csb0="00000001" w:csb1="00000000"/>
  </w:font>
  <w:font w:name="AdvP4C4E74">
    <w:altName w:val="Arial"/>
    <w:panose1 w:val="00000000000000000000"/>
    <w:charset w:val="B2"/>
    <w:family w:val="auto"/>
    <w:notTrueType/>
    <w:pitch w:val="default"/>
    <w:sig w:usb0="00002001" w:usb1="00000000" w:usb2="00000000" w:usb3="00000000" w:csb0="00000040" w:csb1="00000000"/>
  </w:font>
  <w:font w:name="TimesNewRomanPSMT">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37"/>
    <w:rsid w:val="000128A6"/>
    <w:rsid w:val="00015951"/>
    <w:rsid w:val="00016C26"/>
    <w:rsid w:val="00025214"/>
    <w:rsid w:val="00031568"/>
    <w:rsid w:val="00031FA5"/>
    <w:rsid w:val="00034A8E"/>
    <w:rsid w:val="00034B89"/>
    <w:rsid w:val="0003716F"/>
    <w:rsid w:val="0004305C"/>
    <w:rsid w:val="00051D7E"/>
    <w:rsid w:val="00052671"/>
    <w:rsid w:val="00053C67"/>
    <w:rsid w:val="00067160"/>
    <w:rsid w:val="00073C4F"/>
    <w:rsid w:val="00073EB0"/>
    <w:rsid w:val="000801CA"/>
    <w:rsid w:val="00081A11"/>
    <w:rsid w:val="00083D4C"/>
    <w:rsid w:val="00085D9B"/>
    <w:rsid w:val="00086E2C"/>
    <w:rsid w:val="000903A0"/>
    <w:rsid w:val="000930EC"/>
    <w:rsid w:val="00097BB4"/>
    <w:rsid w:val="000B2737"/>
    <w:rsid w:val="000B29DC"/>
    <w:rsid w:val="000B49DD"/>
    <w:rsid w:val="000B4D52"/>
    <w:rsid w:val="000B7004"/>
    <w:rsid w:val="000C7FAF"/>
    <w:rsid w:val="000D06B2"/>
    <w:rsid w:val="000D3AD4"/>
    <w:rsid w:val="000D3C83"/>
    <w:rsid w:val="000D6617"/>
    <w:rsid w:val="001070B3"/>
    <w:rsid w:val="00111D8D"/>
    <w:rsid w:val="00114218"/>
    <w:rsid w:val="0011714C"/>
    <w:rsid w:val="0012443B"/>
    <w:rsid w:val="00125455"/>
    <w:rsid w:val="00137026"/>
    <w:rsid w:val="00145A06"/>
    <w:rsid w:val="001579BA"/>
    <w:rsid w:val="00167083"/>
    <w:rsid w:val="0019366D"/>
    <w:rsid w:val="00197A7C"/>
    <w:rsid w:val="001A054B"/>
    <w:rsid w:val="001A55D8"/>
    <w:rsid w:val="001B3E4E"/>
    <w:rsid w:val="001B50C9"/>
    <w:rsid w:val="001B65DD"/>
    <w:rsid w:val="001B7A4D"/>
    <w:rsid w:val="001C5A94"/>
    <w:rsid w:val="001C5B69"/>
    <w:rsid w:val="001D0A55"/>
    <w:rsid w:val="001D36B0"/>
    <w:rsid w:val="001D5E0B"/>
    <w:rsid w:val="001D6AAE"/>
    <w:rsid w:val="001E7A3C"/>
    <w:rsid w:val="001F10C4"/>
    <w:rsid w:val="001F1726"/>
    <w:rsid w:val="001F779E"/>
    <w:rsid w:val="00200B92"/>
    <w:rsid w:val="00204313"/>
    <w:rsid w:val="00210B73"/>
    <w:rsid w:val="00212E3F"/>
    <w:rsid w:val="002271C2"/>
    <w:rsid w:val="00227FB4"/>
    <w:rsid w:val="00233C28"/>
    <w:rsid w:val="00233D4D"/>
    <w:rsid w:val="00241998"/>
    <w:rsid w:val="0024380A"/>
    <w:rsid w:val="0025156B"/>
    <w:rsid w:val="002521B1"/>
    <w:rsid w:val="002522B0"/>
    <w:rsid w:val="00254072"/>
    <w:rsid w:val="002616E3"/>
    <w:rsid w:val="00275AD7"/>
    <w:rsid w:val="002828AF"/>
    <w:rsid w:val="00283FD9"/>
    <w:rsid w:val="00285920"/>
    <w:rsid w:val="00287B27"/>
    <w:rsid w:val="00291667"/>
    <w:rsid w:val="00294595"/>
    <w:rsid w:val="00297060"/>
    <w:rsid w:val="002A06AF"/>
    <w:rsid w:val="002A0CFE"/>
    <w:rsid w:val="002A4C02"/>
    <w:rsid w:val="002A5C61"/>
    <w:rsid w:val="002A5DAD"/>
    <w:rsid w:val="002B55E3"/>
    <w:rsid w:val="002B7645"/>
    <w:rsid w:val="002C5D5B"/>
    <w:rsid w:val="002D08C7"/>
    <w:rsid w:val="002D0D6F"/>
    <w:rsid w:val="002D174A"/>
    <w:rsid w:val="002D715E"/>
    <w:rsid w:val="002E14FD"/>
    <w:rsid w:val="00304C97"/>
    <w:rsid w:val="00305E21"/>
    <w:rsid w:val="00310BA7"/>
    <w:rsid w:val="00311814"/>
    <w:rsid w:val="0031277B"/>
    <w:rsid w:val="003214B0"/>
    <w:rsid w:val="00330490"/>
    <w:rsid w:val="003374D6"/>
    <w:rsid w:val="003421AC"/>
    <w:rsid w:val="0034454B"/>
    <w:rsid w:val="003507FE"/>
    <w:rsid w:val="00351DD0"/>
    <w:rsid w:val="00364766"/>
    <w:rsid w:val="0036581A"/>
    <w:rsid w:val="003724DD"/>
    <w:rsid w:val="0037531B"/>
    <w:rsid w:val="003A036A"/>
    <w:rsid w:val="003B251F"/>
    <w:rsid w:val="003B3342"/>
    <w:rsid w:val="003B4BC1"/>
    <w:rsid w:val="003B7861"/>
    <w:rsid w:val="003C29AB"/>
    <w:rsid w:val="003C6448"/>
    <w:rsid w:val="003D161E"/>
    <w:rsid w:val="003D337B"/>
    <w:rsid w:val="003D3E72"/>
    <w:rsid w:val="003E24D9"/>
    <w:rsid w:val="003F6240"/>
    <w:rsid w:val="00402626"/>
    <w:rsid w:val="00406501"/>
    <w:rsid w:val="00425F47"/>
    <w:rsid w:val="00435D15"/>
    <w:rsid w:val="00435E4A"/>
    <w:rsid w:val="00436ED0"/>
    <w:rsid w:val="00443C6A"/>
    <w:rsid w:val="0044413A"/>
    <w:rsid w:val="00451432"/>
    <w:rsid w:val="00452B41"/>
    <w:rsid w:val="004533CF"/>
    <w:rsid w:val="0046242A"/>
    <w:rsid w:val="00470676"/>
    <w:rsid w:val="00473D41"/>
    <w:rsid w:val="00475A93"/>
    <w:rsid w:val="00477162"/>
    <w:rsid w:val="004843C6"/>
    <w:rsid w:val="00485F13"/>
    <w:rsid w:val="00492A42"/>
    <w:rsid w:val="00493B44"/>
    <w:rsid w:val="004A3B8D"/>
    <w:rsid w:val="004B3409"/>
    <w:rsid w:val="004C77D0"/>
    <w:rsid w:val="004C7CD9"/>
    <w:rsid w:val="004C7EB8"/>
    <w:rsid w:val="004D15EF"/>
    <w:rsid w:val="004D1BCE"/>
    <w:rsid w:val="004D3715"/>
    <w:rsid w:val="004F05A1"/>
    <w:rsid w:val="004F564C"/>
    <w:rsid w:val="00510C95"/>
    <w:rsid w:val="00517138"/>
    <w:rsid w:val="00517CE6"/>
    <w:rsid w:val="00522767"/>
    <w:rsid w:val="005233FC"/>
    <w:rsid w:val="0052589A"/>
    <w:rsid w:val="00525E45"/>
    <w:rsid w:val="005416B3"/>
    <w:rsid w:val="0054596B"/>
    <w:rsid w:val="005479D8"/>
    <w:rsid w:val="005573DA"/>
    <w:rsid w:val="00562AD7"/>
    <w:rsid w:val="0056308C"/>
    <w:rsid w:val="00565029"/>
    <w:rsid w:val="00565A65"/>
    <w:rsid w:val="00567605"/>
    <w:rsid w:val="00572B4A"/>
    <w:rsid w:val="00581888"/>
    <w:rsid w:val="00586D84"/>
    <w:rsid w:val="00594F27"/>
    <w:rsid w:val="005A1944"/>
    <w:rsid w:val="005A2450"/>
    <w:rsid w:val="005A5C1D"/>
    <w:rsid w:val="005A6D33"/>
    <w:rsid w:val="005A7E65"/>
    <w:rsid w:val="005B1F9E"/>
    <w:rsid w:val="005B55E6"/>
    <w:rsid w:val="005C5893"/>
    <w:rsid w:val="005C69A2"/>
    <w:rsid w:val="005D07F6"/>
    <w:rsid w:val="005F22CD"/>
    <w:rsid w:val="0060124E"/>
    <w:rsid w:val="00601CC1"/>
    <w:rsid w:val="00606F42"/>
    <w:rsid w:val="00610B4A"/>
    <w:rsid w:val="00615D79"/>
    <w:rsid w:val="006165A5"/>
    <w:rsid w:val="0061676E"/>
    <w:rsid w:val="00617C47"/>
    <w:rsid w:val="00624B25"/>
    <w:rsid w:val="006324C7"/>
    <w:rsid w:val="00634170"/>
    <w:rsid w:val="00643EF8"/>
    <w:rsid w:val="00653466"/>
    <w:rsid w:val="00663E12"/>
    <w:rsid w:val="00671D5E"/>
    <w:rsid w:val="0067211C"/>
    <w:rsid w:val="00677869"/>
    <w:rsid w:val="00680D6E"/>
    <w:rsid w:val="00681AC4"/>
    <w:rsid w:val="006964D9"/>
    <w:rsid w:val="00697188"/>
    <w:rsid w:val="006979C1"/>
    <w:rsid w:val="006A4AF0"/>
    <w:rsid w:val="006B18BC"/>
    <w:rsid w:val="006B678F"/>
    <w:rsid w:val="006C45A9"/>
    <w:rsid w:val="006C6397"/>
    <w:rsid w:val="006C6998"/>
    <w:rsid w:val="006C7D0A"/>
    <w:rsid w:val="006D0D81"/>
    <w:rsid w:val="006D104C"/>
    <w:rsid w:val="006E5502"/>
    <w:rsid w:val="006E6A44"/>
    <w:rsid w:val="006E6AFA"/>
    <w:rsid w:val="006F23EA"/>
    <w:rsid w:val="006F37A4"/>
    <w:rsid w:val="00700BE8"/>
    <w:rsid w:val="007051CB"/>
    <w:rsid w:val="00706D8C"/>
    <w:rsid w:val="007142C6"/>
    <w:rsid w:val="00720B30"/>
    <w:rsid w:val="00722AA0"/>
    <w:rsid w:val="00740557"/>
    <w:rsid w:val="007433F7"/>
    <w:rsid w:val="00745EF0"/>
    <w:rsid w:val="00750EF6"/>
    <w:rsid w:val="007525C5"/>
    <w:rsid w:val="007623C9"/>
    <w:rsid w:val="00765089"/>
    <w:rsid w:val="00773D75"/>
    <w:rsid w:val="00781817"/>
    <w:rsid w:val="00781A07"/>
    <w:rsid w:val="0078441A"/>
    <w:rsid w:val="00793F28"/>
    <w:rsid w:val="007A06EA"/>
    <w:rsid w:val="007A0F20"/>
    <w:rsid w:val="007A5766"/>
    <w:rsid w:val="007A6FC6"/>
    <w:rsid w:val="007B19F8"/>
    <w:rsid w:val="007C450D"/>
    <w:rsid w:val="007C62FF"/>
    <w:rsid w:val="007E18C1"/>
    <w:rsid w:val="007E6846"/>
    <w:rsid w:val="007F1531"/>
    <w:rsid w:val="007F708F"/>
    <w:rsid w:val="007F7743"/>
    <w:rsid w:val="00800B2F"/>
    <w:rsid w:val="00801DC4"/>
    <w:rsid w:val="00802643"/>
    <w:rsid w:val="0080318A"/>
    <w:rsid w:val="00805975"/>
    <w:rsid w:val="0080612F"/>
    <w:rsid w:val="008076E9"/>
    <w:rsid w:val="00807A2D"/>
    <w:rsid w:val="00812E4A"/>
    <w:rsid w:val="008252AC"/>
    <w:rsid w:val="00825930"/>
    <w:rsid w:val="0083031E"/>
    <w:rsid w:val="00831272"/>
    <w:rsid w:val="00837CC1"/>
    <w:rsid w:val="00840763"/>
    <w:rsid w:val="00842A43"/>
    <w:rsid w:val="00843470"/>
    <w:rsid w:val="00852EF7"/>
    <w:rsid w:val="00854164"/>
    <w:rsid w:val="0085449F"/>
    <w:rsid w:val="008652C0"/>
    <w:rsid w:val="00866EA9"/>
    <w:rsid w:val="00867401"/>
    <w:rsid w:val="008708D2"/>
    <w:rsid w:val="00871FC2"/>
    <w:rsid w:val="008756A9"/>
    <w:rsid w:val="0087631A"/>
    <w:rsid w:val="00877993"/>
    <w:rsid w:val="008800A1"/>
    <w:rsid w:val="00880771"/>
    <w:rsid w:val="008840C2"/>
    <w:rsid w:val="00891519"/>
    <w:rsid w:val="00891836"/>
    <w:rsid w:val="008A30B9"/>
    <w:rsid w:val="008A55B3"/>
    <w:rsid w:val="008A73FD"/>
    <w:rsid w:val="008D19B3"/>
    <w:rsid w:val="008D2B95"/>
    <w:rsid w:val="008E212A"/>
    <w:rsid w:val="008F7D9F"/>
    <w:rsid w:val="00901A2C"/>
    <w:rsid w:val="00907F1A"/>
    <w:rsid w:val="0091303A"/>
    <w:rsid w:val="009167CB"/>
    <w:rsid w:val="0092101C"/>
    <w:rsid w:val="00922B1F"/>
    <w:rsid w:val="00922CC7"/>
    <w:rsid w:val="00925A8B"/>
    <w:rsid w:val="00926255"/>
    <w:rsid w:val="0093122C"/>
    <w:rsid w:val="00935550"/>
    <w:rsid w:val="00936DDC"/>
    <w:rsid w:val="00942FEA"/>
    <w:rsid w:val="00947653"/>
    <w:rsid w:val="00953E37"/>
    <w:rsid w:val="009551A3"/>
    <w:rsid w:val="00960EB4"/>
    <w:rsid w:val="0096121A"/>
    <w:rsid w:val="00963FF4"/>
    <w:rsid w:val="009660D1"/>
    <w:rsid w:val="00973F4B"/>
    <w:rsid w:val="00983D89"/>
    <w:rsid w:val="009843DA"/>
    <w:rsid w:val="00985070"/>
    <w:rsid w:val="009A1F86"/>
    <w:rsid w:val="009B49BB"/>
    <w:rsid w:val="009B6D69"/>
    <w:rsid w:val="009B7ADB"/>
    <w:rsid w:val="009C646D"/>
    <w:rsid w:val="009C65EF"/>
    <w:rsid w:val="009D1294"/>
    <w:rsid w:val="009D4B3A"/>
    <w:rsid w:val="009E378A"/>
    <w:rsid w:val="009E6A42"/>
    <w:rsid w:val="009F0D63"/>
    <w:rsid w:val="009F3408"/>
    <w:rsid w:val="009F5DAB"/>
    <w:rsid w:val="009F7922"/>
    <w:rsid w:val="00A00F6C"/>
    <w:rsid w:val="00A12777"/>
    <w:rsid w:val="00A171B2"/>
    <w:rsid w:val="00A23C3B"/>
    <w:rsid w:val="00A32BB7"/>
    <w:rsid w:val="00A3380E"/>
    <w:rsid w:val="00A37A3D"/>
    <w:rsid w:val="00A413D8"/>
    <w:rsid w:val="00A8178E"/>
    <w:rsid w:val="00A83E96"/>
    <w:rsid w:val="00A8410B"/>
    <w:rsid w:val="00A87BC1"/>
    <w:rsid w:val="00A90E64"/>
    <w:rsid w:val="00A919C5"/>
    <w:rsid w:val="00A92388"/>
    <w:rsid w:val="00A92646"/>
    <w:rsid w:val="00A944AE"/>
    <w:rsid w:val="00A9723D"/>
    <w:rsid w:val="00AA2608"/>
    <w:rsid w:val="00AB5040"/>
    <w:rsid w:val="00AD2704"/>
    <w:rsid w:val="00AD50E2"/>
    <w:rsid w:val="00AE112F"/>
    <w:rsid w:val="00AE33BF"/>
    <w:rsid w:val="00AE6704"/>
    <w:rsid w:val="00AF1971"/>
    <w:rsid w:val="00AF1C63"/>
    <w:rsid w:val="00AF216D"/>
    <w:rsid w:val="00AF2523"/>
    <w:rsid w:val="00B06DF7"/>
    <w:rsid w:val="00B13695"/>
    <w:rsid w:val="00B20FD4"/>
    <w:rsid w:val="00B235BE"/>
    <w:rsid w:val="00B24734"/>
    <w:rsid w:val="00B338B3"/>
    <w:rsid w:val="00B3552F"/>
    <w:rsid w:val="00B40846"/>
    <w:rsid w:val="00B43EF1"/>
    <w:rsid w:val="00B44C06"/>
    <w:rsid w:val="00B56452"/>
    <w:rsid w:val="00B60A82"/>
    <w:rsid w:val="00B60F80"/>
    <w:rsid w:val="00B62242"/>
    <w:rsid w:val="00B65D87"/>
    <w:rsid w:val="00B70817"/>
    <w:rsid w:val="00B71AE6"/>
    <w:rsid w:val="00B72DFA"/>
    <w:rsid w:val="00B73886"/>
    <w:rsid w:val="00B931B3"/>
    <w:rsid w:val="00B97A67"/>
    <w:rsid w:val="00BA30C7"/>
    <w:rsid w:val="00BA77DB"/>
    <w:rsid w:val="00BB5401"/>
    <w:rsid w:val="00BC0621"/>
    <w:rsid w:val="00BD0537"/>
    <w:rsid w:val="00BD178E"/>
    <w:rsid w:val="00BD1ED1"/>
    <w:rsid w:val="00BE14A4"/>
    <w:rsid w:val="00BE3D10"/>
    <w:rsid w:val="00BE66E7"/>
    <w:rsid w:val="00BF5733"/>
    <w:rsid w:val="00C07384"/>
    <w:rsid w:val="00C078C0"/>
    <w:rsid w:val="00C220C6"/>
    <w:rsid w:val="00C22A65"/>
    <w:rsid w:val="00C26B13"/>
    <w:rsid w:val="00C36135"/>
    <w:rsid w:val="00C42328"/>
    <w:rsid w:val="00C42339"/>
    <w:rsid w:val="00C435D6"/>
    <w:rsid w:val="00C53BC9"/>
    <w:rsid w:val="00C64165"/>
    <w:rsid w:val="00C6706E"/>
    <w:rsid w:val="00C75F63"/>
    <w:rsid w:val="00C7711D"/>
    <w:rsid w:val="00C93AA7"/>
    <w:rsid w:val="00C93B1A"/>
    <w:rsid w:val="00C969EA"/>
    <w:rsid w:val="00CA4B3F"/>
    <w:rsid w:val="00CB117F"/>
    <w:rsid w:val="00CB5B1C"/>
    <w:rsid w:val="00CC0D5D"/>
    <w:rsid w:val="00CC3F68"/>
    <w:rsid w:val="00CC5BED"/>
    <w:rsid w:val="00CD724E"/>
    <w:rsid w:val="00CE107E"/>
    <w:rsid w:val="00CE137F"/>
    <w:rsid w:val="00CE67CE"/>
    <w:rsid w:val="00CF0ACB"/>
    <w:rsid w:val="00CF2C36"/>
    <w:rsid w:val="00CF2D48"/>
    <w:rsid w:val="00CF2FBD"/>
    <w:rsid w:val="00CF4614"/>
    <w:rsid w:val="00D063D0"/>
    <w:rsid w:val="00D21A6E"/>
    <w:rsid w:val="00D22C79"/>
    <w:rsid w:val="00D32EAD"/>
    <w:rsid w:val="00D54C6F"/>
    <w:rsid w:val="00D66B00"/>
    <w:rsid w:val="00D70FD6"/>
    <w:rsid w:val="00D714EA"/>
    <w:rsid w:val="00D748D0"/>
    <w:rsid w:val="00D86663"/>
    <w:rsid w:val="00D92012"/>
    <w:rsid w:val="00D941A3"/>
    <w:rsid w:val="00D9630F"/>
    <w:rsid w:val="00D97E64"/>
    <w:rsid w:val="00DA2F9C"/>
    <w:rsid w:val="00DB0CC1"/>
    <w:rsid w:val="00DB2D24"/>
    <w:rsid w:val="00DB3419"/>
    <w:rsid w:val="00DB78DA"/>
    <w:rsid w:val="00DB7AEA"/>
    <w:rsid w:val="00DD2041"/>
    <w:rsid w:val="00DE22A4"/>
    <w:rsid w:val="00DE49AA"/>
    <w:rsid w:val="00DE5244"/>
    <w:rsid w:val="00DF1B6A"/>
    <w:rsid w:val="00E07D36"/>
    <w:rsid w:val="00E07FE0"/>
    <w:rsid w:val="00E11375"/>
    <w:rsid w:val="00E15688"/>
    <w:rsid w:val="00E2327B"/>
    <w:rsid w:val="00E36862"/>
    <w:rsid w:val="00E405E1"/>
    <w:rsid w:val="00E432E0"/>
    <w:rsid w:val="00E47C4B"/>
    <w:rsid w:val="00E53CC1"/>
    <w:rsid w:val="00E63A12"/>
    <w:rsid w:val="00E6551D"/>
    <w:rsid w:val="00E70DF1"/>
    <w:rsid w:val="00E84366"/>
    <w:rsid w:val="00EA171A"/>
    <w:rsid w:val="00EA5A55"/>
    <w:rsid w:val="00EA6411"/>
    <w:rsid w:val="00EB4C1C"/>
    <w:rsid w:val="00EB69BA"/>
    <w:rsid w:val="00EC4329"/>
    <w:rsid w:val="00EC665F"/>
    <w:rsid w:val="00EC6BD2"/>
    <w:rsid w:val="00EC7661"/>
    <w:rsid w:val="00ED5335"/>
    <w:rsid w:val="00ED71CB"/>
    <w:rsid w:val="00ED74E6"/>
    <w:rsid w:val="00EE5578"/>
    <w:rsid w:val="00EF3A68"/>
    <w:rsid w:val="00EF57F7"/>
    <w:rsid w:val="00EF72B4"/>
    <w:rsid w:val="00F05FE5"/>
    <w:rsid w:val="00F14E1C"/>
    <w:rsid w:val="00F26BBD"/>
    <w:rsid w:val="00F31376"/>
    <w:rsid w:val="00F31939"/>
    <w:rsid w:val="00F42FA0"/>
    <w:rsid w:val="00F43240"/>
    <w:rsid w:val="00F51184"/>
    <w:rsid w:val="00F55DDB"/>
    <w:rsid w:val="00F55F40"/>
    <w:rsid w:val="00F6426A"/>
    <w:rsid w:val="00F712BF"/>
    <w:rsid w:val="00F724E7"/>
    <w:rsid w:val="00F726DE"/>
    <w:rsid w:val="00F75BD7"/>
    <w:rsid w:val="00F82DA0"/>
    <w:rsid w:val="00F974BA"/>
    <w:rsid w:val="00FA0E0B"/>
    <w:rsid w:val="00FA1AA9"/>
    <w:rsid w:val="00FA2157"/>
    <w:rsid w:val="00FA21F0"/>
    <w:rsid w:val="00FA28CE"/>
    <w:rsid w:val="00FB0BD9"/>
    <w:rsid w:val="00FB6CB3"/>
    <w:rsid w:val="00FC0DC8"/>
    <w:rsid w:val="00FC19B5"/>
    <w:rsid w:val="00FC2F3D"/>
    <w:rsid w:val="00FC6F6C"/>
    <w:rsid w:val="00FC7333"/>
    <w:rsid w:val="00FD5B88"/>
    <w:rsid w:val="00FD7A27"/>
    <w:rsid w:val="00FD7A53"/>
    <w:rsid w:val="00FE185D"/>
    <w:rsid w:val="00FE68C6"/>
    <w:rsid w:val="00FF0FDB"/>
    <w:rsid w:val="00FF2131"/>
    <w:rsid w:val="00FF6ACC"/>
    <w:rsid w:val="00FF75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C209"/>
  <w15:chartTrackingRefBased/>
  <w15:docId w15:val="{4067C6D3-4621-41B6-B46D-CA376FF2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3EF8"/>
    <w:pPr>
      <w:autoSpaceDE w:val="0"/>
      <w:autoSpaceDN w:val="0"/>
      <w:adjustRightInd w:val="0"/>
      <w:spacing w:after="0" w:line="240" w:lineRule="auto"/>
    </w:pPr>
    <w:rPr>
      <w:rFonts w:ascii="GillSans" w:hAnsi="GillSans" w:cs="Gill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MUDAR HUSSIEN</dc:creator>
  <cp:keywords/>
  <dc:description/>
  <cp:lastModifiedBy>MUDAR HUSSIEN</cp:lastModifiedBy>
  <cp:revision>6</cp:revision>
  <dcterms:created xsi:type="dcterms:W3CDTF">2021-05-22T12:03:00Z</dcterms:created>
  <dcterms:modified xsi:type="dcterms:W3CDTF">2021-05-23T21:49:00Z</dcterms:modified>
</cp:coreProperties>
</file>