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left"/>
      </w:pPr>
      <w:r>
        <w:drawing>
          <wp:inline xmlns:a="http://schemas.openxmlformats.org/drawingml/2006/main" xmlns:pic="http://schemas.openxmlformats.org/drawingml/2006/picture">
            <wp:extent cx="1508760" cy="499029"/>
            <wp:docPr id="1" name="Picture 1"/>
            <wp:cNvGraphicFramePr>
              <a:graphicFrameLocks noChangeAspect="1"/>
            </wp:cNvGraphicFramePr>
            <a:graphic>
              <a:graphicData uri="http://schemas.openxmlformats.org/drawingml/2006/picture">
                <pic:pic>
                  <pic:nvPicPr>
                    <pic:cNvPr id="0" name="talent-pilot-full-logo.png"/>
                    <pic:cNvPicPr/>
                  </pic:nvPicPr>
                  <pic:blipFill>
                    <a:blip r:embed="rId10"/>
                    <a:stretch>
                      <a:fillRect/>
                    </a:stretch>
                  </pic:blipFill>
                  <pic:spPr>
                    <a:xfrm>
                      <a:off x="0" y="0"/>
                      <a:ext cx="1508760" cy="499029"/>
                    </a:xfrm>
                    <a:prstGeom prst="rect"/>
                  </pic:spPr>
                </pic:pic>
              </a:graphicData>
            </a:graphic>
          </wp:inline>
        </w:drawing>
      </w:r>
    </w:p>
    <w:p>
      <w:pPr>
        <w:pStyle w:val="Title"/>
        <w:pBdr>
          <w:bottom w:val="single" w:sz="8" w:space="6" w:color="1F5F99"/>
        </w:pBdr>
      </w:pPr>
      <w:r>
        <w:t>Talent Pilot Basic Application Overview</w:t>
      </w:r>
    </w:p>
    <w:p>
      <w:pPr>
        <w:pStyle w:val="Subtitle"/>
      </w:pPr>
      <w:r>
        <w:t xml:space="preserve">Management snapshot of core workflows, AI agents, and RAG flows. </w:t>
      </w:r>
      <w:r>
        <w:t>Verified from current documentation and backend code on June 5, 2026.</w:t>
      </w:r>
    </w:p>
    <w:p>
      <w:pPr>
        <w:pStyle w:val="Heading1"/>
        <w:keepNext/>
      </w:pPr>
      <w:r>
        <w:t>Summary</w:t>
      </w:r>
    </w:p>
    <w:p>
      <w:pPr>
        <w:pStyle w:val="ListBullet"/>
      </w:pPr>
      <w:r>
        <w:t>Talent Pilot is a multi-tenant hiring platform for job requests, sourcing, interviews, candidate review, and hiring decisions.</w:t>
      </w:r>
    </w:p>
    <w:p>
      <w:pPr>
        <w:pStyle w:val="ListBullet"/>
      </w:pPr>
      <w:r>
        <w:t>The strict database workflow count is 1 seeded workflow definition: Default Job Request Workflow.</w:t>
      </w:r>
    </w:p>
    <w:p>
      <w:pPr>
        <w:pStyle w:val="ListBullet"/>
      </w:pPr>
      <w:r>
        <w:t>That workflow has 8 stages and 14 configured actions/transitions.</w:t>
      </w:r>
    </w:p>
    <w:p>
      <w:pPr>
        <w:pStyle w:val="ListBullet"/>
      </w:pPr>
      <w:r>
        <w:t>At product level, there are 3 linked flow families: Job Request workflow, Candidate Application pipeline, and Interview Tasks.</w:t>
      </w:r>
    </w:p>
    <w:p>
      <w:pPr>
        <w:pStyle w:val="ListBullet"/>
      </w:pPr>
      <w:r>
        <w:t>The application currently presents 11 AI agent/capability definitions in the updated documentation.</w:t>
      </w:r>
    </w:p>
    <w:p>
      <w:pPr>
        <w:pStyle w:val="ListBullet"/>
      </w:pPr>
      <w:r>
        <w:t>The core implemented AI runtime includes drafting, parsing, matching, ranking, headhunting, RAG chat, and interview-question generation.</w:t>
      </w:r>
    </w:p>
    <w:p>
      <w:pPr>
        <w:pStyle w:val="ListBullet"/>
      </w:pPr>
      <w:r>
        <w:t>There is 1 conversational RAG assistant service with 3 role-scoped RAG flows.</w:t>
      </w:r>
    </w:p>
    <w:p>
      <w:pPr>
        <w:pStyle w:val="ListBullet"/>
      </w:pPr>
      <w:r>
        <w:t>The 3 RAG flows are PMO Request, Recruiter Candidate Fit, and Hiring Decision Brief.</w:t>
      </w:r>
    </w:p>
    <w:p>
      <w:pPr>
        <w:pStyle w:val="ListBullet"/>
      </w:pPr>
      <w:r>
        <w:t>Deterministic rules own permissions, routing, status movement, audit logs, and data boundaries.</w:t>
      </w:r>
    </w:p>
    <w:p>
      <w:pPr>
        <w:pStyle w:val="ListBullet"/>
      </w:pPr>
      <w:r>
        <w:t>AI helps with language-heavy and evidence-heavy work, but it does not hire, reject, contact candidates, or move workflow stages by itself.</w:t>
      </w:r>
    </w:p>
    <w:p>
      <w:pPr>
        <w:pStyle w:val="Heading1"/>
        <w:keepNext/>
      </w:pPr>
      <w:r>
        <w:t>Count Dashboard</w:t>
      </w:r>
    </w:p>
    <w:tbl>
      <w:tblPr>
        <w:tblW w:type="dxa" w:w="9000"/>
        <w:jc w:val="center"/>
        <w:tblLayout w:type="fixed"/>
        <w:tblLook w:firstColumn="1" w:firstRow="1" w:lastColumn="0" w:lastRow="0" w:noHBand="0" w:noVBand="1" w:val="04A0"/>
        <w:tblInd w:type="dxa" w:w="120"/>
      </w:tblPr>
      <w:tblGrid>
        <w:gridCol w:w="3000"/>
        <w:gridCol w:w="3000"/>
        <w:gridCol w:w="3000"/>
      </w:tblGrid>
      <w:tr>
        <w:tc>
          <w:tcPr>
            <w:tcW w:type="dxa" w:w="3000"/>
            <w:shd w:fill="EAF3FB"/>
            <w:tcBorders>
              <w:top w:val="single" w:sz="10" w:space="0" w:color="1F5F99"/>
              <w:left w:val="single" w:sz="10" w:space="0" w:color="1F5F99"/>
              <w:bottom w:val="single" w:sz="10" w:space="0" w:color="1F5F99"/>
              <w:right w:val="single" w:sz="10" w:space="0" w:color="1F5F99"/>
            </w:tcBorders>
            <w:tcMar>
              <w:top w:w="180" w:type="dxa"/>
              <w:start w:w="180" w:type="dxa"/>
              <w:bottom w:w="180" w:type="dxa"/>
              <w:end w:w="180" w:type="dxa"/>
            </w:tcMar>
            <w:vAlign w:val="center"/>
          </w:tcPr>
          <w:p>
            <w:pPr>
              <w:jc w:val="center"/>
            </w:pPr>
            <w:r>
              <w:rPr>
                <w:b/>
                <w:color w:val="1F5F99"/>
                <w:sz w:val="60"/>
              </w:rPr>
              <w:t>1</w:t>
            </w:r>
          </w:p>
          <w:p>
            <w:pPr>
              <w:jc w:val="center"/>
            </w:pPr>
            <w:r>
              <w:rPr>
                <w:b/>
                <w:color w:val="0B2545"/>
                <w:sz w:val="21"/>
              </w:rPr>
              <w:t>Seeded workflow definition</w:t>
            </w:r>
          </w:p>
          <w:p>
            <w:pPr>
              <w:jc w:val="center"/>
            </w:pPr>
            <w:r>
              <w:rPr>
                <w:color w:val="667085"/>
                <w:sz w:val="18"/>
              </w:rPr>
              <w:t>Default Job Request Workflow</w:t>
            </w:r>
          </w:p>
        </w:tc>
        <w:tc>
          <w:tcPr>
            <w:tcW w:type="dxa" w:w="3000"/>
            <w:shd w:fill="EAF7F2"/>
            <w:tcBorders>
              <w:top w:val="single" w:sz="10" w:space="0" w:color="1F7A5A"/>
              <w:left w:val="single" w:sz="10" w:space="0" w:color="1F7A5A"/>
              <w:bottom w:val="single" w:sz="10" w:space="0" w:color="1F7A5A"/>
              <w:right w:val="single" w:sz="10" w:space="0" w:color="1F7A5A"/>
            </w:tcBorders>
            <w:tcMar>
              <w:top w:w="180" w:type="dxa"/>
              <w:start w:w="180" w:type="dxa"/>
              <w:bottom w:w="180" w:type="dxa"/>
              <w:end w:w="180" w:type="dxa"/>
            </w:tcMar>
            <w:vAlign w:val="center"/>
          </w:tcPr>
          <w:p>
            <w:pPr>
              <w:jc w:val="center"/>
            </w:pPr>
            <w:r>
              <w:rPr>
                <w:b/>
                <w:color w:val="1F7A5A"/>
                <w:sz w:val="60"/>
              </w:rPr>
              <w:t>11</w:t>
            </w:r>
          </w:p>
          <w:p>
            <w:pPr>
              <w:jc w:val="center"/>
            </w:pPr>
            <w:r>
              <w:rPr>
                <w:b/>
                <w:color w:val="0B2545"/>
                <w:sz w:val="21"/>
              </w:rPr>
              <w:t>AI agent/capability definitions</w:t>
            </w:r>
          </w:p>
          <w:p>
            <w:pPr>
              <w:jc w:val="center"/>
            </w:pPr>
            <w:r>
              <w:rPr>
                <w:color w:val="667085"/>
                <w:sz w:val="18"/>
              </w:rPr>
              <w:t>Used for drafting, matching, ranking, RAG, and interview support</w:t>
            </w:r>
          </w:p>
        </w:tc>
        <w:tc>
          <w:tcPr>
            <w:tcW w:type="dxa" w:w="3000"/>
            <w:shd w:fill="F1EEFA"/>
            <w:tcBorders>
              <w:top w:val="single" w:sz="10" w:space="0" w:color="5E4B9A"/>
              <w:left w:val="single" w:sz="10" w:space="0" w:color="5E4B9A"/>
              <w:bottom w:val="single" w:sz="10" w:space="0" w:color="5E4B9A"/>
              <w:right w:val="single" w:sz="10" w:space="0" w:color="5E4B9A"/>
            </w:tcBorders>
            <w:tcMar>
              <w:top w:w="180" w:type="dxa"/>
              <w:start w:w="180" w:type="dxa"/>
              <w:bottom w:w="180" w:type="dxa"/>
              <w:end w:w="180" w:type="dxa"/>
            </w:tcMar>
            <w:vAlign w:val="center"/>
          </w:tcPr>
          <w:p>
            <w:pPr>
              <w:jc w:val="center"/>
            </w:pPr>
            <w:r>
              <w:rPr>
                <w:b/>
                <w:color w:val="5E4B9A"/>
                <w:sz w:val="60"/>
              </w:rPr>
              <w:t>3</w:t>
            </w:r>
          </w:p>
          <w:p>
            <w:pPr>
              <w:jc w:val="center"/>
            </w:pPr>
            <w:r>
              <w:rPr>
                <w:b/>
                <w:color w:val="0B2545"/>
                <w:sz w:val="21"/>
              </w:rPr>
              <w:t>RAG context flows</w:t>
            </w:r>
          </w:p>
          <w:p>
            <w:pPr>
              <w:jc w:val="center"/>
            </w:pPr>
            <w:r>
              <w:rPr>
                <w:color w:val="667085"/>
                <w:sz w:val="18"/>
              </w:rPr>
              <w:t>PMO, Recruiter Candidate Fit, Hiring Decision Brief</w:t>
            </w:r>
          </w:p>
        </w:tc>
      </w:tr>
    </w:tbl>
    <w:p>
      <w:pPr>
        <w:spacing w:before="120"/>
      </w:pPr>
      <w:r>
        <w:rPr>
          <w:b/>
        </w:rPr>
        <w:t xml:space="preserve">Count note: </w:t>
      </w:r>
      <w:r>
        <w:t>The database workflow count is intentionally separated from product flow families. The SQL seed creates one workflow definition, while candidate applications and interview tasks are linked operational flows.</w:t>
      </w:r>
    </w:p>
    <w:p>
      <w:pPr>
        <w:pStyle w:val="Heading1"/>
      </w:pPr>
      <w:r>
        <w:t>Workflows</w:t>
      </w:r>
    </w:p>
    <w:p>
      <w:r>
        <w:t>Talent Pilot has one seeded database workflow definition for the MVP: Default Job Request Workflow. It controls the main job request baton from intake to closure. Other product flows, such as candidate applications and interview tasks, are linked to the job request but are not separate seeded workflow definitions in the current SQL seed.</w:t>
      </w:r>
    </w:p>
    <w:tbl>
      <w:tblPr>
        <w:tblW w:type="dxa" w:w="9360"/>
        <w:jc w:val="center"/>
        <w:tblLayout w:type="fixed"/>
        <w:tblLook w:firstColumn="1" w:firstRow="1" w:lastColumn="0" w:lastRow="0" w:noHBand="0" w:noVBand="1" w:val="04A0"/>
        <w:tblInd w:type="dxa" w:w="120"/>
      </w:tblPr>
      <w:tblGrid>
        <w:gridCol w:w="2500"/>
        <w:gridCol w:w="1700"/>
        <w:gridCol w:w="5160"/>
      </w:tblGrid>
      <w:tr>
        <w:tc>
          <w:tcPr>
            <w:tcW w:type="dxa" w:w="2500"/>
            <w:shd w:fill="0B2545"/>
            <w:tcBorders>
              <w:top w:val="single" w:sz="8" w:space="0" w:color="0B2545"/>
              <w:left w:val="single" w:sz="8" w:space="0" w:color="0B2545"/>
              <w:bottom w:val="single" w:sz="8" w:space="0" w:color="0B2545"/>
              <w:right w:val="single" w:sz="8" w:space="0" w:color="0B2545"/>
            </w:tcBorders>
            <w:tcMar>
              <w:top w:w="100" w:type="dxa"/>
              <w:start w:w="140" w:type="dxa"/>
              <w:bottom w:w="100" w:type="dxa"/>
              <w:end w:w="140" w:type="dxa"/>
            </w:tcMar>
          </w:tcPr>
          <w:p>
            <w:pPr>
              <w:jc w:val="left"/>
            </w:pPr>
            <w:r>
              <w:rPr>
                <w:b/>
                <w:color w:val="FFFFFF"/>
                <w:sz w:val="19"/>
              </w:rPr>
              <w:t>View</w:t>
            </w:r>
          </w:p>
        </w:tc>
        <w:tc>
          <w:tcPr>
            <w:tcW w:type="dxa" w:w="1700"/>
            <w:shd w:fill="0B2545"/>
            <w:tcBorders>
              <w:top w:val="single" w:sz="8" w:space="0" w:color="0B2545"/>
              <w:left w:val="single" w:sz="8" w:space="0" w:color="0B2545"/>
              <w:bottom w:val="single" w:sz="8" w:space="0" w:color="0B2545"/>
              <w:right w:val="single" w:sz="8" w:space="0" w:color="0B2545"/>
            </w:tcBorders>
            <w:tcMar>
              <w:top w:w="100" w:type="dxa"/>
              <w:start w:w="140" w:type="dxa"/>
              <w:bottom w:w="100" w:type="dxa"/>
              <w:end w:w="140" w:type="dxa"/>
            </w:tcMar>
          </w:tcPr>
          <w:p>
            <w:pPr>
              <w:jc w:val="left"/>
            </w:pPr>
            <w:r>
              <w:rPr>
                <w:b/>
                <w:color w:val="FFFFFF"/>
                <w:sz w:val="19"/>
              </w:rPr>
              <w:t>Current count</w:t>
            </w:r>
          </w:p>
        </w:tc>
        <w:tc>
          <w:tcPr>
            <w:tcW w:type="dxa" w:w="5160"/>
            <w:shd w:fill="0B2545"/>
            <w:tcBorders>
              <w:top w:val="single" w:sz="8" w:space="0" w:color="0B2545"/>
              <w:left w:val="single" w:sz="8" w:space="0" w:color="0B2545"/>
              <w:bottom w:val="single" w:sz="8" w:space="0" w:color="0B2545"/>
              <w:right w:val="single" w:sz="8" w:space="0" w:color="0B2545"/>
            </w:tcBorders>
            <w:tcMar>
              <w:top w:w="100" w:type="dxa"/>
              <w:start w:w="140" w:type="dxa"/>
              <w:bottom w:w="100" w:type="dxa"/>
              <w:end w:w="140" w:type="dxa"/>
            </w:tcMar>
          </w:tcPr>
          <w:p>
            <w:pPr>
              <w:jc w:val="left"/>
            </w:pPr>
            <w:r>
              <w:rPr>
                <w:b/>
                <w:color w:val="FFFFFF"/>
                <w:sz w:val="19"/>
              </w:rPr>
              <w:t>What it means</w:t>
            </w:r>
          </w:p>
        </w:tc>
      </w:tr>
      <w:tr>
        <w:tc>
          <w:tcPr>
            <w:tcW w:type="dxa" w:w="25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Database workflow definitions</w:t>
            </w:r>
          </w:p>
        </w:tc>
        <w:tc>
          <w:tcPr>
            <w:tcW w:type="dxa" w:w="17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1</w:t>
            </w:r>
          </w:p>
        </w:tc>
        <w:tc>
          <w:tcPr>
            <w:tcW w:type="dxa" w:w="516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DEFAULT_JOB_REQUEST for the JobRequest entity.</w:t>
            </w:r>
          </w:p>
        </w:tc>
      </w:tr>
      <w:tr>
        <w:tc>
          <w:tcPr>
            <w:tcW w:type="dxa" w:w="25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Workflow stages</w:t>
            </w:r>
          </w:p>
        </w:tc>
        <w:tc>
          <w:tcPr>
            <w:tcW w:type="dxa" w:w="17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8</w:t>
            </w:r>
          </w:p>
        </w:tc>
        <w:tc>
          <w:tcPr>
            <w:tcW w:type="dxa" w:w="516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PMO Review, Presales Client Pitch, Recruiter Sourcing, Interviewing, Hiring Manager Review, Offer and Onboarding, Closed, Cancelled.</w:t>
            </w:r>
          </w:p>
        </w:tc>
      </w:tr>
      <w:tr>
        <w:tc>
          <w:tcPr>
            <w:tcW w:type="dxa" w:w="25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Workflow actions/transitions</w:t>
            </w:r>
          </w:p>
        </w:tc>
        <w:tc>
          <w:tcPr>
            <w:tcW w:type="dxa" w:w="17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14</w:t>
            </w:r>
          </w:p>
        </w:tc>
        <w:tc>
          <w:tcPr>
            <w:tcW w:type="dxa" w:w="516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Configured actions such as create, refer, forward, publish, shortlist, complete interviews, offer accepted, close, and cancel.</w:t>
            </w:r>
          </w:p>
        </w:tc>
      </w:tr>
      <w:tr>
        <w:tc>
          <w:tcPr>
            <w:tcW w:type="dxa" w:w="25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Product flow families</w:t>
            </w:r>
          </w:p>
        </w:tc>
        <w:tc>
          <w:tcPr>
            <w:tcW w:type="dxa" w:w="17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3</w:t>
            </w:r>
          </w:p>
        </w:tc>
        <w:tc>
          <w:tcPr>
            <w:tcW w:type="dxa" w:w="516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Job Request workflow, Candidate Application pipeline, and Interview Tasks.</w:t>
            </w:r>
          </w:p>
        </w:tc>
      </w:tr>
    </w:tbl>
    <w:p>
      <w:pPr>
        <w:pStyle w:val="Heading2"/>
      </w:pPr>
      <w:r>
        <w:t>Main Job Request Stages</w:t>
      </w:r>
    </w:p>
    <w:tbl>
      <w:tblPr>
        <w:tblW w:type="dxa" w:w="9360"/>
        <w:jc w:val="center"/>
        <w:tblLayout w:type="fixed"/>
        <w:tblLook w:firstColumn="1" w:firstRow="1" w:lastColumn="0" w:lastRow="0" w:noHBand="0" w:noVBand="1" w:val="04A0"/>
        <w:tblInd w:type="dxa" w:w="120"/>
      </w:tblPr>
      <w:tblGrid>
        <w:gridCol w:w="600"/>
        <w:gridCol w:w="2500"/>
        <w:gridCol w:w="6260"/>
      </w:tblGrid>
      <w:tr>
        <w:tc>
          <w:tcPr>
            <w:tcW w:type="dxa" w:w="600"/>
            <w:shd w:fill="0B2545"/>
            <w:tcBorders>
              <w:top w:val="single" w:sz="8" w:space="0" w:color="0B2545"/>
              <w:left w:val="single" w:sz="8" w:space="0" w:color="0B2545"/>
              <w:bottom w:val="single" w:sz="8" w:space="0" w:color="0B2545"/>
              <w:right w:val="single" w:sz="8" w:space="0" w:color="0B2545"/>
            </w:tcBorders>
            <w:tcMar>
              <w:top w:w="100" w:type="dxa"/>
              <w:start w:w="140" w:type="dxa"/>
              <w:bottom w:w="100" w:type="dxa"/>
              <w:end w:w="140" w:type="dxa"/>
            </w:tcMar>
          </w:tcPr>
          <w:p>
            <w:pPr>
              <w:jc w:val="left"/>
            </w:pPr>
            <w:r>
              <w:rPr>
                <w:b/>
                <w:color w:val="FFFFFF"/>
                <w:sz w:val="19"/>
              </w:rPr>
              <w:t>#</w:t>
            </w:r>
          </w:p>
        </w:tc>
        <w:tc>
          <w:tcPr>
            <w:tcW w:type="dxa" w:w="2500"/>
            <w:shd w:fill="0B2545"/>
            <w:tcBorders>
              <w:top w:val="single" w:sz="8" w:space="0" w:color="0B2545"/>
              <w:left w:val="single" w:sz="8" w:space="0" w:color="0B2545"/>
              <w:bottom w:val="single" w:sz="8" w:space="0" w:color="0B2545"/>
              <w:right w:val="single" w:sz="8" w:space="0" w:color="0B2545"/>
            </w:tcBorders>
            <w:tcMar>
              <w:top w:w="100" w:type="dxa"/>
              <w:start w:w="140" w:type="dxa"/>
              <w:bottom w:w="100" w:type="dxa"/>
              <w:end w:w="140" w:type="dxa"/>
            </w:tcMar>
          </w:tcPr>
          <w:p>
            <w:pPr>
              <w:jc w:val="left"/>
            </w:pPr>
            <w:r>
              <w:rPr>
                <w:b/>
                <w:color w:val="FFFFFF"/>
                <w:sz w:val="19"/>
              </w:rPr>
              <w:t>Stage</w:t>
            </w:r>
          </w:p>
        </w:tc>
        <w:tc>
          <w:tcPr>
            <w:tcW w:type="dxa" w:w="6260"/>
            <w:shd w:fill="0B2545"/>
            <w:tcBorders>
              <w:top w:val="single" w:sz="8" w:space="0" w:color="0B2545"/>
              <w:left w:val="single" w:sz="8" w:space="0" w:color="0B2545"/>
              <w:bottom w:val="single" w:sz="8" w:space="0" w:color="0B2545"/>
              <w:right w:val="single" w:sz="8" w:space="0" w:color="0B2545"/>
            </w:tcBorders>
            <w:tcMar>
              <w:top w:w="100" w:type="dxa"/>
              <w:start w:w="140" w:type="dxa"/>
              <w:bottom w:w="100" w:type="dxa"/>
              <w:end w:w="140" w:type="dxa"/>
            </w:tcMar>
          </w:tcPr>
          <w:p>
            <w:pPr>
              <w:jc w:val="left"/>
            </w:pPr>
            <w:r>
              <w:rPr>
                <w:b/>
                <w:color w:val="FFFFFF"/>
                <w:sz w:val="19"/>
              </w:rPr>
              <w:t>Purpose</w:t>
            </w:r>
          </w:p>
        </w:tc>
      </w:tr>
      <w:tr>
        <w:tc>
          <w:tcPr>
            <w:tcW w:type="dxa" w:w="6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1</w:t>
            </w:r>
          </w:p>
        </w:tc>
        <w:tc>
          <w:tcPr>
            <w:tcW w:type="dxa" w:w="25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PMO Review</w:t>
            </w:r>
          </w:p>
        </w:tc>
        <w:tc>
          <w:tcPr>
            <w:tcW w:type="dxa" w:w="626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PMO reviews demand, checks bench options, and decides whether to refer internally or forward to recruiters.</w:t>
            </w:r>
          </w:p>
        </w:tc>
      </w:tr>
      <w:tr>
        <w:tc>
          <w:tcPr>
            <w:tcW w:type="dxa" w:w="6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2</w:t>
            </w:r>
          </w:p>
        </w:tc>
        <w:tc>
          <w:tcPr>
            <w:tcW w:type="dxa" w:w="25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Presales Client Pitch</w:t>
            </w:r>
          </w:p>
        </w:tc>
        <w:tc>
          <w:tcPr>
            <w:tcW w:type="dxa" w:w="626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Presales reviews internal resource referrals and records client acceptance or rejection.</w:t>
            </w:r>
          </w:p>
        </w:tc>
      </w:tr>
      <w:tr>
        <w:tc>
          <w:tcPr>
            <w:tcW w:type="dxa" w:w="6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3</w:t>
            </w:r>
          </w:p>
        </w:tc>
        <w:tc>
          <w:tcPr>
            <w:tcW w:type="dxa" w:w="25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Recruiter Sourcing</w:t>
            </w:r>
          </w:p>
        </w:tc>
        <w:tc>
          <w:tcPr>
            <w:tcW w:type="dxa" w:w="626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Recruiters publish jobs, rediscover warm candidates, rank applicants, and run headhunting.</w:t>
            </w:r>
          </w:p>
        </w:tc>
      </w:tr>
      <w:tr>
        <w:tc>
          <w:tcPr>
            <w:tcW w:type="dxa" w:w="6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4</w:t>
            </w:r>
          </w:p>
        </w:tc>
        <w:tc>
          <w:tcPr>
            <w:tcW w:type="dxa" w:w="25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Interviewing</w:t>
            </w:r>
          </w:p>
        </w:tc>
        <w:tc>
          <w:tcPr>
            <w:tcW w:type="dxa" w:w="626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Recruiters coordinate interview rounds and collect feedback.</w:t>
            </w:r>
          </w:p>
        </w:tc>
      </w:tr>
      <w:tr>
        <w:tc>
          <w:tcPr>
            <w:tcW w:type="dxa" w:w="6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5</w:t>
            </w:r>
          </w:p>
        </w:tc>
        <w:tc>
          <w:tcPr>
            <w:tcW w:type="dxa" w:w="25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Hiring Manager Review</w:t>
            </w:r>
          </w:p>
        </w:tc>
        <w:tc>
          <w:tcPr>
            <w:tcW w:type="dxa" w:w="626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Hiring Manager reviews candidate evidence and records the final hiring outcome.</w:t>
            </w:r>
          </w:p>
        </w:tc>
      </w:tr>
      <w:tr>
        <w:tc>
          <w:tcPr>
            <w:tcW w:type="dxa" w:w="6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6</w:t>
            </w:r>
          </w:p>
        </w:tc>
        <w:tc>
          <w:tcPr>
            <w:tcW w:type="dxa" w:w="25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Offer and Onboarding</w:t>
            </w:r>
          </w:p>
        </w:tc>
        <w:tc>
          <w:tcPr>
            <w:tcW w:type="dxa" w:w="626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Accepted candidates move toward offer/onboarding tracking.</w:t>
            </w:r>
          </w:p>
        </w:tc>
      </w:tr>
      <w:tr>
        <w:tc>
          <w:tcPr>
            <w:tcW w:type="dxa" w:w="6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7</w:t>
            </w:r>
          </w:p>
        </w:tc>
        <w:tc>
          <w:tcPr>
            <w:tcW w:type="dxa" w:w="25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Closed</w:t>
            </w:r>
          </w:p>
        </w:tc>
        <w:tc>
          <w:tcPr>
            <w:tcW w:type="dxa" w:w="626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Terminal successful or completed state.</w:t>
            </w:r>
          </w:p>
        </w:tc>
      </w:tr>
      <w:tr>
        <w:tc>
          <w:tcPr>
            <w:tcW w:type="dxa" w:w="6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8</w:t>
            </w:r>
          </w:p>
        </w:tc>
        <w:tc>
          <w:tcPr>
            <w:tcW w:type="dxa" w:w="25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Cancelled</w:t>
            </w:r>
          </w:p>
        </w:tc>
        <w:tc>
          <w:tcPr>
            <w:tcW w:type="dxa" w:w="626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Terminal cancelled state.</w:t>
            </w:r>
          </w:p>
        </w:tc>
      </w:tr>
    </w:tbl>
    <w:p>
      <w:pPr>
        <w:pStyle w:val="Heading1"/>
      </w:pPr>
      <w:r>
        <w:t>AI Agents And AI Capabilities</w:t>
      </w:r>
    </w:p>
    <w:p>
      <w:r>
        <w:t>For management reporting, Talent Pilot should be described as having 11 AI agent/capability definitions. Some are full backend runtime agents, some are indexing or explanation capabilities, and all are designed as advisory support for authorized users.</w:t>
      </w:r>
    </w:p>
    <w:tbl>
      <w:tblPr>
        <w:tblW w:type="dxa" w:w="9360"/>
        <w:jc w:val="center"/>
        <w:tblLayout w:type="fixed"/>
        <w:tblLook w:firstColumn="1" w:firstRow="1" w:lastColumn="0" w:lastRow="0" w:noHBand="0" w:noVBand="1" w:val="04A0"/>
        <w:tblInd w:type="dxa" w:w="120"/>
      </w:tblPr>
      <w:tblGrid>
        <w:gridCol w:w="500"/>
        <w:gridCol w:w="2600"/>
        <w:gridCol w:w="6260"/>
      </w:tblGrid>
      <w:tr>
        <w:tc>
          <w:tcPr>
            <w:tcW w:type="dxa" w:w="500"/>
            <w:shd w:fill="0B2545"/>
            <w:tcBorders>
              <w:top w:val="single" w:sz="8" w:space="0" w:color="0B2545"/>
              <w:left w:val="single" w:sz="8" w:space="0" w:color="0B2545"/>
              <w:bottom w:val="single" w:sz="8" w:space="0" w:color="0B2545"/>
              <w:right w:val="single" w:sz="8" w:space="0" w:color="0B2545"/>
            </w:tcBorders>
            <w:tcMar>
              <w:top w:w="100" w:type="dxa"/>
              <w:start w:w="140" w:type="dxa"/>
              <w:bottom w:w="100" w:type="dxa"/>
              <w:end w:w="140" w:type="dxa"/>
            </w:tcMar>
          </w:tcPr>
          <w:p>
            <w:pPr>
              <w:jc w:val="left"/>
            </w:pPr>
            <w:r>
              <w:rPr>
                <w:b/>
                <w:color w:val="FFFFFF"/>
                <w:sz w:val="19"/>
              </w:rPr>
              <w:t>#</w:t>
            </w:r>
          </w:p>
        </w:tc>
        <w:tc>
          <w:tcPr>
            <w:tcW w:type="dxa" w:w="2600"/>
            <w:shd w:fill="0B2545"/>
            <w:tcBorders>
              <w:top w:val="single" w:sz="8" w:space="0" w:color="0B2545"/>
              <w:left w:val="single" w:sz="8" w:space="0" w:color="0B2545"/>
              <w:bottom w:val="single" w:sz="8" w:space="0" w:color="0B2545"/>
              <w:right w:val="single" w:sz="8" w:space="0" w:color="0B2545"/>
            </w:tcBorders>
            <w:tcMar>
              <w:top w:w="100" w:type="dxa"/>
              <w:start w:w="140" w:type="dxa"/>
              <w:bottom w:w="100" w:type="dxa"/>
              <w:end w:w="140" w:type="dxa"/>
            </w:tcMar>
          </w:tcPr>
          <w:p>
            <w:pPr>
              <w:jc w:val="left"/>
            </w:pPr>
            <w:r>
              <w:rPr>
                <w:b/>
                <w:color w:val="FFFFFF"/>
                <w:sz w:val="19"/>
              </w:rPr>
              <w:t>AI agent / capability</w:t>
            </w:r>
          </w:p>
        </w:tc>
        <w:tc>
          <w:tcPr>
            <w:tcW w:type="dxa" w:w="6260"/>
            <w:shd w:fill="0B2545"/>
            <w:tcBorders>
              <w:top w:val="single" w:sz="8" w:space="0" w:color="0B2545"/>
              <w:left w:val="single" w:sz="8" w:space="0" w:color="0B2545"/>
              <w:bottom w:val="single" w:sz="8" w:space="0" w:color="0B2545"/>
              <w:right w:val="single" w:sz="8" w:space="0" w:color="0B2545"/>
            </w:tcBorders>
            <w:tcMar>
              <w:top w:w="100" w:type="dxa"/>
              <w:start w:w="140" w:type="dxa"/>
              <w:bottom w:w="100" w:type="dxa"/>
              <w:end w:w="140" w:type="dxa"/>
            </w:tcMar>
          </w:tcPr>
          <w:p>
            <w:pPr>
              <w:jc w:val="left"/>
            </w:pPr>
            <w:r>
              <w:rPr>
                <w:b/>
                <w:color w:val="FFFFFF"/>
                <w:sz w:val="19"/>
              </w:rPr>
              <w:t>What it helps with</w:t>
            </w:r>
          </w:p>
        </w:tc>
      </w:tr>
      <w:tr>
        <w:tc>
          <w:tcPr>
            <w:tcW w:type="dxa" w:w="5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1</w:t>
            </w:r>
          </w:p>
        </w:tc>
        <w:tc>
          <w:tcPr>
            <w:tcW w:type="dxa" w:w="26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Job Description Drafting</w:t>
            </w:r>
          </w:p>
        </w:tc>
        <w:tc>
          <w:tcPr>
            <w:tcW w:type="dxa" w:w="626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Creates editable job description text from controlled job request fields.</w:t>
            </w:r>
          </w:p>
        </w:tc>
      </w:tr>
      <w:tr>
        <w:tc>
          <w:tcPr>
            <w:tcW w:type="dxa" w:w="5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2</w:t>
            </w:r>
          </w:p>
        </w:tc>
        <w:tc>
          <w:tcPr>
            <w:tcW w:type="dxa" w:w="26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CV Parser</w:t>
            </w:r>
          </w:p>
        </w:tc>
        <w:tc>
          <w:tcPr>
            <w:tcW w:type="dxa" w:w="626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Reads uploaded DOCX CV text and asks the LLM to return structured candidate fields and summary.</w:t>
            </w:r>
          </w:p>
        </w:tc>
      </w:tr>
      <w:tr>
        <w:tc>
          <w:tcPr>
            <w:tcW w:type="dxa" w:w="5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3</w:t>
            </w:r>
          </w:p>
        </w:tc>
        <w:tc>
          <w:tcPr>
            <w:tcW w:type="dxa" w:w="26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Bench Matching</w:t>
            </w:r>
          </w:p>
        </w:tc>
        <w:tc>
          <w:tcPr>
            <w:tcW w:type="dxa" w:w="626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Ranks eligible internal bench employees for PMO review.</w:t>
            </w:r>
          </w:p>
        </w:tc>
      </w:tr>
      <w:tr>
        <w:tc>
          <w:tcPr>
            <w:tcW w:type="dxa" w:w="5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4</w:t>
            </w:r>
          </w:p>
        </w:tc>
        <w:tc>
          <w:tcPr>
            <w:tcW w:type="dxa" w:w="26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Talent Rediscovery</w:t>
            </w:r>
          </w:p>
        </w:tc>
        <w:tc>
          <w:tcPr>
            <w:tcW w:type="dxa" w:w="626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Finds warm candidates from historical tenant data.</w:t>
            </w:r>
          </w:p>
        </w:tc>
      </w:tr>
      <w:tr>
        <w:tc>
          <w:tcPr>
            <w:tcW w:type="dxa" w:w="5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5</w:t>
            </w:r>
          </w:p>
        </w:tc>
        <w:tc>
          <w:tcPr>
            <w:tcW w:type="dxa" w:w="26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Online Headhunting</w:t>
            </w:r>
          </w:p>
        </w:tc>
        <w:tc>
          <w:tcPr>
            <w:tcW w:type="dxa" w:w="626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Finds lead-only online prospects through approved search/GitHub sources for recruiter review.</w:t>
            </w:r>
          </w:p>
        </w:tc>
      </w:tr>
      <w:tr>
        <w:tc>
          <w:tcPr>
            <w:tcW w:type="dxa" w:w="5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6</w:t>
            </w:r>
          </w:p>
        </w:tc>
        <w:tc>
          <w:tcPr>
            <w:tcW w:type="dxa" w:w="26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Applicant Ranking</w:t>
            </w:r>
          </w:p>
        </w:tc>
        <w:tc>
          <w:tcPr>
            <w:tcW w:type="dxa" w:w="626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Ranks active applicants for a published job post.</w:t>
            </w:r>
          </w:p>
        </w:tc>
      </w:tr>
      <w:tr>
        <w:tc>
          <w:tcPr>
            <w:tcW w:type="dxa" w:w="5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7</w:t>
            </w:r>
          </w:p>
        </w:tc>
        <w:tc>
          <w:tcPr>
            <w:tcW w:type="dxa" w:w="26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Requirement Parser</w:t>
            </w:r>
          </w:p>
        </w:tc>
        <w:tc>
          <w:tcPr>
            <w:tcW w:type="dxa" w:w="626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Indexes job requirement evidence and creates embeddings for downstream matching.</w:t>
            </w:r>
          </w:p>
        </w:tc>
      </w:tr>
      <w:tr>
        <w:tc>
          <w:tcPr>
            <w:tcW w:type="dxa" w:w="5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8</w:t>
            </w:r>
          </w:p>
        </w:tc>
        <w:tc>
          <w:tcPr>
            <w:tcW w:type="dxa" w:w="26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Fit Explanation</w:t>
            </w:r>
          </w:p>
        </w:tc>
        <w:tc>
          <w:tcPr>
            <w:tcW w:type="dxa" w:w="626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Explains ranking evidence, strengths, gaps, and caveats.</w:t>
            </w:r>
          </w:p>
        </w:tc>
      </w:tr>
      <w:tr>
        <w:tc>
          <w:tcPr>
            <w:tcW w:type="dxa" w:w="5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9</w:t>
            </w:r>
          </w:p>
        </w:tc>
        <w:tc>
          <w:tcPr>
            <w:tcW w:type="dxa" w:w="26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Decision Brief / Explainability</w:t>
            </w:r>
          </w:p>
        </w:tc>
        <w:tc>
          <w:tcPr>
            <w:tcW w:type="dxa" w:w="626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Summarizes evidence for hiring manager review.</w:t>
            </w:r>
          </w:p>
        </w:tc>
      </w:tr>
      <w:tr>
        <w:tc>
          <w:tcPr>
            <w:tcW w:type="dxa" w:w="5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10</w:t>
            </w:r>
          </w:p>
        </w:tc>
        <w:tc>
          <w:tcPr>
            <w:tcW w:type="dxa" w:w="26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Conversational RAG Assistant</w:t>
            </w:r>
          </w:p>
        </w:tc>
        <w:tc>
          <w:tcPr>
            <w:tcW w:type="dxa" w:w="626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Answers role-scoped questions using retrieved tenant evidence and citations.</w:t>
            </w:r>
          </w:p>
        </w:tc>
      </w:tr>
      <w:tr>
        <w:tc>
          <w:tcPr>
            <w:tcW w:type="dxa" w:w="5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11</w:t>
            </w:r>
          </w:p>
        </w:tc>
        <w:tc>
          <w:tcPr>
            <w:tcW w:type="dxa" w:w="26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Interview Question Recommender</w:t>
            </w:r>
          </w:p>
        </w:tc>
        <w:tc>
          <w:tcPr>
            <w:tcW w:type="dxa" w:w="626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Retrieves question-bank items and generates interview question sets.</w:t>
            </w:r>
          </w:p>
        </w:tc>
      </w:tr>
    </w:tbl>
    <w:p>
      <w:pPr>
        <w:pStyle w:val="Heading2"/>
      </w:pPr>
      <w:r>
        <w:t>What AI Is Allowed To Do</w:t>
      </w:r>
    </w:p>
    <w:tbl>
      <w:tblPr>
        <w:tblW w:type="dxa" w:w="9360"/>
        <w:jc w:val="center"/>
        <w:tblLayout w:type="fixed"/>
        <w:tblLook w:firstColumn="1" w:firstRow="1" w:lastColumn="0" w:lastRow="0" w:noHBand="0" w:noVBand="1" w:val="04A0"/>
        <w:tblInd w:type="dxa" w:w="120"/>
      </w:tblPr>
      <w:tblGrid>
        <w:gridCol w:w="4680"/>
        <w:gridCol w:w="4680"/>
      </w:tblGrid>
      <w:tr>
        <w:tc>
          <w:tcPr>
            <w:tcW w:type="dxa" w:w="4680"/>
            <w:shd w:fill="0B2545"/>
            <w:tcBorders>
              <w:top w:val="single" w:sz="8" w:space="0" w:color="0B2545"/>
              <w:left w:val="single" w:sz="8" w:space="0" w:color="0B2545"/>
              <w:bottom w:val="single" w:sz="8" w:space="0" w:color="0B2545"/>
              <w:right w:val="single" w:sz="8" w:space="0" w:color="0B2545"/>
            </w:tcBorders>
            <w:tcMar>
              <w:top w:w="100" w:type="dxa"/>
              <w:start w:w="140" w:type="dxa"/>
              <w:bottom w:w="100" w:type="dxa"/>
              <w:end w:w="140" w:type="dxa"/>
            </w:tcMar>
          </w:tcPr>
          <w:p>
            <w:pPr>
              <w:jc w:val="left"/>
            </w:pPr>
            <w:r>
              <w:rPr>
                <w:b/>
                <w:color w:val="FFFFFF"/>
                <w:sz w:val="19"/>
              </w:rPr>
              <w:t>Allowed AI support</w:t>
            </w:r>
          </w:p>
        </w:tc>
        <w:tc>
          <w:tcPr>
            <w:tcW w:type="dxa" w:w="4680"/>
            <w:shd w:fill="0B2545"/>
            <w:tcBorders>
              <w:top w:val="single" w:sz="8" w:space="0" w:color="0B2545"/>
              <w:left w:val="single" w:sz="8" w:space="0" w:color="0B2545"/>
              <w:bottom w:val="single" w:sz="8" w:space="0" w:color="0B2545"/>
              <w:right w:val="single" w:sz="8" w:space="0" w:color="0B2545"/>
            </w:tcBorders>
            <w:tcMar>
              <w:top w:w="100" w:type="dxa"/>
              <w:start w:w="140" w:type="dxa"/>
              <w:bottom w:w="100" w:type="dxa"/>
              <w:end w:w="140" w:type="dxa"/>
            </w:tcMar>
          </w:tcPr>
          <w:p>
            <w:pPr>
              <w:jc w:val="left"/>
            </w:pPr>
            <w:r>
              <w:rPr>
                <w:b/>
                <w:color w:val="FFFFFF"/>
                <w:sz w:val="19"/>
              </w:rPr>
              <w:t>Not allowed</w:t>
            </w:r>
          </w:p>
        </w:tc>
      </w:tr>
      <w:tr>
        <w:tc>
          <w:tcPr>
            <w:tcW w:type="dxa" w:w="468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Draft, summarize, explain, rank, retrieve evidence, generate interview questions, and enrich lead summaries.</w:t>
              <w:br/>
              <w:t>Use configured LLM and embedding models through backend services.</w:t>
              <w:br/>
              <w:t>Use stored data, vector search, approved web search, GitHub public search, and question-bank retrieval where the feature allows it.</w:t>
            </w:r>
          </w:p>
        </w:tc>
        <w:tc>
          <w:tcPr>
            <w:tcW w:type="dxa" w:w="468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Hire or reject a candidate automatically.</w:t>
              <w:br/>
              <w:t>Move workflow stages by itself.</w:t>
              <w:br/>
              <w:t>Send external messages or contact candidates by itself.</w:t>
              <w:br/>
              <w:t>Bypass tenant, role, permission, or visibility checks.</w:t>
            </w:r>
          </w:p>
        </w:tc>
      </w:tr>
    </w:tbl>
    <w:p>
      <w:pPr>
        <w:pStyle w:val="Heading1"/>
      </w:pPr>
      <w:r>
        <w:t>RAG Flows</w:t>
      </w:r>
    </w:p>
    <w:p>
      <w:r>
        <w:t>Talent Pilot has one conversational RAG assistant service with three supported context flows. RAG means Retrieval-Augmented Generation: the system first retrieves permitted evidence, then the LLM answers using only that evidence and saves citations.</w:t>
      </w:r>
    </w:p>
    <w:tbl>
      <w:tblPr>
        <w:tblW w:type="dxa" w:w="9360"/>
        <w:jc w:val="center"/>
        <w:tblLayout w:type="fixed"/>
        <w:tblLook w:firstColumn="1" w:firstRow="1" w:lastColumn="0" w:lastRow="0" w:noHBand="0" w:noVBand="1" w:val="04A0"/>
        <w:tblInd w:type="dxa" w:w="120"/>
      </w:tblPr>
      <w:tblGrid>
        <w:gridCol w:w="2400"/>
        <w:gridCol w:w="2500"/>
        <w:gridCol w:w="4460"/>
      </w:tblGrid>
      <w:tr>
        <w:tc>
          <w:tcPr>
            <w:tcW w:type="dxa" w:w="2400"/>
            <w:shd w:fill="0B2545"/>
            <w:tcBorders>
              <w:top w:val="single" w:sz="8" w:space="0" w:color="0B2545"/>
              <w:left w:val="single" w:sz="8" w:space="0" w:color="0B2545"/>
              <w:bottom w:val="single" w:sz="8" w:space="0" w:color="0B2545"/>
              <w:right w:val="single" w:sz="8" w:space="0" w:color="0B2545"/>
            </w:tcBorders>
            <w:tcMar>
              <w:top w:w="100" w:type="dxa"/>
              <w:start w:w="140" w:type="dxa"/>
              <w:bottom w:w="100" w:type="dxa"/>
              <w:end w:w="140" w:type="dxa"/>
            </w:tcMar>
          </w:tcPr>
          <w:p>
            <w:pPr>
              <w:jc w:val="left"/>
            </w:pPr>
            <w:r>
              <w:rPr>
                <w:b/>
                <w:color w:val="FFFFFF"/>
                <w:sz w:val="19"/>
              </w:rPr>
              <w:t>RAG flow</w:t>
            </w:r>
          </w:p>
        </w:tc>
        <w:tc>
          <w:tcPr>
            <w:tcW w:type="dxa" w:w="2500"/>
            <w:shd w:fill="0B2545"/>
            <w:tcBorders>
              <w:top w:val="single" w:sz="8" w:space="0" w:color="0B2545"/>
              <w:left w:val="single" w:sz="8" w:space="0" w:color="0B2545"/>
              <w:bottom w:val="single" w:sz="8" w:space="0" w:color="0B2545"/>
              <w:right w:val="single" w:sz="8" w:space="0" w:color="0B2545"/>
            </w:tcBorders>
            <w:tcMar>
              <w:top w:w="100" w:type="dxa"/>
              <w:start w:w="140" w:type="dxa"/>
              <w:bottom w:w="100" w:type="dxa"/>
              <w:end w:w="140" w:type="dxa"/>
            </w:tcMar>
          </w:tcPr>
          <w:p>
            <w:pPr>
              <w:jc w:val="left"/>
            </w:pPr>
            <w:r>
              <w:rPr>
                <w:b/>
                <w:color w:val="FFFFFF"/>
                <w:sz w:val="19"/>
              </w:rPr>
              <w:t>Who can use it</w:t>
            </w:r>
          </w:p>
        </w:tc>
        <w:tc>
          <w:tcPr>
            <w:tcW w:type="dxa" w:w="4460"/>
            <w:shd w:fill="0B2545"/>
            <w:tcBorders>
              <w:top w:val="single" w:sz="8" w:space="0" w:color="0B2545"/>
              <w:left w:val="single" w:sz="8" w:space="0" w:color="0B2545"/>
              <w:bottom w:val="single" w:sz="8" w:space="0" w:color="0B2545"/>
              <w:right w:val="single" w:sz="8" w:space="0" w:color="0B2545"/>
            </w:tcBorders>
            <w:tcMar>
              <w:top w:w="100" w:type="dxa"/>
              <w:start w:w="140" w:type="dxa"/>
              <w:bottom w:w="100" w:type="dxa"/>
              <w:end w:w="140" w:type="dxa"/>
            </w:tcMar>
          </w:tcPr>
          <w:p>
            <w:pPr>
              <w:jc w:val="left"/>
            </w:pPr>
            <w:r>
              <w:rPr>
                <w:b/>
                <w:color w:val="FFFFFF"/>
                <w:sz w:val="19"/>
              </w:rPr>
              <w:t>Typical questions</w:t>
            </w:r>
          </w:p>
        </w:tc>
      </w:tr>
      <w:tr>
        <w:tc>
          <w:tcPr>
            <w:tcW w:type="dxa" w:w="24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PMO Request</w:t>
            </w:r>
          </w:p>
        </w:tc>
        <w:tc>
          <w:tcPr>
            <w:tcW w:type="dxa" w:w="25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PMO or Tenant Admin users with AI assistant permission</w:t>
            </w:r>
          </w:p>
        </w:tc>
        <w:tc>
          <w:tcPr>
            <w:tcW w:type="dxa" w:w="446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Bench fit, missing skills, request status, referral context, and presales handoff evidence.</w:t>
            </w:r>
          </w:p>
        </w:tc>
      </w:tr>
      <w:tr>
        <w:tc>
          <w:tcPr>
            <w:tcW w:type="dxa" w:w="24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Recruiter Candidate Fit</w:t>
            </w:r>
          </w:p>
        </w:tc>
        <w:tc>
          <w:tcPr>
            <w:tcW w:type="dxa" w:w="25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Recruiter or Tenant Admin users with AI assistant permission</w:t>
            </w:r>
          </w:p>
        </w:tc>
        <w:tc>
          <w:tcPr>
            <w:tcW w:type="dxa" w:w="446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Candidate fit, CV evidence, ranking reasons, missing skills, application status, and interview evidence.</w:t>
            </w:r>
          </w:p>
        </w:tc>
      </w:tr>
      <w:tr>
        <w:tc>
          <w:tcPr>
            <w:tcW w:type="dxa" w:w="24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Hiring Decision Brief</w:t>
            </w:r>
          </w:p>
        </w:tc>
        <w:tc>
          <w:tcPr>
            <w:tcW w:type="dxa" w:w="25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Hiring Manager or Tenant Admin users with AI assistant permission</w:t>
            </w:r>
          </w:p>
        </w:tc>
        <w:tc>
          <w:tcPr>
            <w:tcW w:type="dxa" w:w="446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Candidate comparison, interview feedback, decision risks, strengths, and final review evidence.</w:t>
            </w:r>
          </w:p>
        </w:tc>
      </w:tr>
    </w:tbl>
    <w:p>
      <w:pPr>
        <w:pStyle w:val="Heading2"/>
      </w:pPr>
      <w:r>
        <w:t>How A RAG Answer Is Produced</w:t>
      </w:r>
    </w:p>
    <w:p>
      <w:pPr>
        <w:pStyle w:val="ListNumber"/>
      </w:pPr>
      <w:r>
        <w:t>Authorize the user by permission, role, tenant, and visible context.</w:t>
      </w:r>
    </w:p>
    <w:p>
      <w:pPr>
        <w:pStyle w:val="ListNumber"/>
      </w:pPr>
      <w:r>
        <w:t>Build or refresh knowledge chunks for the selected context.</w:t>
      </w:r>
    </w:p>
    <w:p>
      <w:pPr>
        <w:pStyle w:val="ListNumber"/>
      </w:pPr>
      <w:r>
        <w:t>Embed the user question and search the vector index for the most relevant chunks.</w:t>
      </w:r>
    </w:p>
    <w:p>
      <w:pPr>
        <w:pStyle w:val="ListNumber"/>
      </w:pPr>
      <w:r>
        <w:t>Build a guarded prompt with conversation history, retrieved evidence, and citation labels.</w:t>
      </w:r>
    </w:p>
    <w:p>
      <w:pPr>
        <w:pStyle w:val="ListNumber"/>
      </w:pPr>
      <w:r>
        <w:t>Ask the LLM to answer from evidence only.</w:t>
      </w:r>
    </w:p>
    <w:p>
      <w:pPr>
        <w:pStyle w:val="ListNumber"/>
      </w:pPr>
      <w:r>
        <w:t>Save the conversation, answer, citations, AI run metadata, and optional feedback.</w:t>
      </w:r>
    </w:p>
    <w:p>
      <w:pPr>
        <w:pStyle w:val="Heading1"/>
      </w:pPr>
      <w:r>
        <w:t>Verification Notes</w:t>
      </w:r>
    </w:p>
    <w:p>
      <w:r>
        <w:t>These counts were verified from the current workspace rather than inferred from older design notes. The most important sources are listed below so engineering and product can trace the numbers.</w:t>
      </w:r>
    </w:p>
    <w:tbl>
      <w:tblPr>
        <w:tblW w:type="dxa" w:w="9360"/>
        <w:jc w:val="center"/>
        <w:tblLayout w:type="fixed"/>
        <w:tblLook w:firstColumn="1" w:firstRow="1" w:lastColumn="0" w:lastRow="0" w:noHBand="0" w:noVBand="1" w:val="04A0"/>
        <w:tblInd w:type="dxa" w:w="120"/>
      </w:tblPr>
      <w:tblGrid>
        <w:gridCol w:w="1900"/>
        <w:gridCol w:w="3800"/>
        <w:gridCol w:w="3660"/>
      </w:tblGrid>
      <w:tr>
        <w:tc>
          <w:tcPr>
            <w:tcW w:type="dxa" w:w="1900"/>
            <w:shd w:fill="0B2545"/>
            <w:tcBorders>
              <w:top w:val="single" w:sz="8" w:space="0" w:color="0B2545"/>
              <w:left w:val="single" w:sz="8" w:space="0" w:color="0B2545"/>
              <w:bottom w:val="single" w:sz="8" w:space="0" w:color="0B2545"/>
              <w:right w:val="single" w:sz="8" w:space="0" w:color="0B2545"/>
            </w:tcBorders>
            <w:tcMar>
              <w:top w:w="100" w:type="dxa"/>
              <w:start w:w="140" w:type="dxa"/>
              <w:bottom w:w="100" w:type="dxa"/>
              <w:end w:w="140" w:type="dxa"/>
            </w:tcMar>
          </w:tcPr>
          <w:p>
            <w:pPr>
              <w:jc w:val="left"/>
            </w:pPr>
            <w:r>
              <w:rPr>
                <w:b/>
                <w:color w:val="FFFFFF"/>
                <w:sz w:val="19"/>
              </w:rPr>
              <w:t>Topic</w:t>
            </w:r>
          </w:p>
        </w:tc>
        <w:tc>
          <w:tcPr>
            <w:tcW w:type="dxa" w:w="3800"/>
            <w:shd w:fill="0B2545"/>
            <w:tcBorders>
              <w:top w:val="single" w:sz="8" w:space="0" w:color="0B2545"/>
              <w:left w:val="single" w:sz="8" w:space="0" w:color="0B2545"/>
              <w:bottom w:val="single" w:sz="8" w:space="0" w:color="0B2545"/>
              <w:right w:val="single" w:sz="8" w:space="0" w:color="0B2545"/>
            </w:tcBorders>
            <w:tcMar>
              <w:top w:w="100" w:type="dxa"/>
              <w:start w:w="140" w:type="dxa"/>
              <w:bottom w:w="100" w:type="dxa"/>
              <w:end w:w="140" w:type="dxa"/>
            </w:tcMar>
          </w:tcPr>
          <w:p>
            <w:pPr>
              <w:jc w:val="left"/>
            </w:pPr>
            <w:r>
              <w:rPr>
                <w:b/>
                <w:color w:val="FFFFFF"/>
                <w:sz w:val="19"/>
              </w:rPr>
              <w:t>Source checked</w:t>
            </w:r>
          </w:p>
        </w:tc>
        <w:tc>
          <w:tcPr>
            <w:tcW w:type="dxa" w:w="3660"/>
            <w:shd w:fill="0B2545"/>
            <w:tcBorders>
              <w:top w:val="single" w:sz="8" w:space="0" w:color="0B2545"/>
              <w:left w:val="single" w:sz="8" w:space="0" w:color="0B2545"/>
              <w:bottom w:val="single" w:sz="8" w:space="0" w:color="0B2545"/>
              <w:right w:val="single" w:sz="8" w:space="0" w:color="0B2545"/>
            </w:tcBorders>
            <w:tcMar>
              <w:top w:w="100" w:type="dxa"/>
              <w:start w:w="140" w:type="dxa"/>
              <w:bottom w:w="100" w:type="dxa"/>
              <w:end w:w="140" w:type="dxa"/>
            </w:tcMar>
          </w:tcPr>
          <w:p>
            <w:pPr>
              <w:jc w:val="left"/>
            </w:pPr>
            <w:r>
              <w:rPr>
                <w:b/>
                <w:color w:val="FFFFFF"/>
                <w:sz w:val="19"/>
              </w:rPr>
              <w:t>Important detail</w:t>
            </w:r>
          </w:p>
        </w:tc>
      </w:tr>
      <w:tr>
        <w:tc>
          <w:tcPr>
            <w:tcW w:type="dxa" w:w="19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Workflow count</w:t>
            </w:r>
          </w:p>
        </w:tc>
        <w:tc>
          <w:tcPr>
            <w:tcW w:type="dxa" w:w="38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Database/Schema/seed-data/001_seed_mvp_reference_data.sql</w:t>
            </w:r>
          </w:p>
        </w:tc>
        <w:tc>
          <w:tcPr>
            <w:tcW w:type="dxa" w:w="366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Seeds one DEFAULT_JOB_REQUEST workflow with 8 stages and 14 transitions.</w:t>
            </w:r>
          </w:p>
        </w:tc>
      </w:tr>
      <w:tr>
        <w:tc>
          <w:tcPr>
            <w:tcW w:type="dxa" w:w="19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AI capability count</w:t>
            </w:r>
          </w:p>
        </w:tc>
        <w:tc>
          <w:tcPr>
            <w:tcW w:type="dxa" w:w="38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Generated Documentation/scripts/build_talent_pilot_documentation.py</w:t>
            </w:r>
          </w:p>
        </w:tc>
        <w:tc>
          <w:tcPr>
            <w:tcW w:type="dxa" w:w="366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Updated detailed documentation states 11 active AI agent/capability definitions.</w:t>
            </w:r>
          </w:p>
        </w:tc>
      </w:tr>
      <w:tr>
        <w:tc>
          <w:tcPr>
            <w:tcW w:type="dxa" w:w="19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Runtime AI services</w:t>
            </w:r>
          </w:p>
        </w:tc>
        <w:tc>
          <w:tcPr>
            <w:tcW w:type="dxa" w:w="38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Application Code/Backend Code/src/TalentPilot.Application/DependencyInjection/ApplicationServiceCollectionExtensions.cs</w:t>
            </w:r>
          </w:p>
        </w:tc>
        <w:tc>
          <w:tcPr>
            <w:tcW w:type="dxa" w:w="366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Wires drafting, CV parser, bench matching, rediscovery, applicant ranking, online headhunting, interview questions, and RAG services.</w:t>
            </w:r>
          </w:p>
        </w:tc>
      </w:tr>
      <w:tr>
        <w:tc>
          <w:tcPr>
            <w:tcW w:type="dxa" w:w="19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RAG flow count</w:t>
            </w:r>
          </w:p>
        </w:tc>
        <w:tc>
          <w:tcPr>
            <w:tcW w:type="dxa" w:w="380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Application Code/Backend Code/src/TalentPilot.Application/AiAssistant/AiAssistantDtos.cs</w:t>
            </w:r>
          </w:p>
        </w:tc>
        <w:tc>
          <w:tcPr>
            <w:tcW w:type="dxa" w:w="3660"/>
            <w:shd w:fill="F2F4F7"/>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Defines three context types: PMO Request, Recruiter Candidate Fit, Hiring Decision Brief.</w:t>
            </w:r>
          </w:p>
        </w:tc>
      </w:tr>
      <w:tr>
        <w:tc>
          <w:tcPr>
            <w:tcW w:type="dxa" w:w="19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RAG access rules</w:t>
            </w:r>
          </w:p>
        </w:tc>
        <w:tc>
          <w:tcPr>
            <w:tcW w:type="dxa" w:w="380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Application Code/Backend Code/src/TalentPilot.Application/AiAssistant/AiAssistantService.cs</w:t>
            </w:r>
          </w:p>
        </w:tc>
        <w:tc>
          <w:tcPr>
            <w:tcW w:type="dxa" w:w="3660"/>
            <w:shd w:fill="FFFFFF"/>
            <w:tcBorders>
              <w:top w:val="single" w:sz="8" w:space="0" w:color="D5DEE8"/>
              <w:left w:val="single" w:sz="8" w:space="0" w:color="D5DEE8"/>
              <w:bottom w:val="single" w:sz="8" w:space="0" w:color="D5DEE8"/>
              <w:right w:val="single" w:sz="8" w:space="0" w:color="D5DEE8"/>
            </w:tcBorders>
            <w:tcMar>
              <w:top w:w="90" w:type="dxa"/>
              <w:start w:w="120" w:type="dxa"/>
              <w:bottom w:w="90" w:type="dxa"/>
              <w:end w:w="120" w:type="dxa"/>
            </w:tcMar>
            <w:vAlign w:val="center"/>
          </w:tcPr>
          <w:p>
            <w:r>
              <w:rPr>
                <w:color w:val="1F2937"/>
                <w:sz w:val="18"/>
              </w:rPr>
              <w:t>Checks AI assistant permission, role, tenant, and context visibility before answering.</w:t>
            </w:r>
          </w:p>
        </w:tc>
      </w:tr>
    </w:tbl>
    <w:p>
      <w:r>
        <w:rPr>
          <w:b/>
        </w:rPr>
        <w:t xml:space="preserve">Catalog alignment note: </w:t>
      </w:r>
      <w:r>
        <w:t>The SQL seed still shows an older five-agent AiAgents catalog. The updated detailed documentation and current runtime code include the newer MVP capabilities. The seed/catalog should be aligned in a future cleanup so Admin Center counts match runtime capability counts exactly.</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8"/>
      </w:rPr>
      <w:t>Talent Pilot Basic Application Overview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F5F99"/>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5F9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