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Geldium – Business Summary Report</w:t>
      </w:r>
    </w:p>
    <w:p>
      <w:pPr>
        <w:pStyle w:val="Heading2"/>
      </w:pPr>
      <w:r>
        <w:t>1. Summary of Predictive Insights</w:t>
      </w:r>
    </w:p>
    <w:p>
      <w:pPr>
        <w:pStyle w:val="ListBullet"/>
      </w:pPr>
      <w:r>
        <w:t>Payment behaviour is an important area to monitor. The dataset contains six months of payment-status information (On-time, Late, and Missed), which can help identify customers showing repeated payment difficulties.</w:t>
      </w:r>
    </w:p>
    <w:p>
      <w:pPr>
        <w:pStyle w:val="ListBullet"/>
      </w:pPr>
      <w:r>
        <w:t>Credit utilization and debt-to-income ratio are useful potential risk indicators. Customers with higher utilization or higher debt relative to income may have less financial flexibility, although the dataset does not show a strong standalone correlation, so these factors should be validated further before making decisions.</w:t>
      </w:r>
    </w:p>
    <w:p>
      <w:pPr>
        <w:pStyle w:val="ListBullet"/>
      </w:pPr>
      <w:r>
        <w:t>Employment status and credit-card type show differences in observed delinquency rates. For example, the observed delinquency rate is higher among unemployed customers and Business card customers than some other groups. These differences should be investigated carefully and should not automatically be treated as evidence of causation.</w:t>
      </w:r>
    </w:p>
    <w:p>
      <w:r>
        <w:t>Key Insights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Key Insight</w:t>
            </w:r>
          </w:p>
        </w:tc>
        <w:tc>
          <w:tcPr>
            <w:tcW w:type="dxa" w:w="2160"/>
          </w:tcPr>
          <w:p>
            <w:r>
              <w:t>Customer Segment</w:t>
            </w:r>
          </w:p>
        </w:tc>
        <w:tc>
          <w:tcPr>
            <w:tcW w:type="dxa" w:w="2160"/>
          </w:tcPr>
          <w:p>
            <w:r>
              <w:t>Influencing Variables</w:t>
            </w:r>
          </w:p>
        </w:tc>
        <w:tc>
          <w:tcPr>
            <w:tcW w:type="dxa" w:w="2160"/>
          </w:tcPr>
          <w:p>
            <w:r>
              <w:t>Potential Business Impact</w:t>
            </w:r>
          </w:p>
        </w:tc>
      </w:tr>
      <w:tr>
        <w:tc>
          <w:tcPr>
            <w:tcW w:type="dxa" w:w="2160"/>
          </w:tcPr>
          <w:p>
            <w:r>
              <w:t>Payment difficulties may indicate elevated risk</w:t>
            </w:r>
          </w:p>
        </w:tc>
        <w:tc>
          <w:tcPr>
            <w:tcW w:type="dxa" w:w="2160"/>
          </w:tcPr>
          <w:p>
            <w:r>
              <w:t>Customers showing repeated Late/Missed payments</w:t>
            </w:r>
          </w:p>
        </w:tc>
        <w:tc>
          <w:tcPr>
            <w:tcW w:type="dxa" w:w="2160"/>
          </w:tcPr>
          <w:p>
            <w:r>
              <w:t>Month_1–Month_6 payment history, Missed_Payments</w:t>
            </w:r>
          </w:p>
        </w:tc>
        <w:tc>
          <w:tcPr>
            <w:tcW w:type="dxa" w:w="2160"/>
          </w:tcPr>
          <w:p>
            <w:r>
              <w:t>Prioritize appropriate early outreach</w:t>
            </w:r>
          </w:p>
        </w:tc>
      </w:tr>
      <w:tr>
        <w:tc>
          <w:tcPr>
            <w:tcW w:type="dxa" w:w="2160"/>
          </w:tcPr>
          <w:p>
            <w:r>
              <w:t>Higher financial pressure may increase risk</w:t>
            </w:r>
          </w:p>
        </w:tc>
        <w:tc>
          <w:tcPr>
            <w:tcW w:type="dxa" w:w="2160"/>
          </w:tcPr>
          <w:p>
            <w:r>
              <w:t>Customers with relatively high utilization/debt burden</w:t>
            </w:r>
          </w:p>
        </w:tc>
        <w:tc>
          <w:tcPr>
            <w:tcW w:type="dxa" w:w="2160"/>
          </w:tcPr>
          <w:p>
            <w:r>
              <w:t>Credit_Utilization, Debt_to_Income_Ratio, Loan_Balance</w:t>
            </w:r>
          </w:p>
        </w:tc>
        <w:tc>
          <w:tcPr>
            <w:tcW w:type="dxa" w:w="2160"/>
          </w:tcPr>
          <w:p>
            <w:r>
              <w:t>Offer suitable support before delinquency worsens</w:t>
            </w:r>
          </w:p>
        </w:tc>
      </w:tr>
      <w:tr>
        <w:tc>
          <w:tcPr>
            <w:tcW w:type="dxa" w:w="2160"/>
          </w:tcPr>
          <w:p>
            <w:r>
              <w:t>Delinquency rates differ across groups</w:t>
            </w:r>
          </w:p>
        </w:tc>
        <w:tc>
          <w:tcPr>
            <w:tcW w:type="dxa" w:w="2160"/>
          </w:tcPr>
          <w:p>
            <w:r>
              <w:t>Employment-status and credit-card-type segments</w:t>
            </w:r>
          </w:p>
        </w:tc>
        <w:tc>
          <w:tcPr>
            <w:tcW w:type="dxa" w:w="2160"/>
          </w:tcPr>
          <w:p>
            <w:r>
              <w:t>Employment_Status, Credit_Card_Type</w:t>
            </w:r>
          </w:p>
        </w:tc>
        <w:tc>
          <w:tcPr>
            <w:tcW w:type="dxa" w:w="2160"/>
          </w:tcPr>
          <w:p>
            <w:r>
              <w:t>Investigate patterns while applying fairness checks</w:t>
            </w:r>
          </w:p>
        </w:tc>
      </w:tr>
    </w:tbl>
    <w:p>
      <w:pPr>
        <w:pStyle w:val="Heading2"/>
      </w:pPr>
      <w:r>
        <w:t>2. Recommendation Framework</w:t>
      </w:r>
    </w:p>
    <w:p>
      <w:r>
        <w:rPr>
          <w:b/>
        </w:rPr>
        <w:t>Restated Insight:</w:t>
      </w:r>
    </w:p>
    <w:p>
      <w:r>
        <w:t>Customers showing repeated payment difficulties may require earlier attention from the Collections team.</w:t>
      </w:r>
    </w:p>
    <w:p>
      <w:r>
        <w:rPr>
          <w:b/>
        </w:rPr>
        <w:t>Proposed Recommendation:</w:t>
      </w:r>
    </w:p>
    <w:p>
      <w:r>
        <w:t>Launch a 6-week pilot outreach program for customers identified as higher risk by the predictive model, using their payment history and financial indicators to prioritize appropriate, supportive interventions.</w:t>
      </w:r>
    </w:p>
    <w:p>
      <w:r>
        <w:rPr>
          <w:b/>
        </w:rPr>
        <w:t>Specific:</w:t>
      </w:r>
    </w:p>
    <w:p>
      <w:r>
        <w:t>Target customers with elevated predicted delinquency risk and recent payment difficulties for early outreach.</w:t>
      </w:r>
    </w:p>
    <w:p>
      <w:r>
        <w:rPr>
          <w:b/>
        </w:rPr>
        <w:t>Measurable:</w:t>
      </w:r>
    </w:p>
    <w:p>
      <w:r>
        <w:t>Aim to achieve a 10% relative reduction in 30-day delinquency among the pilot group compared with an appropriate comparison group.</w:t>
      </w:r>
    </w:p>
    <w:p>
      <w:r>
        <w:rPr>
          <w:b/>
        </w:rPr>
        <w:t>Actionable:</w:t>
      </w:r>
    </w:p>
    <w:p>
      <w:r>
        <w:t>The Collections team can use model risk scores to prioritize outreach and offer suitable payment-support options.</w:t>
      </w:r>
    </w:p>
    <w:p>
      <w:r>
        <w:rPr>
          <w:b/>
        </w:rPr>
        <w:t>Relevant:</w:t>
      </w:r>
    </w:p>
    <w:p>
      <w:r>
        <w:t>The recommendation directly supports Geldium’s goal of identifying delinquency risk earlier and improving collection outcomes.</w:t>
      </w:r>
    </w:p>
    <w:p>
      <w:r>
        <w:rPr>
          <w:b/>
        </w:rPr>
        <w:t>Time-bound:</w:t>
      </w:r>
    </w:p>
    <w:p>
      <w:r>
        <w:t>Run the pilot for 6 weeks, then review the results and decide whether the approach should be improved or expanded.</w:t>
      </w:r>
    </w:p>
    <w:p>
      <w:r>
        <w:rPr>
          <w:b/>
        </w:rPr>
        <w:t>Justification and Business Rationale:</w:t>
      </w:r>
    </w:p>
    <w:p>
      <w:r>
        <w:t>A targeted pilot allows Geldium to test whether predictive insights can improve early intervention without applying the same action to every customer. Measuring the outcome over a defined period provides evidence for whether the approach reduces delinquency while allowing the Collections team to monitor customer impact and fairness.</w:t>
      </w:r>
    </w:p>
    <w:p>
      <w:pPr>
        <w:pStyle w:val="Heading2"/>
      </w:pPr>
      <w:r>
        <w:t>3. Ethical and Responsible AI Considerations</w:t>
      </w:r>
    </w:p>
    <w:p>
      <w:r>
        <w:rPr>
          <w:b/>
        </w:rPr>
        <w:t>Potential bias or unfair treatment:</w:t>
      </w:r>
    </w:p>
    <w:p>
      <w:r>
        <w:t>The dataset shows different delinquency rates across employment-status and credit-card-type groups. These differences should not automatically be interpreted as evidence that belonging to a particular group causes higher risk.</w:t>
      </w:r>
    </w:p>
    <w:p>
      <w:r>
        <w:t>Mitigation: Test model performance and error rates across relevant customer groups, investigate significant disparities, and avoid using sensitive or inappropriate characteristics as direct decision rules.</w:t>
      </w:r>
    </w:p>
    <w:p>
      <w:r>
        <w:rPr>
          <w:b/>
        </w:rPr>
        <w:t>Transparency and explainability:</w:t>
      </w:r>
    </w:p>
    <w:p>
      <w:r>
        <w:t>Customers and non-technical stakeholders should be able to understand why a customer was flagged as higher risk.</w:t>
      </w:r>
    </w:p>
    <w:p>
      <w:r>
        <w:t>Mitigation: Use an interpretable model such as logistic regression, provide clear explanations of important contributing factors, and keep human review involved in decisions.</w:t>
      </w:r>
    </w:p>
    <w:p>
      <w:r>
        <w:t>The model should be treated as decision support rather than an automatic decision-maker. Geldium should also maintain appropriate data privacy, accountability, and human oversight when using customer financial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