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Exploratory Data Analysis (EDA) Summary</w:t>
        <w:br/>
      </w:r>
      <w:r>
        <w:rPr>
          <w:b/>
          <w:sz w:val="26"/>
        </w:rPr>
        <w:t>Geldium Delinquency Prediction Dataset</w:t>
      </w:r>
    </w:p>
    <w:p>
      <w:pPr>
        <w:pStyle w:val="Heading1"/>
      </w:pPr>
      <w:r>
        <w:t>1. Introduction</w:t>
      </w:r>
    </w:p>
    <w:p>
      <w:r>
        <w:t>The purpose of this EDA is to assess Geldium’s customer dataset before predictive modeling. The analysis focuses on data completeness and consistency, early delinquency indicators, and relationships that may help Tata iQ’s analytics team refine a delinquency risk model and intervention strategies.</w:t>
      </w:r>
    </w:p>
    <w:p>
      <w:pPr>
        <w:pStyle w:val="Heading1"/>
      </w:pPr>
      <w:r>
        <w:t>2. Dataset Overview</w:t>
      </w:r>
    </w:p>
    <w:p>
      <w:r>
        <w:t>The dataset contains 500 customer records and 19 variables. It includes customer demographics, financial measures, employment and account information, and six months of payment-status history.</w:t>
      </w:r>
    </w:p>
    <w:p>
      <w:pPr>
        <w:pStyle w:val="ListBullet"/>
      </w:pPr>
      <w:r>
        <w:t>Number of records: 500</w:t>
      </w:r>
    </w:p>
    <w:p>
      <w:pPr>
        <w:pStyle w:val="ListBullet"/>
      </w:pPr>
      <w:r>
        <w:t>Key variables: Customer_ID (customer identifier); Age; Income; Credit_Score; Credit_Utilization; Missed_Payments; Delinquent_Account (binary delinquency indicator); Loan_Balance; Debt_to_Income_Ratio; Employment_Status; Account_Tenure; Credit_Card_Type; Location; Month_1 to Month_6 payment status.</w:t>
      </w:r>
    </w:p>
    <w:p>
      <w:pPr>
        <w:pStyle w:val="ListBullet"/>
      </w:pPr>
      <w:r>
        <w:t>Data types: Numerical — Age, Income, Credit_Score, Credit_Utilization, Missed_Payments, Delinquent_Account, Loan_Balance, Debt_to_Income_Ratio, Account_Tenure. Categorical — Employment_Status, Credit_Card_Type, Location, and monthly payment-status fields. Customer_ID is an identifier.</w:t>
      </w:r>
    </w:p>
    <w:p>
      <w:pPr>
        <w:pStyle w:val="ListBullet"/>
      </w:pPr>
      <w:r>
        <w:t>No duplicate rows or duplicate Customer_ID values were detected.</w:t>
      </w:r>
    </w:p>
    <w:p>
      <w:pPr>
        <w:pStyle w:val="ListBullet"/>
      </w:pPr>
      <w:r>
        <w:t>Data-quality anomalies include 4 Credit_Utilization values above 100% (maximum 102.6%) and 7 Debt_to_Income_Ratio values above 50% (maximum 55.3%).</w:t>
      </w:r>
    </w:p>
    <w:p>
      <w:pPr>
        <w:pStyle w:val="ListBullet"/>
      </w:pPr>
      <w:r>
        <w:t>Employment_Status contains inconsistent capitalization: 'Employed'/'employed' and 'EMP' appear as separate categories and should be standardized before modeling.</w:t>
      </w:r>
    </w:p>
    <w:p>
      <w:pPr>
        <w:pStyle w:val="Heading1"/>
      </w:pPr>
      <w:r>
        <w:t>3. Missing Data Analysis</w:t>
      </w:r>
    </w:p>
    <w:p>
      <w:r>
        <w:t>Missing values were found in Income, Credit_Score, and Loan_Balance. The proposed treatments below preserve the available records while reducing the effect of missing values.</w:t>
      </w:r>
    </w:p>
    <w:p>
      <w:pPr>
        <w:pStyle w:val="ListBullet"/>
      </w:pPr>
      <w:r>
        <w:t>Income: 39 missing values (7.8%). Recommended treatment: median imputation, preferably within relevant employment/status groups where sufficient data exists, followed by validation. Median is less sensitive to extreme income values.</w:t>
      </w:r>
    </w:p>
    <w:p>
      <w:pPr>
        <w:pStyle w:val="ListBullet"/>
      </w:pPr>
      <w:r>
        <w:t>Credit_Score: 2 missing values (0.4%). Recommended treatment: median imputation, with a missingness flag if required by the modeling team.</w:t>
      </w:r>
    </w:p>
    <w:p>
      <w:pPr>
        <w:pStyle w:val="ListBullet"/>
      </w:pPr>
      <w:r>
        <w:t>Loan_Balance: 29 missing values (5.8%). Recommended treatment: median imputation, preferably using relevant customer/account segments if available.</w:t>
      </w:r>
    </w:p>
    <w:p>
      <w:pPr>
        <w:pStyle w:val="ListBullet"/>
      </w:pPr>
      <w:r>
        <w:t>Synthetic data should not be used as the default treatment for these small amounts of missingness; it is better reserved for carefully controlled augmentation after validation.</w:t>
      </w:r>
    </w:p>
    <w:p>
      <w:pPr>
        <w:pStyle w:val="Heading1"/>
      </w:pPr>
      <w:r>
        <w:t>4. Key Findings and Risk Indicators</w:t>
      </w:r>
    </w:p>
    <w:p>
      <w:r>
        <w:t>The dataset has a 16.0% observed delinquency rate (80 of 500 customers). Simple linear correlations with Delinquent_Account are weak in this dataset, so the following variables should be treated as candidate predictors rather than proof of causation.</w:t>
      </w:r>
    </w:p>
    <w:p>
      <w:pPr>
        <w:pStyle w:val="ListBullet"/>
      </w:pPr>
      <w:r>
        <w:t>Credit Utilization: values range from 5.0% to 102.6%; utilization above 100% is an anomaly and may indicate over-limit usage or a data-quality issue. Higher utilization bands showed somewhat higher delinquency rates than the lowest band, but the relationship is not strong.</w:t>
      </w:r>
    </w:p>
    <w:p>
      <w:pPr>
        <w:pStyle w:val="ListBullet"/>
      </w:pPr>
      <w:r>
        <w:t>Debt-to-Income Ratio: ranges from 10.0% to 55.3%; values above 50% warrant review because they may indicate higher repayment burden.</w:t>
      </w:r>
    </w:p>
    <w:p>
      <w:pPr>
        <w:pStyle w:val="ListBullet"/>
      </w:pPr>
      <w:r>
        <w:t>Credit Score: ranges from 301 to 847. Low credit scores are a plausible risk feature, but the observed quartile-level delinquency rates do not show a simple monotonic relationship, so further modeling is needed.</w:t>
      </w:r>
    </w:p>
    <w:p>
      <w:pPr>
        <w:pStyle w:val="ListBullet"/>
      </w:pPr>
      <w:r>
        <w:t>Missed Payments: ranges from 0 to 6 with an average of 2.97. Payment history is directly relevant to delinquency risk and should be included as a candidate feature.</w:t>
      </w:r>
    </w:p>
    <w:p>
      <w:pPr>
        <w:pStyle w:val="ListBullet"/>
      </w:pPr>
      <w:r>
        <w:t>Monthly payment history contains On-time, Late, and Missed statuses across all six months. Repeated Late/Missed statuses should be investigated as a potential early-warning signal.</w:t>
      </w:r>
    </w:p>
    <w:p>
      <w:pPr>
        <w:pStyle w:val="ListBullet"/>
      </w:pPr>
      <w:r>
        <w:t>Employment status requires cleaning because capitalization creates duplicate-looking categories. The 'Unemployed' group had the highest observed delinquency rate among the normalized employment groups, but this should be validated before being used for decisions.</w:t>
      </w:r>
    </w:p>
    <w:p>
      <w:pPr>
        <w:pStyle w:val="ListBullet"/>
      </w:pPr>
      <w:r>
        <w:t>The near-zero simple correlations between several financial variables and Delinquent_Account suggest that interactions and nonlinear relationships may be important; a predictive model should therefore be evaluated rather than relying on single-variable rules.</w:t>
      </w:r>
    </w:p>
    <w:p>
      <w:r>
        <w:t>Unexpected anomalies requiring further investigation include credit-utilization values above 100%, high debt-to-income ratios, and inconsistent employment-status labels. These issues could affect model quality if they are not standardized or validated before training.</w:t>
      </w:r>
    </w:p>
    <w:p>
      <w:pPr>
        <w:pStyle w:val="Heading1"/>
      </w:pPr>
      <w:r>
        <w:t>5. AI &amp; GenAI Usage</w:t>
      </w:r>
    </w:p>
    <w:p>
      <w:r>
        <w:t>GenAI was used to structure the EDA review, identify potential data-quality issues, and suggest appropriate missing-data treatments. The final observations in this report were checked against the dataset.</w:t>
      </w:r>
    </w:p>
    <w:p>
      <w:r>
        <w:t>Example AI prompts used:</w:t>
      </w:r>
    </w:p>
    <w:p>
      <w:pPr>
        <w:pStyle w:val="ListBullet"/>
      </w:pPr>
      <w:r>
        <w:t>'Summarize key patterns, outliers, and missing values in this dataset. Highlight any fields that might present problems for modeling delinquency.'</w:t>
      </w:r>
    </w:p>
    <w:p>
      <w:pPr>
        <w:pStyle w:val="ListBullet"/>
      </w:pPr>
      <w:r>
        <w:t>'Identify the top variables that may help predict delinquency based on the dataset and explain the limitations of simple correlations.'</w:t>
      </w:r>
    </w:p>
    <w:p>
      <w:pPr>
        <w:pStyle w:val="ListBullet"/>
      </w:pPr>
      <w:r>
        <w:t>'Suggest an imputation strategy for missing income, credit score, and loan balance values based on industry best practices.'</w:t>
      </w:r>
    </w:p>
    <w:p>
      <w:pPr>
        <w:pStyle w:val="Heading1"/>
      </w:pPr>
      <w:r>
        <w:t>6. Conclusion &amp; Next Steps</w:t>
      </w:r>
    </w:p>
    <w:p>
      <w:r>
        <w:t>The Geldium dataset is usable for further analysis but requires basic data-quality preparation before predictive modeling. The main issues are missing Income, Credit_Score, and Loan_Balance values, inconsistent employment labels, and a small number of potentially anomalous utilization and debt-to-income values. Payment history, missed payments, credit utilization, debt-to-income ratio, credit score, and employment status should be evaluated as candidate risk features, while avoiding conclusions based only on simple correlations. Next steps are to standardize categories, validate or cap/flag anomalous values with domain guidance, impute missing values, and then test predictive models using appropriate validation and fairness checks.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