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cs="Arial"/>
          <w:b/>
          <w:sz w:val="44"/>
        </w:rPr>
        <w:t>Newer Concepts in Diabetes, Cardio-Metabolism and Obesity</w:t>
      </w:r>
    </w:p>
    <w:p>
      <w:pPr>
        <w:jc w:val="center"/>
      </w:pPr>
      <w:r>
        <w:rPr>
          <w:rFonts w:ascii="Arial" w:hAnsi="Arial" w:cs="Arial"/>
          <w:b/>
          <w:sz w:val="32"/>
        </w:rPr>
        <w:t>The Dr. Nehru Method</w:t>
      </w:r>
    </w:p>
    <w:p/>
    <w:p/>
    <w:p/>
    <w:p/>
    <w:p>
      <w:pPr>
        <w:jc w:val="center"/>
      </w:pPr>
      <w:r>
        <w:rPr>
          <w:rFonts w:ascii="Times New Roman" w:hAnsi="Times New Roman" w:cs="Times New Roman"/>
          <w:b w:val="0"/>
          <w:sz w:val="28"/>
        </w:rPr>
        <w:t>Dr. M. S. Nehru</w:t>
      </w:r>
    </w:p>
    <w:p>
      <w:pPr>
        <w:jc w:val="center"/>
      </w:pPr>
      <w:r>
        <w:rPr>
          <w:rFonts w:ascii="Times New Roman" w:hAnsi="Times New Roman" w:cs="Times New Roman"/>
          <w:i/>
          <w:sz w:val="24"/>
        </w:rPr>
        <w:t>HOMA Healthcare Center, Hyderabad</w:t>
      </w:r>
    </w:p>
    <w:p>
      <w:r>
        <w:br w:type="page"/>
      </w:r>
    </w:p>
    <w:p>
      <w:pPr>
        <w:keepNext/>
        <w:spacing w:before="240" w:after="120"/>
        <w:jc w:val="left"/>
      </w:pPr>
      <w:r>
        <w:rPr>
          <w:rFonts w:ascii="Arial" w:hAnsi="Arial" w:cs="Arial"/>
          <w:b/>
          <w:sz w:val="26"/>
        </w:rPr>
        <w:t>Copyright</w:t>
      </w:r>
    </w:p>
    <w:p>
      <w:pPr>
        <w:spacing w:after="120" w:before="0" w:line="276" w:lineRule="auto"/>
        <w:jc w:val="both"/>
      </w:pPr>
      <w:r>
        <w:rPr>
          <w:rFonts w:ascii="Times New Roman" w:hAnsi="Times New Roman" w:cs="Times New Roman"/>
          <w:b w:val="0"/>
          <w:i w:val="0"/>
          <w:sz w:val="22"/>
        </w:rPr>
        <w:t>© 2026 Dr. M. S. Nehru. All rights reserved.</w:t>
      </w:r>
    </w:p>
    <w:p>
      <w:pPr>
        <w:spacing w:after="120" w:before="0" w:line="276" w:lineRule="auto"/>
        <w:jc w:val="both"/>
      </w:pPr>
      <w:r>
        <w:rPr>
          <w:rFonts w:ascii="Times New Roman" w:hAnsi="Times New Roman" w:cs="Times New Roman"/>
          <w:b w:val="0"/>
          <w:i w:val="0"/>
          <w:sz w:val="22"/>
        </w:rPr>
        <w:t>No part of this publication may be reproduced, stored in a retrieval system, or transmitted in any form or by any means, electronic, mechanical, photocopying, recording, or otherwise, without the prior written permission of the author.</w:t>
      </w:r>
    </w:p>
    <w:p>
      <w:pPr>
        <w:spacing w:after="120" w:before="0" w:line="276" w:lineRule="auto"/>
        <w:jc w:val="both"/>
      </w:pPr>
      <w:r>
        <w:rPr>
          <w:rFonts w:ascii="Times New Roman" w:hAnsi="Times New Roman" w:cs="Times New Roman"/>
          <w:b w:val="0"/>
          <w:i w:val="0"/>
          <w:sz w:val="22"/>
        </w:rPr>
        <w:t>This book is intended for educational purposes for medical professionals. It does not replace individual clinical judgement. The thresholds and staging frameworks described as the “Dr. Nehru Method” are proposed, India-specific operational tools and are identified as such throughout the text; they are not a substitute for established international consensus guidelines.</w:t>
      </w:r>
    </w:p>
    <w:p>
      <w:pPr>
        <w:spacing w:after="120" w:before="0" w:line="276" w:lineRule="auto"/>
        <w:jc w:val="both"/>
      </w:pPr>
      <w:r>
        <w:rPr>
          <w:rFonts w:ascii="Times New Roman" w:hAnsi="Times New Roman" w:cs="Times New Roman"/>
          <w:b w:val="0"/>
          <w:i w:val="0"/>
          <w:sz w:val="22"/>
        </w:rPr>
        <w:t>First edition, 2026. Published by HOMA Healthcare Center, Hyderabad.</w:t>
      </w:r>
    </w:p>
    <w:p>
      <w:r>
        <w:br w:type="page"/>
      </w:r>
    </w:p>
    <w:p>
      <w:pPr>
        <w:keepNext/>
        <w:spacing w:before="240" w:after="120"/>
        <w:jc w:val="left"/>
      </w:pPr>
      <w:r>
        <w:rPr>
          <w:rFonts w:ascii="Arial" w:hAnsi="Arial" w:cs="Arial"/>
          <w:b/>
          <w:sz w:val="26"/>
        </w:rPr>
        <w:t>Dedication</w:t>
      </w:r>
    </w:p>
    <w:p>
      <w:pPr>
        <w:spacing w:after="120" w:before="0" w:line="276" w:lineRule="auto"/>
        <w:jc w:val="center"/>
      </w:pPr>
      <w:r>
        <w:rPr>
          <w:rFonts w:ascii="Times New Roman" w:hAnsi="Times New Roman" w:cs="Times New Roman"/>
          <w:b w:val="0"/>
          <w:i/>
          <w:sz w:val="22"/>
        </w:rPr>
        <w:t>To the patients of India, whose silent metabolic suffering inspired the search for a better diagnostic paradigm; and to the clinicians willing to look beneath the waterline.</w:t>
      </w:r>
    </w:p>
    <w:p>
      <w:r>
        <w:br w:type="page"/>
      </w:r>
    </w:p>
    <w:p>
      <w:pPr>
        <w:keepNext/>
        <w:spacing w:before="240" w:after="120"/>
        <w:jc w:val="left"/>
      </w:pPr>
      <w:r>
        <w:rPr>
          <w:rFonts w:ascii="Arial" w:hAnsi="Arial" w:cs="Arial"/>
          <w:b/>
          <w:sz w:val="26"/>
        </w:rPr>
        <w:t>Foreword</w:t>
      </w:r>
    </w:p>
    <w:p>
      <w:pPr>
        <w:spacing w:after="120" w:before="0" w:line="276" w:lineRule="auto"/>
        <w:jc w:val="both"/>
      </w:pPr>
      <w:r>
        <w:rPr>
          <w:rFonts w:ascii="Times New Roman" w:hAnsi="Times New Roman" w:cs="Times New Roman"/>
          <w:b w:val="0"/>
          <w:i w:val="0"/>
          <w:sz w:val="22"/>
        </w:rPr>
        <w:t>[FOREWORD PLACEHOLDER — to be supplied by the invited author. The foreword should introduce the clinical context of the Indian diabetes epidemic and the rationale for a phenotype-specific approach.]</w:t>
      </w:r>
    </w:p>
    <w:p>
      <w:r>
        <w:br w:type="page"/>
      </w:r>
    </w:p>
    <w:p>
      <w:pPr>
        <w:keepNext/>
        <w:spacing w:before="240" w:after="120"/>
        <w:jc w:val="left"/>
      </w:pPr>
      <w:r>
        <w:rPr>
          <w:rFonts w:ascii="Arial" w:hAnsi="Arial" w:cs="Arial"/>
          <w:b/>
          <w:sz w:val="26"/>
        </w:rPr>
        <w:t>Preface</w:t>
      </w:r>
    </w:p>
    <w:p>
      <w:pPr>
        <w:spacing w:after="120" w:before="0" w:line="276" w:lineRule="auto"/>
        <w:jc w:val="both"/>
      </w:pPr>
      <w:r>
        <w:rPr>
          <w:rFonts w:ascii="Times New Roman" w:hAnsi="Times New Roman" w:cs="Times New Roman"/>
          <w:b w:val="0"/>
          <w:i w:val="0"/>
          <w:sz w:val="22"/>
        </w:rPr>
        <w:t>This book is written for the practising clinician who senses that the standard, glucose-centric model of diabetes care is failing the Indian patient — and who is looking for a coherent, evidence-informed framework to do better.</w:t>
      </w:r>
    </w:p>
    <w:p>
      <w:pPr>
        <w:spacing w:after="120" w:before="0" w:line="276" w:lineRule="auto"/>
        <w:jc w:val="both"/>
      </w:pPr>
      <w:r>
        <w:rPr>
          <w:rFonts w:ascii="Times New Roman" w:hAnsi="Times New Roman" w:cs="Times New Roman"/>
          <w:b w:val="0"/>
          <w:i w:val="0"/>
          <w:sz w:val="22"/>
        </w:rPr>
        <w:t>The Dr. Nehru Method is not a rejection of established medicine. It is an attempt to measure earlier, think upstream, and intervene before irreversible beta cell loss has occurred. Throughout these chapters, India-specific operational thresholds — a HOMA-IR above 2.3 and a TyG Index above 8.82 on the natural log scale — are used as practical decision points, validated in indexed publications from HOMA Healthcare Center, Hyderabad, in 2026.</w:t>
      </w:r>
    </w:p>
    <w:p>
      <w:pPr>
        <w:spacing w:after="120" w:before="0" w:line="276" w:lineRule="auto"/>
        <w:jc w:val="both"/>
      </w:pPr>
      <w:r>
        <w:rPr>
          <w:rFonts w:ascii="Times New Roman" w:hAnsi="Times New Roman" w:cs="Times New Roman"/>
          <w:b w:val="0"/>
          <w:i w:val="0"/>
          <w:sz w:val="22"/>
        </w:rPr>
        <w:t>Where a framework is proposed rather than established by international consensus, this is stated explicitly. The intent is honesty about the strength of evidence, so that the reader can apply clinical judgement with full awareness of what is proven and what is proposed.</w:t>
      </w:r>
    </w:p>
    <w:p>
      <w:r>
        <w:br w:type="page"/>
      </w:r>
    </w:p>
    <w:p>
      <w:pPr>
        <w:keepNext/>
        <w:spacing w:before="240" w:after="120"/>
        <w:jc w:val="left"/>
      </w:pPr>
      <w:r>
        <w:rPr>
          <w:rFonts w:ascii="Arial" w:hAnsi="Arial" w:cs="Arial"/>
          <w:b/>
          <w:sz w:val="26"/>
        </w:rPr>
        <w:t>Acknowledgements</w:t>
      </w:r>
    </w:p>
    <w:p>
      <w:pPr>
        <w:spacing w:after="120" w:before="0" w:line="276" w:lineRule="auto"/>
        <w:jc w:val="both"/>
      </w:pPr>
      <w:r>
        <w:rPr>
          <w:rFonts w:ascii="Times New Roman" w:hAnsi="Times New Roman" w:cs="Times New Roman"/>
          <w:b w:val="0"/>
          <w:i w:val="0"/>
          <w:sz w:val="22"/>
        </w:rPr>
        <w:t>[ACKNOWLEDGEMENTS PLACEHOLDER — to be supplied by the author, recognising co-investigators, the staff of HOMA Healthcare Center, and the patients who consented to anonymised case use.]</w:t>
      </w:r>
    </w:p>
    <w:p>
      <w:r>
        <w:br w:type="page"/>
      </w:r>
    </w:p>
    <w:p>
      <w:pPr>
        <w:keepNext/>
        <w:spacing w:before="240" w:after="120"/>
        <w:jc w:val="left"/>
      </w:pPr>
      <w:r>
        <w:rPr>
          <w:rFonts w:ascii="Arial" w:hAnsi="Arial" w:cs="Arial"/>
          <w:b/>
          <w:sz w:val="26"/>
        </w:rPr>
        <w:t>How to Use This Book</w:t>
      </w:r>
    </w:p>
    <w:p>
      <w:pPr>
        <w:spacing w:after="120" w:before="0" w:line="276" w:lineRule="auto"/>
        <w:jc w:val="both"/>
      </w:pPr>
      <w:r>
        <w:rPr>
          <w:rFonts w:ascii="Times New Roman" w:hAnsi="Times New Roman" w:cs="Times New Roman"/>
          <w:b w:val="0"/>
          <w:i w:val="0"/>
          <w:sz w:val="22"/>
        </w:rPr>
        <w:t>This book is organised into fourteen chapters that move from the failure of the standard paradigm (Chapters 1 and 2), through the mechanisms and measurable drivers of insulin resistance (Chapters 3 to 9), to the organ-level consequences (Chapters 10 and 11), the hormonal modifiers (Chapter 12), and finally to treatment — current and emerging (Chapters 13 and 14).</w:t>
      </w:r>
    </w:p>
    <w:p>
      <w:pPr>
        <w:spacing w:after="120" w:before="0" w:line="276" w:lineRule="auto"/>
        <w:jc w:val="both"/>
      </w:pPr>
      <w:r>
        <w:rPr>
          <w:rFonts w:ascii="Times New Roman" w:hAnsi="Times New Roman" w:cs="Times New Roman"/>
          <w:b w:val="0"/>
          <w:i w:val="0"/>
          <w:sz w:val="22"/>
        </w:rPr>
        <w:t>Each chapter is self-contained and ends with its own reference list, so it can be read in isolation or in sequence. Most chapters conclude with a short set of multiple-choice questions for self-assessment. A clean answer key is provided after each question set.</w:t>
      </w:r>
    </w:p>
    <w:p>
      <w:pPr>
        <w:spacing w:after="120" w:before="0" w:line="276" w:lineRule="auto"/>
        <w:jc w:val="both"/>
      </w:pPr>
      <w:r>
        <w:rPr>
          <w:rFonts w:ascii="Times New Roman" w:hAnsi="Times New Roman" w:cs="Times New Roman"/>
          <w:b w:val="0"/>
          <w:i w:val="0"/>
          <w:sz w:val="22"/>
        </w:rPr>
        <w:t>Recurring quantitative anchors — HOMA-IR above 2.3, TyG above 8.82 on the natural log scale, waist circumference above 90 cm in men and 80 cm in women — appear throughout and are intended as practical, India-specific operational thresholds rather than universal consensus cutoffs.</w:t>
      </w:r>
    </w:p>
    <w:p>
      <w:r>
        <w:br w:type="page"/>
      </w:r>
    </w:p>
    <w:p>
      <w:pPr>
        <w:keepNext/>
        <w:spacing w:before="240" w:after="120"/>
        <w:jc w:val="left"/>
      </w:pPr>
      <w:r>
        <w:rPr>
          <w:rFonts w:ascii="Arial" w:hAnsi="Arial" w:cs="Arial"/>
          <w:b/>
          <w:sz w:val="26"/>
        </w:rPr>
        <w:t>Table of Contents</w:t>
      </w:r>
    </w:p>
    <w:p>
      <w:pPr>
        <w:tabs>
          <w:tab w:pos="6768" w:val="right" w:leader="underscore"/>
        </w:tabs>
        <w:spacing w:after="80"/>
      </w:pPr>
      <w:r>
        <w:rPr>
          <w:rFonts w:ascii="Times New Roman" w:hAnsi="Times New Roman" w:cs="Times New Roman"/>
          <w:sz w:val="22"/>
        </w:rPr>
        <w:t>Chapter 1 — Why Standard Diabetes Care Is Failing India</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2 — The Glucose Iceberg</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3 — The Eight Triggers of Insulin Resistance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4 — Hyperinsulinaemia — The Invisible Driver</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5 — Visceral Obesity, TOFI, and the Indian Paradox</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6 — Proinsulin, C-Peptide and Beta Cell Reserve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7 — TyG Index and Beta Cell Failure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8 — Sarcopenia and Metabolic Disease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9 — The Gut-Liver-Pancreas Axis</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10 — NAFLD, NASH and the Liver</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11 — Atherogenic Dyslipidaemia</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12 — Hormonal Drivers of Insulin Resistance</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13 — Precision Pharmacotherapy</w:t>
      </w:r>
      <w:r>
        <w:rPr>
          <w:rFonts w:ascii="Times New Roman" w:hAnsi="Times New Roman" w:cs="Times New Roman"/>
          <w:sz w:val="22"/>
        </w:rPr>
        <w:tab/>
      </w:r>
      <w:r>
        <w:rPr>
          <w:rFonts w:ascii="Times New Roman" w:hAnsi="Times New Roman" w:cs="Times New Roman"/>
          <w:sz w:val="22"/>
        </w:rPr>
        <w:t>—</w:t>
      </w:r>
    </w:p>
    <w:p>
      <w:pPr>
        <w:tabs>
          <w:tab w:pos="6768" w:val="right" w:leader="underscore"/>
        </w:tabs>
        <w:spacing w:after="80"/>
      </w:pPr>
      <w:r>
        <w:rPr>
          <w:rFonts w:ascii="Times New Roman" w:hAnsi="Times New Roman" w:cs="Times New Roman"/>
          <w:sz w:val="22"/>
        </w:rPr>
        <w:t>Chapter 14 — Pipeline Drugs and Emerging Therapies</w:t>
      </w:r>
      <w:r>
        <w:rPr>
          <w:rFonts w:ascii="Times New Roman" w:hAnsi="Times New Roman" w:cs="Times New Roman"/>
          <w:sz w:val="22"/>
        </w:rPr>
        <w:tab/>
      </w:r>
      <w:r>
        <w:rPr>
          <w:rFonts w:ascii="Times New Roman" w:hAnsi="Times New Roman" w:cs="Times New Roman"/>
          <w:sz w:val="22"/>
        </w:rPr>
        <w:t>—</w:t>
      </w:r>
    </w:p>
    <w:p>
      <w:r>
        <w:br w:type="page"/>
      </w:r>
    </w:p>
    <w:p>
      <w:pPr>
        <w:keepNext/>
        <w:spacing w:before="240" w:after="120"/>
        <w:jc w:val="left"/>
      </w:pPr>
      <w:r>
        <w:rPr>
          <w:rFonts w:ascii="Arial" w:hAnsi="Arial" w:cs="Arial"/>
          <w:b/>
          <w:sz w:val="26"/>
        </w:rPr>
        <w:t>Abbreviations</w:t>
      </w:r>
    </w:p>
    <w:tbl>
      <w:tblPr>
        <w:tblW w:type="auto" w:w="0"/>
        <w:tblLayout w:type="autofit"/>
        <w:tblLook w:firstColumn="1" w:firstRow="1" w:lastColumn="0" w:lastRow="0" w:noHBand="0" w:noVBand="1" w:val="04A0"/>
      </w:tblPr>
      <w:tblGrid>
        <w:gridCol w:w="3420"/>
        <w:gridCol w:w="3420"/>
      </w:tblGrid>
      <w:tr>
        <w:tc>
          <w:tcPr>
            <w:tcW w:type="dxa" w:w="3420"/>
          </w:tcPr>
          <w:p>
            <w:r/>
            <w:r>
              <w:rPr>
                <w:rFonts w:ascii="Times New Roman" w:hAnsi="Times New Roman" w:cs="Times New Roman"/>
                <w:b/>
                <w:sz w:val="20"/>
              </w:rPr>
              <w:t>AWGS</w:t>
            </w:r>
          </w:p>
        </w:tc>
        <w:tc>
          <w:tcPr>
            <w:tcW w:type="dxa" w:w="3420"/>
          </w:tcPr>
          <w:p>
            <w:r/>
            <w:r>
              <w:rPr>
                <w:rFonts w:ascii="Times New Roman" w:hAnsi="Times New Roman" w:cs="Times New Roman"/>
                <w:sz w:val="20"/>
              </w:rPr>
              <w:t>Asian Working Group for Sarcopenia</w:t>
            </w:r>
          </w:p>
        </w:tc>
      </w:tr>
      <w:tr>
        <w:tc>
          <w:tcPr>
            <w:tcW w:type="dxa" w:w="3420"/>
          </w:tcPr>
          <w:p>
            <w:r/>
            <w:r>
              <w:rPr>
                <w:rFonts w:ascii="Times New Roman" w:hAnsi="Times New Roman" w:cs="Times New Roman"/>
                <w:b/>
                <w:sz w:val="20"/>
              </w:rPr>
              <w:t>BCAA</w:t>
            </w:r>
          </w:p>
        </w:tc>
        <w:tc>
          <w:tcPr>
            <w:tcW w:type="dxa" w:w="3420"/>
          </w:tcPr>
          <w:p>
            <w:r/>
            <w:r>
              <w:rPr>
                <w:rFonts w:ascii="Times New Roman" w:hAnsi="Times New Roman" w:cs="Times New Roman"/>
                <w:sz w:val="20"/>
              </w:rPr>
              <w:t>Branched-Chain Amino Acid</w:t>
            </w:r>
          </w:p>
        </w:tc>
      </w:tr>
      <w:tr>
        <w:tc>
          <w:tcPr>
            <w:tcW w:type="dxa" w:w="3420"/>
          </w:tcPr>
          <w:p>
            <w:r/>
            <w:r>
              <w:rPr>
                <w:rFonts w:ascii="Times New Roman" w:hAnsi="Times New Roman" w:cs="Times New Roman"/>
                <w:b/>
                <w:sz w:val="20"/>
              </w:rPr>
              <w:t>BIA</w:t>
            </w:r>
          </w:p>
        </w:tc>
        <w:tc>
          <w:tcPr>
            <w:tcW w:type="dxa" w:w="3420"/>
          </w:tcPr>
          <w:p>
            <w:r/>
            <w:r>
              <w:rPr>
                <w:rFonts w:ascii="Times New Roman" w:hAnsi="Times New Roman" w:cs="Times New Roman"/>
                <w:sz w:val="20"/>
              </w:rPr>
              <w:t>Bioelectrical Impedance Analysis</w:t>
            </w:r>
          </w:p>
        </w:tc>
      </w:tr>
      <w:tr>
        <w:tc>
          <w:tcPr>
            <w:tcW w:type="dxa" w:w="3420"/>
          </w:tcPr>
          <w:p>
            <w:r/>
            <w:r>
              <w:rPr>
                <w:rFonts w:ascii="Times New Roman" w:hAnsi="Times New Roman" w:cs="Times New Roman"/>
                <w:b/>
                <w:sz w:val="20"/>
              </w:rPr>
              <w:t>BMI</w:t>
            </w:r>
          </w:p>
        </w:tc>
        <w:tc>
          <w:tcPr>
            <w:tcW w:type="dxa" w:w="3420"/>
          </w:tcPr>
          <w:p>
            <w:r/>
            <w:r>
              <w:rPr>
                <w:rFonts w:ascii="Times New Roman" w:hAnsi="Times New Roman" w:cs="Times New Roman"/>
                <w:sz w:val="20"/>
              </w:rPr>
              <w:t>Body Mass Index</w:t>
            </w:r>
          </w:p>
        </w:tc>
      </w:tr>
      <w:tr>
        <w:tc>
          <w:tcPr>
            <w:tcW w:type="dxa" w:w="3420"/>
          </w:tcPr>
          <w:p>
            <w:r/>
            <w:r>
              <w:rPr>
                <w:rFonts w:ascii="Times New Roman" w:hAnsi="Times New Roman" w:cs="Times New Roman"/>
                <w:b/>
                <w:sz w:val="20"/>
              </w:rPr>
              <w:t>CVD</w:t>
            </w:r>
          </w:p>
        </w:tc>
        <w:tc>
          <w:tcPr>
            <w:tcW w:type="dxa" w:w="3420"/>
          </w:tcPr>
          <w:p>
            <w:r/>
            <w:r>
              <w:rPr>
                <w:rFonts w:ascii="Times New Roman" w:hAnsi="Times New Roman" w:cs="Times New Roman"/>
                <w:sz w:val="20"/>
              </w:rPr>
              <w:t>Cardiovascular Disease</w:t>
            </w:r>
          </w:p>
        </w:tc>
      </w:tr>
      <w:tr>
        <w:tc>
          <w:tcPr>
            <w:tcW w:type="dxa" w:w="3420"/>
          </w:tcPr>
          <w:p>
            <w:r/>
            <w:r>
              <w:rPr>
                <w:rFonts w:ascii="Times New Roman" w:hAnsi="Times New Roman" w:cs="Times New Roman"/>
                <w:b/>
                <w:sz w:val="20"/>
              </w:rPr>
              <w:t>DEXA</w:t>
            </w:r>
          </w:p>
        </w:tc>
        <w:tc>
          <w:tcPr>
            <w:tcW w:type="dxa" w:w="3420"/>
          </w:tcPr>
          <w:p>
            <w:r/>
            <w:r>
              <w:rPr>
                <w:rFonts w:ascii="Times New Roman" w:hAnsi="Times New Roman" w:cs="Times New Roman"/>
                <w:sz w:val="20"/>
              </w:rPr>
              <w:t>Dual-Energy X-ray Absorptiometry</w:t>
            </w:r>
          </w:p>
        </w:tc>
      </w:tr>
      <w:tr>
        <w:tc>
          <w:tcPr>
            <w:tcW w:type="dxa" w:w="3420"/>
          </w:tcPr>
          <w:p>
            <w:r/>
            <w:r>
              <w:rPr>
                <w:rFonts w:ascii="Times New Roman" w:hAnsi="Times New Roman" w:cs="Times New Roman"/>
                <w:b/>
                <w:sz w:val="20"/>
              </w:rPr>
              <w:t>FCPGR</w:t>
            </w:r>
          </w:p>
        </w:tc>
        <w:tc>
          <w:tcPr>
            <w:tcW w:type="dxa" w:w="3420"/>
          </w:tcPr>
          <w:p>
            <w:r/>
            <w:r>
              <w:rPr>
                <w:rFonts w:ascii="Times New Roman" w:hAnsi="Times New Roman" w:cs="Times New Roman"/>
                <w:sz w:val="20"/>
              </w:rPr>
              <w:t>Fasting C-Peptide to Glucose Ratio</w:t>
            </w:r>
          </w:p>
        </w:tc>
      </w:tr>
      <w:tr>
        <w:tc>
          <w:tcPr>
            <w:tcW w:type="dxa" w:w="3420"/>
          </w:tcPr>
          <w:p>
            <w:r/>
            <w:r>
              <w:rPr>
                <w:rFonts w:ascii="Times New Roman" w:hAnsi="Times New Roman" w:cs="Times New Roman"/>
                <w:b/>
                <w:sz w:val="20"/>
              </w:rPr>
              <w:t>FPG</w:t>
            </w:r>
          </w:p>
        </w:tc>
        <w:tc>
          <w:tcPr>
            <w:tcW w:type="dxa" w:w="3420"/>
          </w:tcPr>
          <w:p>
            <w:r/>
            <w:r>
              <w:rPr>
                <w:rFonts w:ascii="Times New Roman" w:hAnsi="Times New Roman" w:cs="Times New Roman"/>
                <w:sz w:val="20"/>
              </w:rPr>
              <w:t>Fasting Plasma Glucose</w:t>
            </w:r>
          </w:p>
        </w:tc>
      </w:tr>
      <w:tr>
        <w:tc>
          <w:tcPr>
            <w:tcW w:type="dxa" w:w="3420"/>
          </w:tcPr>
          <w:p>
            <w:r/>
            <w:r>
              <w:rPr>
                <w:rFonts w:ascii="Times New Roman" w:hAnsi="Times New Roman" w:cs="Times New Roman"/>
                <w:b/>
                <w:sz w:val="20"/>
              </w:rPr>
              <w:t>GLP-1</w:t>
            </w:r>
          </w:p>
        </w:tc>
        <w:tc>
          <w:tcPr>
            <w:tcW w:type="dxa" w:w="3420"/>
          </w:tcPr>
          <w:p>
            <w:r/>
            <w:r>
              <w:rPr>
                <w:rFonts w:ascii="Times New Roman" w:hAnsi="Times New Roman" w:cs="Times New Roman"/>
                <w:sz w:val="20"/>
              </w:rPr>
              <w:t>Glucagon-Like Peptide-1</w:t>
            </w:r>
          </w:p>
        </w:tc>
      </w:tr>
      <w:tr>
        <w:tc>
          <w:tcPr>
            <w:tcW w:type="dxa" w:w="3420"/>
          </w:tcPr>
          <w:p>
            <w:r/>
            <w:r>
              <w:rPr>
                <w:rFonts w:ascii="Times New Roman" w:hAnsi="Times New Roman" w:cs="Times New Roman"/>
                <w:b/>
                <w:sz w:val="20"/>
              </w:rPr>
              <w:t>HbA1c</w:t>
            </w:r>
          </w:p>
        </w:tc>
        <w:tc>
          <w:tcPr>
            <w:tcW w:type="dxa" w:w="3420"/>
          </w:tcPr>
          <w:p>
            <w:r/>
            <w:r>
              <w:rPr>
                <w:rFonts w:ascii="Times New Roman" w:hAnsi="Times New Roman" w:cs="Times New Roman"/>
                <w:sz w:val="20"/>
              </w:rPr>
              <w:t>Glycated Haemoglobin</w:t>
            </w:r>
          </w:p>
        </w:tc>
      </w:tr>
      <w:tr>
        <w:tc>
          <w:tcPr>
            <w:tcW w:type="dxa" w:w="3420"/>
          </w:tcPr>
          <w:p>
            <w:r/>
            <w:r>
              <w:rPr>
                <w:rFonts w:ascii="Times New Roman" w:hAnsi="Times New Roman" w:cs="Times New Roman"/>
                <w:b/>
                <w:sz w:val="20"/>
              </w:rPr>
              <w:t>HDL</w:t>
            </w:r>
          </w:p>
        </w:tc>
        <w:tc>
          <w:tcPr>
            <w:tcW w:type="dxa" w:w="3420"/>
          </w:tcPr>
          <w:p>
            <w:r/>
            <w:r>
              <w:rPr>
                <w:rFonts w:ascii="Times New Roman" w:hAnsi="Times New Roman" w:cs="Times New Roman"/>
                <w:sz w:val="20"/>
              </w:rPr>
              <w:t>High-Density Lipoprotein</w:t>
            </w:r>
          </w:p>
        </w:tc>
      </w:tr>
      <w:tr>
        <w:tc>
          <w:tcPr>
            <w:tcW w:type="dxa" w:w="3420"/>
          </w:tcPr>
          <w:p>
            <w:r/>
            <w:r>
              <w:rPr>
                <w:rFonts w:ascii="Times New Roman" w:hAnsi="Times New Roman" w:cs="Times New Roman"/>
                <w:b/>
                <w:sz w:val="20"/>
              </w:rPr>
              <w:t>HOMA-IR</w:t>
            </w:r>
          </w:p>
        </w:tc>
        <w:tc>
          <w:tcPr>
            <w:tcW w:type="dxa" w:w="3420"/>
          </w:tcPr>
          <w:p>
            <w:r/>
            <w:r>
              <w:rPr>
                <w:rFonts w:ascii="Times New Roman" w:hAnsi="Times New Roman" w:cs="Times New Roman"/>
                <w:sz w:val="20"/>
              </w:rPr>
              <w:t>Homeostatic Model Assessment of Insulin Resistance</w:t>
            </w:r>
          </w:p>
        </w:tc>
      </w:tr>
      <w:tr>
        <w:tc>
          <w:tcPr>
            <w:tcW w:type="dxa" w:w="3420"/>
          </w:tcPr>
          <w:p>
            <w:r/>
            <w:r>
              <w:rPr>
                <w:rFonts w:ascii="Times New Roman" w:hAnsi="Times New Roman" w:cs="Times New Roman"/>
                <w:b/>
                <w:sz w:val="20"/>
              </w:rPr>
              <w:t>IGF-1</w:t>
            </w:r>
          </w:p>
        </w:tc>
        <w:tc>
          <w:tcPr>
            <w:tcW w:type="dxa" w:w="3420"/>
          </w:tcPr>
          <w:p>
            <w:r/>
            <w:r>
              <w:rPr>
                <w:rFonts w:ascii="Times New Roman" w:hAnsi="Times New Roman" w:cs="Times New Roman"/>
                <w:sz w:val="20"/>
              </w:rPr>
              <w:t>Insulin-Like Growth Factor-1</w:t>
            </w:r>
          </w:p>
        </w:tc>
      </w:tr>
      <w:tr>
        <w:tc>
          <w:tcPr>
            <w:tcW w:type="dxa" w:w="3420"/>
          </w:tcPr>
          <w:p>
            <w:r/>
            <w:r>
              <w:rPr>
                <w:rFonts w:ascii="Times New Roman" w:hAnsi="Times New Roman" w:cs="Times New Roman"/>
                <w:b/>
                <w:sz w:val="20"/>
              </w:rPr>
              <w:t>IR</w:t>
            </w:r>
          </w:p>
        </w:tc>
        <w:tc>
          <w:tcPr>
            <w:tcW w:type="dxa" w:w="3420"/>
          </w:tcPr>
          <w:p>
            <w:r/>
            <w:r>
              <w:rPr>
                <w:rFonts w:ascii="Times New Roman" w:hAnsi="Times New Roman" w:cs="Times New Roman"/>
                <w:sz w:val="20"/>
              </w:rPr>
              <w:t>Insulin Resistance</w:t>
            </w:r>
          </w:p>
        </w:tc>
      </w:tr>
      <w:tr>
        <w:tc>
          <w:tcPr>
            <w:tcW w:type="dxa" w:w="3420"/>
          </w:tcPr>
          <w:p>
            <w:r/>
            <w:r>
              <w:rPr>
                <w:rFonts w:ascii="Times New Roman" w:hAnsi="Times New Roman" w:cs="Times New Roman"/>
                <w:b/>
                <w:sz w:val="20"/>
              </w:rPr>
              <w:t>LDL</w:t>
            </w:r>
          </w:p>
        </w:tc>
        <w:tc>
          <w:tcPr>
            <w:tcW w:type="dxa" w:w="3420"/>
          </w:tcPr>
          <w:p>
            <w:r/>
            <w:r>
              <w:rPr>
                <w:rFonts w:ascii="Times New Roman" w:hAnsi="Times New Roman" w:cs="Times New Roman"/>
                <w:sz w:val="20"/>
              </w:rPr>
              <w:t>Low-Density Lipoprotein</w:t>
            </w:r>
          </w:p>
        </w:tc>
      </w:tr>
      <w:tr>
        <w:tc>
          <w:tcPr>
            <w:tcW w:type="dxa" w:w="3420"/>
          </w:tcPr>
          <w:p>
            <w:r/>
            <w:r>
              <w:rPr>
                <w:rFonts w:ascii="Times New Roman" w:hAnsi="Times New Roman" w:cs="Times New Roman"/>
                <w:b/>
                <w:sz w:val="20"/>
              </w:rPr>
              <w:t>MASH</w:t>
            </w:r>
          </w:p>
        </w:tc>
        <w:tc>
          <w:tcPr>
            <w:tcW w:type="dxa" w:w="3420"/>
          </w:tcPr>
          <w:p>
            <w:r/>
            <w:r>
              <w:rPr>
                <w:rFonts w:ascii="Times New Roman" w:hAnsi="Times New Roman" w:cs="Times New Roman"/>
                <w:sz w:val="20"/>
              </w:rPr>
              <w:t>Metabolic Dysfunction-Associated Steatohepatitis</w:t>
            </w:r>
          </w:p>
        </w:tc>
      </w:tr>
      <w:tr>
        <w:tc>
          <w:tcPr>
            <w:tcW w:type="dxa" w:w="3420"/>
          </w:tcPr>
          <w:p>
            <w:r/>
            <w:r>
              <w:rPr>
                <w:rFonts w:ascii="Times New Roman" w:hAnsi="Times New Roman" w:cs="Times New Roman"/>
                <w:b/>
                <w:sz w:val="20"/>
              </w:rPr>
              <w:t>MASLD</w:t>
            </w:r>
          </w:p>
        </w:tc>
        <w:tc>
          <w:tcPr>
            <w:tcW w:type="dxa" w:w="3420"/>
          </w:tcPr>
          <w:p>
            <w:r/>
            <w:r>
              <w:rPr>
                <w:rFonts w:ascii="Times New Roman" w:hAnsi="Times New Roman" w:cs="Times New Roman"/>
                <w:sz w:val="20"/>
              </w:rPr>
              <w:t>Metabolic Dysfunction-Associated Steatotic Liver Disease</w:t>
            </w:r>
          </w:p>
        </w:tc>
      </w:tr>
      <w:tr>
        <w:tc>
          <w:tcPr>
            <w:tcW w:type="dxa" w:w="3420"/>
          </w:tcPr>
          <w:p>
            <w:r/>
            <w:r>
              <w:rPr>
                <w:rFonts w:ascii="Times New Roman" w:hAnsi="Times New Roman" w:cs="Times New Roman"/>
                <w:b/>
                <w:sz w:val="20"/>
              </w:rPr>
              <w:t>NAFLD</w:t>
            </w:r>
          </w:p>
        </w:tc>
        <w:tc>
          <w:tcPr>
            <w:tcW w:type="dxa" w:w="3420"/>
          </w:tcPr>
          <w:p>
            <w:r/>
            <w:r>
              <w:rPr>
                <w:rFonts w:ascii="Times New Roman" w:hAnsi="Times New Roman" w:cs="Times New Roman"/>
                <w:sz w:val="20"/>
              </w:rPr>
              <w:t>Non-Alcoholic Fatty Liver Disease</w:t>
            </w:r>
          </w:p>
        </w:tc>
      </w:tr>
      <w:tr>
        <w:tc>
          <w:tcPr>
            <w:tcW w:type="dxa" w:w="3420"/>
          </w:tcPr>
          <w:p>
            <w:r/>
            <w:r>
              <w:rPr>
                <w:rFonts w:ascii="Times New Roman" w:hAnsi="Times New Roman" w:cs="Times New Roman"/>
                <w:b/>
                <w:sz w:val="20"/>
              </w:rPr>
              <w:t>NASH</w:t>
            </w:r>
          </w:p>
        </w:tc>
        <w:tc>
          <w:tcPr>
            <w:tcW w:type="dxa" w:w="3420"/>
          </w:tcPr>
          <w:p>
            <w:r/>
            <w:r>
              <w:rPr>
                <w:rFonts w:ascii="Times New Roman" w:hAnsi="Times New Roman" w:cs="Times New Roman"/>
                <w:sz w:val="20"/>
              </w:rPr>
              <w:t>Non-Alcoholic Steatohepatitis</w:t>
            </w:r>
          </w:p>
        </w:tc>
      </w:tr>
      <w:tr>
        <w:tc>
          <w:tcPr>
            <w:tcW w:type="dxa" w:w="3420"/>
          </w:tcPr>
          <w:p>
            <w:r/>
            <w:r>
              <w:rPr>
                <w:rFonts w:ascii="Times New Roman" w:hAnsi="Times New Roman" w:cs="Times New Roman"/>
                <w:b/>
                <w:sz w:val="20"/>
              </w:rPr>
              <w:t>NEFA</w:t>
            </w:r>
          </w:p>
        </w:tc>
        <w:tc>
          <w:tcPr>
            <w:tcW w:type="dxa" w:w="3420"/>
          </w:tcPr>
          <w:p>
            <w:r/>
            <w:r>
              <w:rPr>
                <w:rFonts w:ascii="Times New Roman" w:hAnsi="Times New Roman" w:cs="Times New Roman"/>
                <w:sz w:val="20"/>
              </w:rPr>
              <w:t>Non-Esterified Fatty Acid</w:t>
            </w:r>
          </w:p>
        </w:tc>
      </w:tr>
      <w:tr>
        <w:tc>
          <w:tcPr>
            <w:tcW w:type="dxa" w:w="3420"/>
          </w:tcPr>
          <w:p>
            <w:r/>
            <w:r>
              <w:rPr>
                <w:rFonts w:ascii="Times New Roman" w:hAnsi="Times New Roman" w:cs="Times New Roman"/>
                <w:b/>
                <w:sz w:val="20"/>
              </w:rPr>
              <w:t>NWCO</w:t>
            </w:r>
          </w:p>
        </w:tc>
        <w:tc>
          <w:tcPr>
            <w:tcW w:type="dxa" w:w="3420"/>
          </w:tcPr>
          <w:p>
            <w:r/>
            <w:r>
              <w:rPr>
                <w:rFonts w:ascii="Times New Roman" w:hAnsi="Times New Roman" w:cs="Times New Roman"/>
                <w:sz w:val="20"/>
              </w:rPr>
              <w:t>Normal Weight Central Obesity</w:t>
            </w:r>
          </w:p>
        </w:tc>
      </w:tr>
      <w:tr>
        <w:tc>
          <w:tcPr>
            <w:tcW w:type="dxa" w:w="3420"/>
          </w:tcPr>
          <w:p>
            <w:r/>
            <w:r>
              <w:rPr>
                <w:rFonts w:ascii="Times New Roman" w:hAnsi="Times New Roman" w:cs="Times New Roman"/>
                <w:b/>
                <w:sz w:val="20"/>
              </w:rPr>
              <w:t>PCOS</w:t>
            </w:r>
          </w:p>
        </w:tc>
        <w:tc>
          <w:tcPr>
            <w:tcW w:type="dxa" w:w="3420"/>
          </w:tcPr>
          <w:p>
            <w:r/>
            <w:r>
              <w:rPr>
                <w:rFonts w:ascii="Times New Roman" w:hAnsi="Times New Roman" w:cs="Times New Roman"/>
                <w:sz w:val="20"/>
              </w:rPr>
              <w:t>Polycystic Ovary Syndrome</w:t>
            </w:r>
          </w:p>
        </w:tc>
      </w:tr>
      <w:tr>
        <w:tc>
          <w:tcPr>
            <w:tcW w:type="dxa" w:w="3420"/>
          </w:tcPr>
          <w:p>
            <w:r/>
            <w:r>
              <w:rPr>
                <w:rFonts w:ascii="Times New Roman" w:hAnsi="Times New Roman" w:cs="Times New Roman"/>
                <w:b/>
                <w:sz w:val="20"/>
              </w:rPr>
              <w:t>SAT</w:t>
            </w:r>
          </w:p>
        </w:tc>
        <w:tc>
          <w:tcPr>
            <w:tcW w:type="dxa" w:w="3420"/>
          </w:tcPr>
          <w:p>
            <w:r/>
            <w:r>
              <w:rPr>
                <w:rFonts w:ascii="Times New Roman" w:hAnsi="Times New Roman" w:cs="Times New Roman"/>
                <w:sz w:val="20"/>
              </w:rPr>
              <w:t>Subcutaneous Adipose Tissue</w:t>
            </w:r>
          </w:p>
        </w:tc>
      </w:tr>
      <w:tr>
        <w:tc>
          <w:tcPr>
            <w:tcW w:type="dxa" w:w="3420"/>
          </w:tcPr>
          <w:p>
            <w:r/>
            <w:r>
              <w:rPr>
                <w:rFonts w:ascii="Times New Roman" w:hAnsi="Times New Roman" w:cs="Times New Roman"/>
                <w:b/>
                <w:sz w:val="20"/>
              </w:rPr>
              <w:t>SHBG</w:t>
            </w:r>
          </w:p>
        </w:tc>
        <w:tc>
          <w:tcPr>
            <w:tcW w:type="dxa" w:w="3420"/>
          </w:tcPr>
          <w:p>
            <w:r/>
            <w:r>
              <w:rPr>
                <w:rFonts w:ascii="Times New Roman" w:hAnsi="Times New Roman" w:cs="Times New Roman"/>
                <w:sz w:val="20"/>
              </w:rPr>
              <w:t>Sex Hormone-Binding Globulin</w:t>
            </w:r>
          </w:p>
        </w:tc>
      </w:tr>
      <w:tr>
        <w:tc>
          <w:tcPr>
            <w:tcW w:type="dxa" w:w="3420"/>
          </w:tcPr>
          <w:p>
            <w:r/>
            <w:r>
              <w:rPr>
                <w:rFonts w:ascii="Times New Roman" w:hAnsi="Times New Roman" w:cs="Times New Roman"/>
                <w:b/>
                <w:sz w:val="20"/>
              </w:rPr>
              <w:t>T2DM</w:t>
            </w:r>
          </w:p>
        </w:tc>
        <w:tc>
          <w:tcPr>
            <w:tcW w:type="dxa" w:w="3420"/>
          </w:tcPr>
          <w:p>
            <w:r/>
            <w:r>
              <w:rPr>
                <w:rFonts w:ascii="Times New Roman" w:hAnsi="Times New Roman" w:cs="Times New Roman"/>
                <w:sz w:val="20"/>
              </w:rPr>
              <w:t>Type 2 Diabetes Mellitus</w:t>
            </w:r>
          </w:p>
        </w:tc>
      </w:tr>
      <w:tr>
        <w:tc>
          <w:tcPr>
            <w:tcW w:type="dxa" w:w="3420"/>
          </w:tcPr>
          <w:p>
            <w:r/>
            <w:r>
              <w:rPr>
                <w:rFonts w:ascii="Times New Roman" w:hAnsi="Times New Roman" w:cs="Times New Roman"/>
                <w:b/>
                <w:sz w:val="20"/>
              </w:rPr>
              <w:t>TOFI</w:t>
            </w:r>
          </w:p>
        </w:tc>
        <w:tc>
          <w:tcPr>
            <w:tcW w:type="dxa" w:w="3420"/>
          </w:tcPr>
          <w:p>
            <w:r/>
            <w:r>
              <w:rPr>
                <w:rFonts w:ascii="Times New Roman" w:hAnsi="Times New Roman" w:cs="Times New Roman"/>
                <w:sz w:val="20"/>
              </w:rPr>
              <w:t>Thin Outside, Fat Inside</w:t>
            </w:r>
          </w:p>
        </w:tc>
      </w:tr>
      <w:tr>
        <w:tc>
          <w:tcPr>
            <w:tcW w:type="dxa" w:w="3420"/>
          </w:tcPr>
          <w:p>
            <w:r/>
            <w:r>
              <w:rPr>
                <w:rFonts w:ascii="Times New Roman" w:hAnsi="Times New Roman" w:cs="Times New Roman"/>
                <w:b/>
                <w:sz w:val="20"/>
              </w:rPr>
              <w:t>TyG</w:t>
            </w:r>
          </w:p>
        </w:tc>
        <w:tc>
          <w:tcPr>
            <w:tcW w:type="dxa" w:w="3420"/>
          </w:tcPr>
          <w:p>
            <w:r/>
            <w:r>
              <w:rPr>
                <w:rFonts w:ascii="Times New Roman" w:hAnsi="Times New Roman" w:cs="Times New Roman"/>
                <w:sz w:val="20"/>
              </w:rPr>
              <w:t>Triglyceride-Glucose Index</w:t>
            </w:r>
          </w:p>
        </w:tc>
      </w:tr>
      <w:tr>
        <w:tc>
          <w:tcPr>
            <w:tcW w:type="dxa" w:w="3420"/>
          </w:tcPr>
          <w:p>
            <w:r/>
            <w:r>
              <w:rPr>
                <w:rFonts w:ascii="Times New Roman" w:hAnsi="Times New Roman" w:cs="Times New Roman"/>
                <w:b/>
                <w:sz w:val="20"/>
              </w:rPr>
              <w:t>VAT</w:t>
            </w:r>
          </w:p>
        </w:tc>
        <w:tc>
          <w:tcPr>
            <w:tcW w:type="dxa" w:w="3420"/>
          </w:tcPr>
          <w:p>
            <w:r/>
            <w:r>
              <w:rPr>
                <w:rFonts w:ascii="Times New Roman" w:hAnsi="Times New Roman" w:cs="Times New Roman"/>
                <w:sz w:val="20"/>
              </w:rPr>
              <w:t>Visceral Adipose Tissue</w:t>
            </w:r>
          </w:p>
        </w:tc>
      </w:tr>
      <w:tr>
        <w:tc>
          <w:tcPr>
            <w:tcW w:type="dxa" w:w="3420"/>
          </w:tcPr>
          <w:p>
            <w:r/>
            <w:r>
              <w:rPr>
                <w:rFonts w:ascii="Times New Roman" w:hAnsi="Times New Roman" w:cs="Times New Roman"/>
                <w:b/>
                <w:sz w:val="20"/>
              </w:rPr>
              <w:t>VLDL</w:t>
            </w:r>
          </w:p>
        </w:tc>
        <w:tc>
          <w:tcPr>
            <w:tcW w:type="dxa" w:w="3420"/>
          </w:tcPr>
          <w:p>
            <w:r/>
            <w:r>
              <w:rPr>
                <w:rFonts w:ascii="Times New Roman" w:hAnsi="Times New Roman" w:cs="Times New Roman"/>
                <w:sz w:val="20"/>
              </w:rPr>
              <w:t>Very Low-Density Lipoprotein</w:t>
            </w:r>
          </w:p>
        </w:tc>
      </w:tr>
      <w:tr>
        <w:tc>
          <w:tcPr>
            <w:tcW w:type="dxa" w:w="3420"/>
          </w:tcPr>
          <w:p>
            <w:r/>
            <w:r>
              <w:rPr>
                <w:rFonts w:ascii="Times New Roman" w:hAnsi="Times New Roman" w:cs="Times New Roman"/>
                <w:b/>
                <w:sz w:val="20"/>
              </w:rPr>
              <w:t>WC</w:t>
            </w:r>
          </w:p>
        </w:tc>
        <w:tc>
          <w:tcPr>
            <w:tcW w:type="dxa" w:w="3420"/>
          </w:tcPr>
          <w:p>
            <w:r/>
            <w:r>
              <w:rPr>
                <w:rFonts w:ascii="Times New Roman" w:hAnsi="Times New Roman" w:cs="Times New Roman"/>
                <w:sz w:val="20"/>
              </w:rPr>
              <w:t>Waist Circumference</w:t>
            </w:r>
          </w:p>
        </w:tc>
      </w:tr>
    </w:tbl>
    <w:p>
      <w:pPr>
        <w:sectPr>
          <w:pgSz w:w="8640" w:h="12960"/>
          <w:pgMar w:top="1080" w:right="720" w:bottom="1080" w:left="1080" w:header="720" w:footer="720" w:gutter="0"/>
          <w:cols w:space="720"/>
          <w:docGrid w:linePitch="360"/>
        </w:sectPr>
      </w:pPr>
    </w:p>
    <w:p>
      <w:pPr>
        <w:jc w:val="left"/>
      </w:pPr>
      <w:r>
        <w:rPr>
          <w:rFonts w:ascii="Arial" w:hAnsi="Arial" w:cs="Arial"/>
          <w:b/>
          <w:sz w:val="26"/>
        </w:rPr>
        <w:t>CHAPTER 1</w:t>
      </w:r>
    </w:p>
    <w:p>
      <w:pPr>
        <w:keepNext/>
        <w:spacing w:before="360" w:after="120"/>
        <w:jc w:val="left"/>
      </w:pPr>
      <w:r>
        <w:rPr>
          <w:rFonts w:ascii="Arial" w:hAnsi="Arial" w:cs="Arial"/>
          <w:b/>
          <w:sz w:val="32"/>
        </w:rPr>
        <w:t>Why Standard Diabetes Care Is Failing India</w:t>
      </w:r>
    </w:p>
    <w:p>
      <w:pPr>
        <w:keepNext/>
        <w:spacing w:before="240" w:after="120"/>
        <w:jc w:val="left"/>
      </w:pPr>
      <w:r>
        <w:rPr>
          <w:rFonts w:ascii="Arial" w:hAnsi="Arial" w:cs="Arial"/>
          <w:b/>
          <w:sz w:val="26"/>
        </w:rPr>
        <w:t>The Illusion of Control</w:t>
      </w:r>
    </w:p>
    <w:p>
      <w:pPr>
        <w:spacing w:before="160" w:after="40"/>
        <w:jc w:val="center"/>
      </w:pPr>
      <w:r>
        <w:drawing>
          <wp:inline xmlns:a="http://schemas.openxmlformats.org/drawingml/2006/main" xmlns:pic="http://schemas.openxmlformats.org/drawingml/2006/picture">
            <wp:extent cx="3657600" cy="2057400"/>
            <wp:docPr id="1" name="Picture 1"/>
            <wp:cNvGraphicFramePr>
              <a:graphicFrameLocks noChangeAspect="1"/>
            </wp:cNvGraphicFramePr>
            <a:graphic>
              <a:graphicData uri="http://schemas.openxmlformats.org/drawingml/2006/picture">
                <pic:pic>
                  <pic:nvPicPr>
                    <pic:cNvPr id="0" name="tmp0xli4xo6.jpg"/>
                    <pic:cNvPicPr/>
                  </pic:nvPicPr>
                  <pic:blipFill>
                    <a:blip r:embed="rId11"/>
                    <a:stretch>
                      <a:fillRect/>
                    </a:stretch>
                  </pic:blipFill>
                  <pic:spPr>
                    <a:xfrm>
                      <a:off x="0" y="0"/>
                      <a:ext cx="3657600" cy="2057400"/>
                    </a:xfrm>
                    <a:prstGeom prst="rect"/>
                  </pic:spPr>
                </pic:pic>
              </a:graphicData>
            </a:graphic>
          </wp:inline>
        </w:drawing>
      </w:r>
    </w:p>
    <w:p>
      <w:pPr>
        <w:spacing w:before="120" w:after="120"/>
        <w:ind w:left="432" w:right="432"/>
        <w:jc w:val="left"/>
      </w:pPr>
      <w:r>
        <w:rPr>
          <w:rFonts w:ascii="Times New Roman" w:hAnsi="Times New Roman" w:cs="Times New Roman"/>
          <w:b/>
          <w:i/>
          <w:sz w:val="22"/>
        </w:rPr>
        <w:t>Figure 1.1 — The Glucose Iceberg: the visible tip of hyperglycaemia concealing a decade of subclinical metabolic destruction beneath the waterline. Source: Dr. Nehru Method, HOMA Healthcare Center, Hyderabad.</w:t>
      </w:r>
    </w:p>
    <w:p>
      <w:pPr>
        <w:spacing w:after="120" w:before="0" w:line="276" w:lineRule="auto"/>
        <w:jc w:val="both"/>
      </w:pPr>
      <w:r>
        <w:rPr>
          <w:rFonts w:ascii="Times New Roman" w:hAnsi="Times New Roman" w:cs="Times New Roman"/>
          <w:b w:val="0"/>
          <w:i w:val="0"/>
          <w:sz w:val="22"/>
        </w:rPr>
        <w:t>India carries the largest burden of type 2 diabetes of any nation on earth — over 101 million confirmed cases, with projections placing this figure at 134 million by 2045.[1,2] Yet the most disturbing statistic is not the prevalence. It is this: the majority of Indians who develop type 2 diabetes will spend a decade or more in metabolic deterioration before receiving a single correct diagnosis. They will be told their fasting glucose is borderline. Their HbA1c will be 5.8, 5.9, 6.0 — pre-diabetic, or more often, nothing to worry about yet. Their physician, trained on Western reference ranges and international guidelines designed for a different phenotype, will schedule a review in six months.</w:t>
      </w:r>
    </w:p>
    <w:p>
      <w:pPr>
        <w:spacing w:after="120" w:before="0" w:line="276" w:lineRule="auto"/>
        <w:jc w:val="both"/>
      </w:pPr>
      <w:r>
        <w:rPr>
          <w:rFonts w:ascii="Times New Roman" w:hAnsi="Times New Roman" w:cs="Times New Roman"/>
          <w:b w:val="0"/>
          <w:i w:val="0"/>
          <w:sz w:val="22"/>
        </w:rPr>
        <w:t>What the physician does not know — or does not measure — is that HOMA-IR in that patient is already 3.8. The insulin resistance cascade has been running for seven years.[3]</w:t>
      </w:r>
    </w:p>
    <w:p>
      <w:pPr>
        <w:keepNext/>
        <w:spacing w:before="240" w:after="120"/>
        <w:jc w:val="left"/>
      </w:pPr>
      <w:r>
        <w:rPr>
          <w:rFonts w:ascii="Arial" w:hAnsi="Arial" w:cs="Arial"/>
          <w:b/>
          <w:sz w:val="26"/>
        </w:rPr>
        <w:t>The HbA1c Trap</w:t>
      </w:r>
    </w:p>
    <w:p>
      <w:pPr>
        <w:spacing w:before="160" w:after="40"/>
        <w:jc w:val="center"/>
      </w:pPr>
      <w:r>
        <w:drawing>
          <wp:inline xmlns:a="http://schemas.openxmlformats.org/drawingml/2006/main" xmlns:pic="http://schemas.openxmlformats.org/drawingml/2006/picture">
            <wp:extent cx="3657600" cy="2057400"/>
            <wp:docPr id="2" name="Picture 2"/>
            <wp:cNvGraphicFramePr>
              <a:graphicFrameLocks noChangeAspect="1"/>
            </wp:cNvGraphicFramePr>
            <a:graphic>
              <a:graphicData uri="http://schemas.openxmlformats.org/drawingml/2006/picture">
                <pic:pic>
                  <pic:nvPicPr>
                    <pic:cNvPr id="0" name="tmps3zg7hbm.jpg"/>
                    <pic:cNvPicPr/>
                  </pic:nvPicPr>
                  <pic:blipFill>
                    <a:blip r:embed="rId12"/>
                    <a:stretch>
                      <a:fillRect/>
                    </a:stretch>
                  </pic:blipFill>
                  <pic:spPr>
                    <a:xfrm>
                      <a:off x="0" y="0"/>
                      <a:ext cx="3657600" cy="2057400"/>
                    </a:xfrm>
                    <a:prstGeom prst="rect"/>
                  </pic:spPr>
                </pic:pic>
              </a:graphicData>
            </a:graphic>
          </wp:inline>
        </w:drawing>
      </w:r>
    </w:p>
    <w:p>
      <w:pPr>
        <w:spacing w:before="120" w:after="120"/>
        <w:ind w:left="432" w:right="432"/>
        <w:jc w:val="left"/>
      </w:pPr>
      <w:r>
        <w:rPr>
          <w:rFonts w:ascii="Times New Roman" w:hAnsi="Times New Roman" w:cs="Times New Roman"/>
          <w:b/>
          <w:i/>
          <w:sz w:val="22"/>
        </w:rPr>
        <w:t>Figure 1.2 — Timeline of metabolic deterioration: HOMA-IR above 2.3 detects insulin resistance 7 years before HbA1c crosses the diagnostic threshold of 6.5%. Source: Matveyenko and Butler 2008; Nehru MS et al. 2026.</w:t>
      </w:r>
    </w:p>
    <w:p>
      <w:pPr>
        <w:spacing w:after="120" w:before="0" w:line="276" w:lineRule="auto"/>
        <w:jc w:val="both"/>
      </w:pPr>
      <w:r>
        <w:rPr>
          <w:rFonts w:ascii="Times New Roman" w:hAnsi="Times New Roman" w:cs="Times New Roman"/>
          <w:b w:val="0"/>
          <w:i w:val="0"/>
          <w:sz w:val="22"/>
        </w:rPr>
        <w:t>HbA1c became the diagnostic standard for type 2 diabetes because it is convenient, reproducible, and relatively inexpensive. A single number — 6.5 percent or above — defines the disease. Below that threshold, the patient is either normal or pre-diabetic, a category so loosely defined in routine clinical practice that it offers the physician no actionable urgency and the patient no real alarm.</w:t>
      </w:r>
    </w:p>
    <w:p>
      <w:pPr>
        <w:spacing w:after="120" w:before="0" w:line="276" w:lineRule="auto"/>
        <w:jc w:val="both"/>
      </w:pPr>
      <w:r>
        <w:rPr>
          <w:rFonts w:ascii="Times New Roman" w:hAnsi="Times New Roman" w:cs="Times New Roman"/>
          <w:b w:val="0"/>
          <w:i w:val="0"/>
          <w:sz w:val="22"/>
        </w:rPr>
        <w:t>The fundamental problem with HbA1c as a primary screening tool is temporal. By the time HbA1c crosses 6.5 percent, the pathophysiology it reflects is between seven and ten years old.[3] The islets of Langerhans have already begun to fail. Beta cell mass in Indian patients — already lower at baseline compared to Western populations[4] — has been eroding under sustained hyperinsulinaemia for most of the preceding decade. Between 40 and 65 percent of beta cell mass is already lost at the time of formal type 2 diabetes diagnosis — a finding that reframes diagnosis not as the beginning of disease but as confirmation of its advanced stage.[5] The microvascular bed has begun its slow compromise. The liver has been accumulating ectopic fat. The myocardium has been remodelling under the silent pressure of insulin-driven dyslipidaemia.</w:t>
      </w:r>
    </w:p>
    <w:p>
      <w:pPr>
        <w:spacing w:after="120" w:before="0" w:line="276" w:lineRule="auto"/>
        <w:jc w:val="both"/>
      </w:pPr>
      <w:r>
        <w:rPr>
          <w:rFonts w:ascii="Times New Roman" w:hAnsi="Times New Roman" w:cs="Times New Roman"/>
          <w:b w:val="0"/>
          <w:i w:val="0"/>
          <w:sz w:val="22"/>
        </w:rPr>
        <w:t>India has used a monitoring tool as a screening tool, and the gap between these two purposes has swallowed millions of patients.</w:t>
      </w:r>
    </w:p>
    <w:p>
      <w:pPr>
        <w:keepNext/>
        <w:spacing w:before="240" w:after="120"/>
        <w:jc w:val="left"/>
      </w:pPr>
      <w:r>
        <w:rPr>
          <w:rFonts w:ascii="Arial" w:hAnsi="Arial" w:cs="Arial"/>
          <w:b/>
          <w:sz w:val="26"/>
        </w:rPr>
        <w:t>The Glucose Iceberg</w:t>
      </w:r>
    </w:p>
    <w:p>
      <w:pPr>
        <w:spacing w:before="160" w:after="40"/>
        <w:jc w:val="center"/>
      </w:pPr>
      <w:r>
        <w:drawing>
          <wp:inline xmlns:a="http://schemas.openxmlformats.org/drawingml/2006/main" xmlns:pic="http://schemas.openxmlformats.org/drawingml/2006/picture">
            <wp:extent cx="3657600" cy="6502400"/>
            <wp:docPr id="3" name="Picture 3"/>
            <wp:cNvGraphicFramePr>
              <a:graphicFrameLocks noChangeAspect="1"/>
            </wp:cNvGraphicFramePr>
            <a:graphic>
              <a:graphicData uri="http://schemas.openxmlformats.org/drawingml/2006/picture">
                <pic:pic>
                  <pic:nvPicPr>
                    <pic:cNvPr id="0" name="tmprid8r76w.jpg"/>
                    <pic:cNvPicPr/>
                  </pic:nvPicPr>
                  <pic:blipFill>
                    <a:blip r:embed="rId13"/>
                    <a:stretch>
                      <a:fillRect/>
                    </a:stretch>
                  </pic:blipFill>
                  <pic:spPr>
                    <a:xfrm>
                      <a:off x="0" y="0"/>
                      <a:ext cx="3657600" cy="6502400"/>
                    </a:xfrm>
                    <a:prstGeom prst="rect"/>
                  </pic:spPr>
                </pic:pic>
              </a:graphicData>
            </a:graphic>
          </wp:inline>
        </w:drawing>
      </w:r>
    </w:p>
    <w:p>
      <w:pPr>
        <w:spacing w:before="40" w:after="200"/>
        <w:jc w:val="center"/>
      </w:pPr>
      <w:r>
        <w:rPr>
          <w:rFonts w:ascii="Times New Roman" w:hAnsi="Times New Roman" w:cs="Times New Roman"/>
          <w:b w:val="0"/>
          <w:i/>
          <w:sz w:val="18"/>
        </w:rPr>
        <w:t>Figure 1.3 — Four layers of subclinical destruction beneath the waterline: silent beta cell damage, insulin resistance, blocked insulin pathway, and cumulative glucotoxicity, fructotoxicity and lipotoxicity. Source: Dr. Nehru Method.</w:t>
      </w:r>
    </w:p>
    <w:p>
      <w:pPr>
        <w:spacing w:after="120" w:before="0" w:line="276" w:lineRule="auto"/>
        <w:jc w:val="both"/>
      </w:pPr>
      <w:r>
        <w:rPr>
          <w:rFonts w:ascii="Times New Roman" w:hAnsi="Times New Roman" w:cs="Times New Roman"/>
          <w:b w:val="0"/>
          <w:i w:val="0"/>
          <w:sz w:val="22"/>
        </w:rPr>
        <w:t>Visualise the clinical presentation of type 2 diabetes as an iceberg. The visible portion — elevated fasting glucose, rising HbA1c, overt symptoms of hyperglycaemia — represents what standard care detects and treats. But the mass beneath the waterline is vastly larger: compensatory hyperinsulinaemia, progressive insulin resistance, visceral adiposity, atherogenic dyslipidaemia, systemic inflammation, endothelial dysfunction, mitochondrial impairment, and the slow collapse of beta cell reserve.</w:t>
      </w:r>
    </w:p>
    <w:p>
      <w:pPr>
        <w:spacing w:after="120" w:before="0" w:line="276" w:lineRule="auto"/>
        <w:jc w:val="both"/>
      </w:pPr>
      <w:r>
        <w:rPr>
          <w:rFonts w:ascii="Times New Roman" w:hAnsi="Times New Roman" w:cs="Times New Roman"/>
          <w:b w:val="0"/>
          <w:i w:val="0"/>
          <w:sz w:val="22"/>
        </w:rPr>
        <w:t>Every one of these processes begins and advances in the years — often the decade — before a single standard laboratory parameter crosses its diagnostic threshold.</w:t>
      </w:r>
    </w:p>
    <w:p>
      <w:pPr>
        <w:spacing w:after="120" w:before="0" w:line="276" w:lineRule="auto"/>
        <w:jc w:val="both"/>
      </w:pPr>
      <w:r>
        <w:rPr>
          <w:rFonts w:ascii="Times New Roman" w:hAnsi="Times New Roman" w:cs="Times New Roman"/>
          <w:b w:val="0"/>
          <w:i w:val="0"/>
          <w:sz w:val="22"/>
        </w:rPr>
        <w:t>The standard diabetes care pathway in India engages with the tip of this iceberg. A patient presents with fatigue and weight gain. Fasting glucose is 110 mg/dL. HbA1c is 6.1 percent. The physician advises dietary modification and returns the patient to follow-up in three months. What has not been measured is the HOMA-IR, which at that moment may be 4.5 — indicating Stage 3 insulin resistance on the Indian staging system.[6] What has not been evaluated is the TyG Index, which at 9.4 signals advanced cardiometabolic risk.[7,8] What has not been asked is whether this patient sleeps poorly, whether their waist circumference exceeds 90 centimetres at a body weight of 68 kilograms, whether they consume high glycaemic index carbohydrates at every meal, whether their serum Vitamin D is 9 ng/mL, or whether they have lost four kilograms of muscle mass over the preceding three years without any apparent change in body weight.</w:t>
      </w:r>
    </w:p>
    <w:p>
      <w:pPr>
        <w:keepNext/>
        <w:spacing w:before="240" w:after="120"/>
        <w:jc w:val="left"/>
      </w:pPr>
      <w:r>
        <w:rPr>
          <w:rFonts w:ascii="Arial" w:hAnsi="Arial" w:cs="Arial"/>
          <w:b/>
          <w:sz w:val="26"/>
        </w:rPr>
        <w:t>The Indian Phenotype Problem</w:t>
      </w:r>
    </w:p>
    <w:p>
      <w:pPr>
        <w:spacing w:before="160" w:after="40"/>
        <w:jc w:val="center"/>
      </w:pPr>
      <w:r>
        <w:drawing>
          <wp:inline xmlns:a="http://schemas.openxmlformats.org/drawingml/2006/main" xmlns:pic="http://schemas.openxmlformats.org/drawingml/2006/picture">
            <wp:extent cx="3657600" cy="2041451"/>
            <wp:docPr id="4" name="Picture 4"/>
            <wp:cNvGraphicFramePr>
              <a:graphicFrameLocks noChangeAspect="1"/>
            </wp:cNvGraphicFramePr>
            <a:graphic>
              <a:graphicData uri="http://schemas.openxmlformats.org/drawingml/2006/picture">
                <pic:pic>
                  <pic:nvPicPr>
                    <pic:cNvPr id="0" name="tmpfy7ssnqz.jpg"/>
                    <pic:cNvPicPr/>
                  </pic:nvPicPr>
                  <pic:blipFill>
                    <a:blip r:embed="rId14"/>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1.4 — The Indian Diagnostic Paradox: TOFI (Thin Outside Fat Inside) and NWCO (Normal Weight Central Obesity). Normal BMI masking visceral adiposity, fatty liver, and Stage 3 insulin resistance. Source: Narayan and Kanaya, Diabetologia 2020.</w:t>
      </w:r>
    </w:p>
    <w:p>
      <w:pPr>
        <w:spacing w:after="120" w:before="0" w:line="276" w:lineRule="auto"/>
        <w:jc w:val="both"/>
      </w:pPr>
      <w:r>
        <w:rPr>
          <w:rFonts w:ascii="Times New Roman" w:hAnsi="Times New Roman" w:cs="Times New Roman"/>
          <w:b w:val="0"/>
          <w:i w:val="0"/>
          <w:sz w:val="22"/>
        </w:rPr>
        <w:t>The failure is compounded by a biological reality that international guidelines have persistently failed to account for: the Indian metabolic phenotype is fundamentally different from the European population on which most diagnostic thresholds were derived.[4]</w:t>
      </w:r>
    </w:p>
    <w:p>
      <w:pPr>
        <w:spacing w:after="120" w:before="0" w:line="276" w:lineRule="auto"/>
        <w:jc w:val="both"/>
      </w:pPr>
      <w:r>
        <w:rPr>
          <w:rFonts w:ascii="Times New Roman" w:hAnsi="Times New Roman" w:cs="Times New Roman"/>
          <w:b w:val="0"/>
          <w:i w:val="0"/>
          <w:sz w:val="22"/>
        </w:rPr>
        <w:t>The Indian thin-fat phenotype — characterised by disproportionately high visceral and intramuscular fat at body weights that would be considered normal or even lean by Western standards — creates a diagnostic paradox. A man weighing 68 kilograms with a BMI of 23.4 will not trigger obesity-related metabolic screening in most Indian clinics, because the BMI cutoff of 25 imported from Western guidelines classifies him as normal weight.</w:t>
      </w:r>
    </w:p>
    <w:p>
      <w:pPr>
        <w:spacing w:after="120" w:before="0" w:line="276" w:lineRule="auto"/>
        <w:jc w:val="both"/>
      </w:pPr>
      <w:r>
        <w:rPr>
          <w:rFonts w:ascii="Times New Roman" w:hAnsi="Times New Roman" w:cs="Times New Roman"/>
          <w:b w:val="0"/>
          <w:i w:val="0"/>
          <w:sz w:val="22"/>
        </w:rPr>
        <w:t>He is not. His waist circumference of 91 centimetres places him above the Asian-specific abdominal obesity threshold. His visceral fat index is elevated. His liver is fatty. His skeletal muscle is insulin-resistant. He is what this framework designates as NWCO — Normal Weight Central Obesity — or in the more evocative terminology now entering the literature: TOFI — Thin Outside, Fat Inside.</w:t>
      </w:r>
    </w:p>
    <w:p>
      <w:pPr>
        <w:spacing w:after="120" w:before="0" w:line="276" w:lineRule="auto"/>
        <w:jc w:val="both"/>
      </w:pPr>
      <w:r>
        <w:rPr>
          <w:rFonts w:ascii="Times New Roman" w:hAnsi="Times New Roman" w:cs="Times New Roman"/>
          <w:b w:val="0"/>
          <w:i w:val="0"/>
          <w:sz w:val="22"/>
        </w:rPr>
        <w:t>This phenotype is not a clinical curiosity. It is the dominant metabolic pattern in urban India. Studies from Hyderabad, Chennai, Pune, and Delhi have repeatedly demonstrated that Indians develop insulin resistance and type 2 diabetes at lower BMI values, lower visceral fat volumes, and younger ages than their Western counterparts.[4] Early beta cell exhaustion — a phenomenon where the Indian pancreas reaches functional decompensation sooner and at lower degrees of metabolic stress — further accelerates the clinical timeline.[3,5]</w:t>
      </w:r>
    </w:p>
    <w:p>
      <w:pPr>
        <w:keepNext/>
        <w:spacing w:before="240" w:after="120"/>
        <w:jc w:val="left"/>
      </w:pPr>
      <w:r>
        <w:rPr>
          <w:rFonts w:ascii="Arial" w:hAnsi="Arial" w:cs="Arial"/>
          <w:b/>
          <w:sz w:val="26"/>
        </w:rPr>
        <w:t>The Missing Numbers: HOMA-IR and TyG Index</w:t>
      </w:r>
    </w:p>
    <w:p>
      <w:pPr>
        <w:spacing w:before="160" w:after="40"/>
        <w:jc w:val="center"/>
      </w:pPr>
      <w:r>
        <w:drawing>
          <wp:inline xmlns:a="http://schemas.openxmlformats.org/drawingml/2006/main" xmlns:pic="http://schemas.openxmlformats.org/drawingml/2006/picture">
            <wp:extent cx="3657600" cy="5449078"/>
            <wp:docPr id="5" name="Picture 5"/>
            <wp:cNvGraphicFramePr>
              <a:graphicFrameLocks noChangeAspect="1"/>
            </wp:cNvGraphicFramePr>
            <a:graphic>
              <a:graphicData uri="http://schemas.openxmlformats.org/drawingml/2006/picture">
                <pic:pic>
                  <pic:nvPicPr>
                    <pic:cNvPr id="0" name="tmpofo8b_v4.jpg"/>
                    <pic:cNvPicPr/>
                  </pic:nvPicPr>
                  <pic:blipFill>
                    <a:blip r:embed="rId15"/>
                    <a:stretch>
                      <a:fillRect/>
                    </a:stretch>
                  </pic:blipFill>
                  <pic:spPr>
                    <a:xfrm>
                      <a:off x="0" y="0"/>
                      <a:ext cx="3657600" cy="5449078"/>
                    </a:xfrm>
                    <a:prstGeom prst="rect"/>
                  </pic:spPr>
                </pic:pic>
              </a:graphicData>
            </a:graphic>
          </wp:inline>
        </w:drawing>
      </w:r>
    </w:p>
    <w:p>
      <w:pPr>
        <w:spacing w:before="40" w:after="200"/>
        <w:jc w:val="center"/>
      </w:pPr>
      <w:r>
        <w:rPr>
          <w:rFonts w:ascii="Times New Roman" w:hAnsi="Times New Roman" w:cs="Times New Roman"/>
          <w:b w:val="0"/>
          <w:i/>
          <w:sz w:val="18"/>
        </w:rPr>
        <w:t>Figure 1.5 — HOMA-IR and TyG Index in T2DM pathophysiology: five-stage India-specific classification from Stage 1 (1.0-2.3) to Stage 5 (above 10.0), with TyG cutoff above 8.82 validated in Indian adults. Source: Nehru MS et al. Int J Med 2026.</w:t>
      </w:r>
    </w:p>
    <w:p>
      <w:pPr>
        <w:spacing w:after="120" w:before="0" w:line="276" w:lineRule="auto"/>
        <w:jc w:val="both"/>
      </w:pPr>
      <w:r>
        <w:rPr>
          <w:rFonts w:ascii="Times New Roman" w:hAnsi="Times New Roman" w:cs="Times New Roman"/>
          <w:b w:val="0"/>
          <w:i w:val="0"/>
          <w:sz w:val="22"/>
        </w:rPr>
        <w:t>There are two numbers that should appear on every metabolic workup in India. They do not.</w:t>
      </w:r>
    </w:p>
    <w:p>
      <w:pPr>
        <w:spacing w:after="120" w:before="0" w:line="276" w:lineRule="auto"/>
        <w:jc w:val="both"/>
      </w:pPr>
      <w:r>
        <w:rPr>
          <w:rFonts w:ascii="Times New Roman" w:hAnsi="Times New Roman" w:cs="Times New Roman"/>
          <w:b w:val="0"/>
          <w:i w:val="0"/>
          <w:sz w:val="22"/>
        </w:rPr>
        <w:t>HOMA-IR — the Homeostatic Model Assessment of Insulin Resistance — is calculated from fasting insulin and fasting glucose. It requires no special equipment, no complicated protocol, only a fasting blood draw and a validated formula. Yet it remains absent from the standard diabetes screening panel in virtually every primary care setting in this country.</w:t>
      </w:r>
    </w:p>
    <w:p>
      <w:pPr>
        <w:spacing w:after="120" w:before="0" w:line="276" w:lineRule="auto"/>
        <w:jc w:val="both"/>
      </w:pPr>
      <w:r>
        <w:rPr>
          <w:rFonts w:ascii="Times New Roman" w:hAnsi="Times New Roman" w:cs="Times New Roman"/>
          <w:b w:val="0"/>
          <w:i w:val="0"/>
          <w:sz w:val="22"/>
        </w:rPr>
        <w:t>The reason is circular: HOMA-IR is not on the standard panel because no guideline mandates it, and no Indian guideline mandated it because no validated Indian cutoff existed — until now. Three indexed publications from HOMA Healthcare Center, Hyderabad, published in 2026, have established that the appropriate HOMA-IR cutoff for detecting clinically significant insulin resistance in Indian adults is above 2.3.[6,7,8] The widely cited Western cutoff of 2.5 to 3.0 misclassifies a substantial proportion of Indian patients whose insulin resistance is already driving cardiovascular and metabolic pathology at lower values.</w:t>
      </w:r>
    </w:p>
    <w:p>
      <w:pPr>
        <w:spacing w:after="120" w:before="0" w:line="276" w:lineRule="auto"/>
        <w:jc w:val="both"/>
      </w:pPr>
      <w:r>
        <w:rPr>
          <w:rFonts w:ascii="Times New Roman" w:hAnsi="Times New Roman" w:cs="Times New Roman"/>
          <w:b w:val="0"/>
          <w:i w:val="0"/>
          <w:sz w:val="22"/>
        </w:rPr>
        <w:t>The staging system derived from this research defines five clinically actionable stages: Stage 1 from 1.0 to 2.3 representing early compensatory insulin resistance; Stage 2 from 2.3 to 4.0 indicating established resistance requiring active intervention; Stage 3 from 4.0 to 6.0 marking advanced resistance with high cardiovascular risk; Stage 4 from 6.0 to 10.0 representing critical metabolic failure; and Stage 5 above 10.0 indicating severe hyperinsulinaemic exhaustion. This is not a theoretical construct. Each stage maps to a clinical trajectory and a treatment imperative.</w:t>
      </w:r>
    </w:p>
    <w:p>
      <w:pPr>
        <w:spacing w:after="120" w:before="0" w:line="276" w:lineRule="auto"/>
        <w:jc w:val="both"/>
      </w:pPr>
      <w:r>
        <w:rPr>
          <w:rFonts w:ascii="Times New Roman" w:hAnsi="Times New Roman" w:cs="Times New Roman"/>
          <w:b w:val="0"/>
          <w:i w:val="0"/>
          <w:sz w:val="22"/>
        </w:rPr>
        <w:t>The Triglyceride-Glucose Index — TyG — provides a parallel and complementary measure. Calculated as the natural logarithm of the product of fasting triglycerides in mg/dL and fasting glucose in mg/dL, divided by two, the TyG Index is now recognised internationally as a reliable, inexpensive surrogate for insulin resistance with additional cardiovascular predictive value independent of conventional lipid fractions.[9] While this threshold of 8.82 was first identified in South Korean population data, three indexed Indian publications from 2026 have validated its applicability in the Indian metabolic context, confirming equivalent predictive accuracy for insulin resistance and cardiovascular risk in Indian adults.[6,7,8] The validated Indian cutoff is above 8.82, within the natural log scale range of 7.5 to 10.5.</w:t>
      </w:r>
    </w:p>
    <w:p>
      <w:pPr>
        <w:keepNext/>
        <w:spacing w:before="240" w:after="120"/>
        <w:jc w:val="left"/>
      </w:pPr>
      <w:r>
        <w:rPr>
          <w:rFonts w:ascii="Arial" w:hAnsi="Arial" w:cs="Arial"/>
          <w:b/>
          <w:sz w:val="26"/>
        </w:rPr>
        <w:t>A Patient Who Should Have Been Caught Earlier</w:t>
      </w:r>
    </w:p>
    <w:p>
      <w:pPr>
        <w:spacing w:before="160" w:after="40"/>
        <w:jc w:val="center"/>
      </w:pPr>
      <w:r>
        <w:drawing>
          <wp:inline xmlns:a="http://schemas.openxmlformats.org/drawingml/2006/main" xmlns:pic="http://schemas.openxmlformats.org/drawingml/2006/picture">
            <wp:extent cx="3657600" cy="2041451"/>
            <wp:docPr id="6" name="Picture 6"/>
            <wp:cNvGraphicFramePr>
              <a:graphicFrameLocks noChangeAspect="1"/>
            </wp:cNvGraphicFramePr>
            <a:graphic>
              <a:graphicData uri="http://schemas.openxmlformats.org/drawingml/2006/picture">
                <pic:pic>
                  <pic:nvPicPr>
                    <pic:cNvPr id="0" name="tmp8uzi6ypv.jpg"/>
                    <pic:cNvPicPr/>
                  </pic:nvPicPr>
                  <pic:blipFill>
                    <a:blip r:embed="rId16"/>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1.6a — Anonymised case: 44-year-old female, two prior consultations with normal investigations, HOMA-IR 4.8 Stage 3 and TyG 9.3 detected at first Dr. Nehru Method assessment. Standard care had failed to see the disease.</w:t>
      </w:r>
    </w:p>
    <w:p>
      <w:pPr>
        <w:spacing w:after="120" w:before="0" w:line="276" w:lineRule="auto"/>
        <w:jc w:val="both"/>
      </w:pPr>
      <w:r>
        <w:rPr>
          <w:rFonts w:ascii="Times New Roman" w:hAnsi="Times New Roman" w:cs="Times New Roman"/>
          <w:b w:val="0"/>
          <w:i w:val="0"/>
          <w:sz w:val="22"/>
        </w:rPr>
        <w:t>A 44-year-old woman, a software engineer in Hyderabad, presented with complaints of persistent fatigue, poor sleep quality, and cognitive slowing — what she described as brain fog. She had been investigated twice in the preceding two years at reputable clinics. Her fasting glucose was 96 mg/dL. Her HbA1c was 5.7 percent. Both times she was reassured and discharged without further action.</w:t>
      </w:r>
    </w:p>
    <w:p>
      <w:pPr>
        <w:spacing w:after="120" w:before="0" w:line="276" w:lineRule="auto"/>
        <w:jc w:val="both"/>
      </w:pPr>
      <w:r>
        <w:rPr>
          <w:rFonts w:ascii="Times New Roman" w:hAnsi="Times New Roman" w:cs="Times New Roman"/>
          <w:b w:val="0"/>
          <w:i w:val="0"/>
          <w:sz w:val="22"/>
        </w:rPr>
        <w:t>Her HOMA-IR, calculated for the first time at this consultation, was 4.8 — Stage 3 insulin resistance.[6] Her TyG Index was 9.3.[7] Her serum Vitamin D was 11 ng/mL. Her B12 was 211 pg/mL. Her waist circumference was 87 centimetres at a body weight of 61 kilograms — a textbook NWCO presentation.[4] She had quietly withdrawn from physical activity over two years. Her body weight had not changed, but her body composition had shifted silently toward fat and away from muscle.</w:t>
      </w:r>
    </w:p>
    <w:p>
      <w:pPr>
        <w:keepNext/>
        <w:spacing w:before="240" w:after="120"/>
        <w:jc w:val="left"/>
      </w:pPr>
      <w:r>
        <w:rPr>
          <w:rFonts w:ascii="Arial" w:hAnsi="Arial" w:cs="Arial"/>
          <w:b/>
          <w:sz w:val="26"/>
        </w:rPr>
        <w:t>Beyond Prevention — Secondary and Tertiary Care</w:t>
      </w:r>
    </w:p>
    <w:p>
      <w:pPr>
        <w:spacing w:before="160" w:after="40"/>
        <w:jc w:val="center"/>
      </w:pPr>
      <w:r>
        <w:drawing>
          <wp:inline xmlns:a="http://schemas.openxmlformats.org/drawingml/2006/main" xmlns:pic="http://schemas.openxmlformats.org/drawingml/2006/picture">
            <wp:extent cx="3657600" cy="2041451"/>
            <wp:docPr id="7" name="Picture 7"/>
            <wp:cNvGraphicFramePr>
              <a:graphicFrameLocks noChangeAspect="1"/>
            </wp:cNvGraphicFramePr>
            <a:graphic>
              <a:graphicData uri="http://schemas.openxmlformats.org/drawingml/2006/picture">
                <pic:pic>
                  <pic:nvPicPr>
                    <pic:cNvPr id="0" name="tmpb7v677cv.jpg"/>
                    <pic:cNvPicPr/>
                  </pic:nvPicPr>
                  <pic:blipFill>
                    <a:blip r:embed="rId17"/>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1.6b — Insulin prescribed without C-peptide or HOMA-IR assessment: a common and correctable error in Indian secondary care. When HOMA-IR is high and C-peptide is normal, insulin resistance dominates — insulin sensitiser reduces insulin requirement. Source: Dr. Nehru Method, HOMA Healthcare Center, Hyderabad.</w:t>
      </w:r>
    </w:p>
    <w:p>
      <w:pPr>
        <w:spacing w:after="120" w:before="0" w:line="276" w:lineRule="auto"/>
        <w:jc w:val="both"/>
      </w:pPr>
      <w:r>
        <w:rPr>
          <w:rFonts w:ascii="Times New Roman" w:hAnsi="Times New Roman" w:cs="Times New Roman"/>
          <w:b w:val="0"/>
          <w:i w:val="0"/>
          <w:sz w:val="22"/>
        </w:rPr>
        <w:t>The Dr. Nehru Method is not a framework for prevention alone. Its impact is equally significant — and arguably more immediately visible — in secondary and tertiary care, where patients are already on multiple medications and still deteriorating.</w:t>
      </w:r>
    </w:p>
    <w:p>
      <w:pPr>
        <w:spacing w:after="120" w:before="0" w:line="276" w:lineRule="auto"/>
        <w:jc w:val="both"/>
      </w:pPr>
      <w:r>
        <w:rPr>
          <w:rFonts w:ascii="Times New Roman" w:hAnsi="Times New Roman" w:cs="Times New Roman"/>
          <w:b w:val="0"/>
          <w:i w:val="0"/>
          <w:sz w:val="22"/>
        </w:rPr>
        <w:t>Consider the patient already on insulin. In Indian clinical practice, insulin is frequently initiated on the basis of a high HbA1c without prior C-peptide measurement and without HOMA-IR assessment.[6] When C-peptide returns normal and HOMA-IR is found to be 5.8 or above, the clinical picture changes entirely: this is not a patient with beta cell failure requiring exogenous insulin. This is a patient with dominant insulin resistance in whom the addition of a sensitiser — pioglitazone or saroglitazar — will reduce the insulin requirement substantially, often allowing dose reduction within eight to twelve weeks.</w:t>
      </w:r>
    </w:p>
    <w:p>
      <w:pPr>
        <w:spacing w:after="120" w:before="0" w:line="276" w:lineRule="auto"/>
        <w:jc w:val="both"/>
      </w:pPr>
      <w:r>
        <w:rPr>
          <w:rFonts w:ascii="Times New Roman" w:hAnsi="Times New Roman" w:cs="Times New Roman"/>
          <w:b w:val="0"/>
          <w:i w:val="0"/>
          <w:sz w:val="22"/>
        </w:rPr>
        <w:t>The second pattern is equally common and equally avoidable: the patient on four or five oral agents whose HbA1c remains above 9 percent. In the absence of HOMA-IR measurement, the clinical instinct is to add another drug. When HOMA-IR is measured and found to be 7.4, and TyG Index is 9.8, the picture clarifies: the dominant driver is unaddressed insulin resistance. The therapeutic response is not addition but substitution — replacing agents that act downstream of the resistance with agents that address the resistance itself.</w:t>
      </w:r>
    </w:p>
    <w:p>
      <w:pPr>
        <w:keepNext/>
        <w:spacing w:before="240" w:after="120"/>
        <w:jc w:val="left"/>
      </w:pPr>
      <w:r>
        <w:rPr>
          <w:rFonts w:ascii="Arial" w:hAnsi="Arial" w:cs="Arial"/>
          <w:b/>
          <w:sz w:val="26"/>
        </w:rPr>
        <w:t>The Eight Triggers — A Framework Introduced</w:t>
      </w:r>
    </w:p>
    <w:p>
      <w:pPr>
        <w:spacing w:before="160" w:after="40"/>
        <w:jc w:val="center"/>
      </w:pPr>
      <w:r>
        <w:drawing>
          <wp:inline xmlns:a="http://schemas.openxmlformats.org/drawingml/2006/main" xmlns:pic="http://schemas.openxmlformats.org/drawingml/2006/picture">
            <wp:extent cx="3657600" cy="2057400"/>
            <wp:docPr id="8" name="Picture 8"/>
            <wp:cNvGraphicFramePr>
              <a:graphicFrameLocks noChangeAspect="1"/>
            </wp:cNvGraphicFramePr>
            <a:graphic>
              <a:graphicData uri="http://schemas.openxmlformats.org/drawingml/2006/picture">
                <pic:pic>
                  <pic:nvPicPr>
                    <pic:cNvPr id="0" name="tmped4n12v_.jpg"/>
                    <pic:cNvPicPr/>
                  </pic:nvPicPr>
                  <pic:blipFill>
                    <a:blip r:embed="rId18"/>
                    <a:stretch>
                      <a:fillRect/>
                    </a:stretch>
                  </pic:blipFill>
                  <pic:spPr>
                    <a:xfrm>
                      <a:off x="0" y="0"/>
                      <a:ext cx="3657600" cy="2057400"/>
                    </a:xfrm>
                    <a:prstGeom prst="rect"/>
                  </pic:spPr>
                </pic:pic>
              </a:graphicData>
            </a:graphic>
          </wp:inline>
        </w:drawing>
      </w:r>
    </w:p>
    <w:p>
      <w:pPr>
        <w:spacing w:before="120" w:after="120"/>
        <w:ind w:left="432" w:right="432"/>
        <w:jc w:val="left"/>
      </w:pPr>
      <w:r>
        <w:rPr>
          <w:rFonts w:ascii="Times New Roman" w:hAnsi="Times New Roman" w:cs="Times New Roman"/>
          <w:b/>
          <w:i/>
          <w:sz w:val="22"/>
        </w:rPr>
        <w:t>Figure 1.7 — The Indian Health Constitution: eight metabolic triggers all converging on HOMA-IR above 2.3. Each trigger is independently measurable and specifically treatable. Source: Nehru MS et al. Int J Med 2026.</w:t>
      </w:r>
    </w:p>
    <w:p>
      <w:pPr>
        <w:spacing w:after="120" w:before="0" w:line="276" w:lineRule="auto"/>
        <w:jc w:val="both"/>
      </w:pPr>
      <w:r>
        <w:rPr>
          <w:rFonts w:ascii="Times New Roman" w:hAnsi="Times New Roman" w:cs="Times New Roman"/>
          <w:b w:val="0"/>
          <w:i w:val="0"/>
          <w:sz w:val="22"/>
        </w:rPr>
        <w:t>Insulin resistance does not arise from a single cause. In the Indian clinical context, it arises from the convergence of multiple metabolic triggers, each capable of independently driving HOMA-IR above 2.3, and collectively capable of accelerating it to catastrophic levels.[6,7,8]</w:t>
      </w:r>
    </w:p>
    <w:p>
      <w:pPr>
        <w:spacing w:after="120" w:before="0" w:line="276" w:lineRule="auto"/>
        <w:jc w:val="both"/>
      </w:pPr>
      <w:r>
        <w:rPr>
          <w:rFonts w:ascii="Times New Roman" w:hAnsi="Times New Roman" w:cs="Times New Roman"/>
          <w:b w:val="0"/>
          <w:i w:val="0"/>
          <w:sz w:val="22"/>
        </w:rPr>
        <w:t>The Indian Health Constitution framework identifies eight primary triggers: high glycaemic index carbohydrate consumption, visceral obesity in its TOFI and NWCO forms, Vitamin D deficiency, B12 deficiency, iron deficiency, sarcopenia, the MTHFR C677T gene variant disrupting methylation and homocysteine metabolism, and ultra-processed junk food consumption with its attendant inflammatory and endocrine burden.</w:t>
      </w:r>
    </w:p>
    <w:p>
      <w:pPr>
        <w:keepNext/>
        <w:spacing w:before="240" w:after="120"/>
        <w:jc w:val="left"/>
      </w:pPr>
      <w:r>
        <w:rPr>
          <w:rFonts w:ascii="Arial" w:hAnsi="Arial" w:cs="Arial"/>
          <w:b/>
          <w:sz w:val="26"/>
        </w:rPr>
        <w:t>Why a New Framework Is Not Optional</w:t>
      </w:r>
    </w:p>
    <w:p>
      <w:pPr>
        <w:spacing w:before="160" w:after="40"/>
        <w:jc w:val="center"/>
      </w:pPr>
      <w:r>
        <w:drawing>
          <wp:inline xmlns:a="http://schemas.openxmlformats.org/drawingml/2006/main" xmlns:pic="http://schemas.openxmlformats.org/drawingml/2006/picture">
            <wp:extent cx="3657600" cy="2041451"/>
            <wp:docPr id="9" name="Picture 9"/>
            <wp:cNvGraphicFramePr>
              <a:graphicFrameLocks noChangeAspect="1"/>
            </wp:cNvGraphicFramePr>
            <a:graphic>
              <a:graphicData uri="http://schemas.openxmlformats.org/drawingml/2006/picture">
                <pic:pic>
                  <pic:nvPicPr>
                    <pic:cNvPr id="0" name="tmp0tv9v66c.jpg"/>
                    <pic:cNvPicPr/>
                  </pic:nvPicPr>
                  <pic:blipFill>
                    <a:blip r:embed="rId19"/>
                    <a:stretch>
                      <a:fillRect/>
                    </a:stretch>
                  </pic:blipFill>
                  <pic:spPr>
                    <a:xfrm>
                      <a:off x="0" y="0"/>
                      <a:ext cx="3657600" cy="2041451"/>
                    </a:xfrm>
                    <a:prstGeom prst="rect"/>
                  </pic:spPr>
                </pic:pic>
              </a:graphicData>
            </a:graphic>
          </wp:inline>
        </w:drawing>
      </w:r>
    </w:p>
    <w:p>
      <w:pPr>
        <w:spacing w:before="40" w:after="200"/>
        <w:jc w:val="center"/>
      </w:pPr>
      <w:r>
        <w:rPr>
          <w:rFonts w:ascii="Times New Roman" w:hAnsi="Times New Roman" w:cs="Times New Roman"/>
          <w:b w:val="0"/>
          <w:i/>
          <w:sz w:val="18"/>
        </w:rPr>
        <w:t>Figure 1.8 — The Dr. Nehru Method: precision treatment matched to dominant trigger. Target HOMA-IR below 2.3, TyG below 8.82. Replace drug addition with trigger identification. Source: HOMA Healthcare Center, Hyderabad, RSSDI 8058.</w:t>
      </w:r>
    </w:p>
    <w:p>
      <w:pPr>
        <w:spacing w:after="120" w:before="0" w:line="276" w:lineRule="auto"/>
        <w:jc w:val="both"/>
      </w:pPr>
      <w:r>
        <w:rPr>
          <w:rFonts w:ascii="Times New Roman" w:hAnsi="Times New Roman" w:cs="Times New Roman"/>
          <w:b w:val="0"/>
          <w:i w:val="0"/>
          <w:sz w:val="22"/>
        </w:rPr>
        <w:t>India cannot treat its way out of a diabetes epidemic using a diagnostic framework designed to detect that epidemic too late.[1,2]</w:t>
      </w:r>
    </w:p>
    <w:p>
      <w:pPr>
        <w:spacing w:after="120" w:before="0" w:line="276" w:lineRule="auto"/>
        <w:jc w:val="both"/>
      </w:pPr>
      <w:r>
        <w:rPr>
          <w:rFonts w:ascii="Times New Roman" w:hAnsi="Times New Roman" w:cs="Times New Roman"/>
          <w:b w:val="0"/>
          <w:i w:val="0"/>
          <w:sz w:val="22"/>
        </w:rPr>
        <w:t>The medical community in India has at its disposal the data, the tools, and now the validated cutoffs to identify insulin resistance a decade before HbA1c rises.[6,7,8] The eight triggers that drive that resistance are identifiable, measurable, and in most cases reversible. The infrastructure required to implement this — a fasting insulin assay, a triglyceride level, a careful clinical assessment of waist circumference and body composition — exists at every tertiary hospital and most secondary care centres in this country.</w:t>
      </w:r>
    </w:p>
    <w:p>
      <w:pPr>
        <w:spacing w:after="120" w:before="0" w:line="276" w:lineRule="auto"/>
        <w:jc w:val="both"/>
      </w:pPr>
      <w:r>
        <w:rPr>
          <w:rFonts w:ascii="Times New Roman" w:hAnsi="Times New Roman" w:cs="Times New Roman"/>
          <w:b w:val="0"/>
          <w:i w:val="0"/>
          <w:sz w:val="22"/>
        </w:rPr>
        <w:t>What has been missing is not technology. It is framework. A coherent, clinically validated, India-specific system for identifying metabolic risk early, staging it accurately, and intervening before the beta cell begins its irreversible decline.</w:t>
      </w:r>
    </w:p>
    <w:p>
      <w:pPr>
        <w:spacing w:after="120" w:before="0" w:line="276" w:lineRule="auto"/>
        <w:jc w:val="both"/>
      </w:pPr>
      <w:r>
        <w:rPr>
          <w:rFonts w:ascii="Times New Roman" w:hAnsi="Times New Roman" w:cs="Times New Roman"/>
          <w:b w:val="0"/>
          <w:i w:val="0"/>
          <w:sz w:val="22"/>
        </w:rPr>
        <w:t>The chapters that follow do not offer incremental modifications to existing guidelines. They present a reconceptualisation of what diabetes care in India must become — built not on the convenience of imported thresholds, but on the reality of the Indian metabolic phenotype, and on evidence generated from Indian patients, in Indian clinics, by Indian researchers.</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Anjana RM, Pradeepa R, Deepa M et al. Prevalence of diabetes and prediabetes in 15 states of India — ICMR-INDIAB study. Lancet Diabetes Endocrinol. 2017;5(8):585-596.</w:t>
      </w:r>
    </w:p>
    <w:p>
      <w:pPr>
        <w:spacing w:after="40"/>
        <w:jc w:val="left"/>
      </w:pPr>
      <w:r>
        <w:rPr>
          <w:rFonts w:ascii="Times New Roman" w:hAnsi="Times New Roman" w:cs="Times New Roman"/>
          <w:sz w:val="19"/>
        </w:rPr>
        <w:t>2.  IDF Diabetes Atlas 10th Edition. International Diabetes Federation. 2021. www.diabetesatlas.org</w:t>
      </w:r>
    </w:p>
    <w:p>
      <w:pPr>
        <w:spacing w:after="40"/>
        <w:jc w:val="left"/>
      </w:pPr>
      <w:r>
        <w:rPr>
          <w:rFonts w:ascii="Times New Roman" w:hAnsi="Times New Roman" w:cs="Times New Roman"/>
          <w:sz w:val="19"/>
        </w:rPr>
        <w:t>3.  Matveyenko AV, Butler PC. Relationship between beta-cell mass and diabetes onset. Diabetes Obes Metab. 2008;10(Suppl 4):23-31.</w:t>
      </w:r>
    </w:p>
    <w:p>
      <w:pPr>
        <w:spacing w:after="40"/>
        <w:jc w:val="left"/>
      </w:pPr>
      <w:r>
        <w:rPr>
          <w:rFonts w:ascii="Times New Roman" w:hAnsi="Times New Roman" w:cs="Times New Roman"/>
          <w:sz w:val="19"/>
        </w:rPr>
        <w:t>4.  Narayan KMV, Kanaya AM. Why are South Asians prone to type 2 diabetes? A hypothesis based on underexplored pathways. Diabetologia. 2020;63:1103-1109.</w:t>
      </w:r>
    </w:p>
    <w:p>
      <w:pPr>
        <w:spacing w:after="40"/>
        <w:jc w:val="left"/>
      </w:pPr>
      <w:r>
        <w:rPr>
          <w:rFonts w:ascii="Times New Roman" w:hAnsi="Times New Roman" w:cs="Times New Roman"/>
          <w:sz w:val="19"/>
        </w:rPr>
        <w:t>5.  Inaishi J, Saisho Y. Beta-cell mass in obesity and type 2 diabetes, and its relation to pancreas fat. Nutrients. 2020;12(12):3846.</w:t>
      </w:r>
    </w:p>
    <w:p>
      <w:pPr>
        <w:spacing w:after="40"/>
        <w:jc w:val="left"/>
      </w:pPr>
      <w:r>
        <w:rPr>
          <w:rFonts w:ascii="Times New Roman" w:hAnsi="Times New Roman" w:cs="Times New Roman"/>
          <w:sz w:val="19"/>
        </w:rPr>
        <w:t>6.  Sathyanarayana EV, Nehru MS et al. HOMA-IR cutoff validation in Indian adults. Int J Med. 2026;8(2):977-983.</w:t>
      </w:r>
    </w:p>
    <w:p>
      <w:pPr>
        <w:spacing w:after="40"/>
        <w:jc w:val="left"/>
      </w:pPr>
      <w:r>
        <w:rPr>
          <w:rFonts w:ascii="Times New Roman" w:hAnsi="Times New Roman" w:cs="Times New Roman"/>
          <w:sz w:val="19"/>
        </w:rPr>
        <w:t>7.  Nehru MS et al. TyG Index in Indian metabolic disease. IJCPR. 2026;18(2):826-833.</w:t>
      </w:r>
    </w:p>
    <w:p>
      <w:pPr>
        <w:spacing w:after="40"/>
        <w:jc w:val="left"/>
      </w:pPr>
      <w:r>
        <w:rPr>
          <w:rFonts w:ascii="Times New Roman" w:hAnsi="Times New Roman" w:cs="Times New Roman"/>
          <w:sz w:val="19"/>
        </w:rPr>
        <w:t>8.  Sachdev MC, Nehru MS et al. Metabolic indices in Indian population. Int J Med. 2026;8(3):54-60.</w:t>
      </w:r>
    </w:p>
    <w:p>
      <w:pPr>
        <w:spacing w:after="40"/>
        <w:jc w:val="left"/>
      </w:pPr>
      <w:r>
        <w:rPr>
          <w:rFonts w:ascii="Times New Roman" w:hAnsi="Times New Roman" w:cs="Times New Roman"/>
          <w:sz w:val="19"/>
        </w:rPr>
        <w:t>9.  Shin S. Association between vitamin D status and triglyceride-glucose index among South Korean adults. Clin Nutr Res. 2022.</w:t>
      </w:r>
    </w:p>
    <w:p>
      <w:r>
        <w:br w:type="page"/>
      </w:r>
    </w:p>
    <w:p>
      <w:pPr>
        <w:jc w:val="left"/>
      </w:pPr>
      <w:r>
        <w:rPr>
          <w:rFonts w:ascii="Arial" w:hAnsi="Arial" w:cs="Arial"/>
          <w:b/>
          <w:sz w:val="26"/>
        </w:rPr>
        <w:t>CHAPTER 2</w:t>
      </w:r>
    </w:p>
    <w:p>
      <w:pPr>
        <w:keepNext/>
        <w:spacing w:before="360" w:after="120"/>
        <w:jc w:val="left"/>
      </w:pPr>
      <w:r>
        <w:rPr>
          <w:rFonts w:ascii="Arial" w:hAnsi="Arial" w:cs="Arial"/>
          <w:b/>
          <w:sz w:val="32"/>
        </w:rPr>
        <w:t>The Glucose Iceberg</w:t>
      </w:r>
    </w:p>
    <w:p>
      <w:pPr>
        <w:keepNext/>
        <w:spacing w:before="240" w:after="120"/>
        <w:jc w:val="left"/>
      </w:pPr>
      <w:r>
        <w:rPr>
          <w:rFonts w:ascii="Arial" w:hAnsi="Arial" w:cs="Arial"/>
          <w:b/>
          <w:sz w:val="26"/>
        </w:rPr>
        <w:t>The Glucose Iceberg — What Lies Beneath Standard Screening</w:t>
      </w:r>
    </w:p>
    <w:p>
      <w:pPr>
        <w:keepNext/>
        <w:spacing w:before="240" w:after="120"/>
        <w:jc w:val="left"/>
      </w:pPr>
      <w:r>
        <w:rPr>
          <w:rFonts w:ascii="Arial" w:hAnsi="Arial" w:cs="Arial"/>
          <w:b/>
          <w:sz w:val="26"/>
        </w:rPr>
        <w:t>The Iceberg Metaphor — Why It Is Clinically Exact</w:t>
      </w:r>
    </w:p>
    <w:p>
      <w:pPr>
        <w:spacing w:before="40" w:after="200"/>
        <w:jc w:val="center"/>
      </w:pPr>
      <w:r>
        <w:rPr>
          <w:rFonts w:ascii="Times New Roman" w:hAnsi="Times New Roman" w:cs="Times New Roman"/>
          <w:b w:val="0"/>
          <w:i/>
          <w:sz w:val="18"/>
        </w:rPr>
        <w:t>Figure 2.1 — The Glucose Iceberg: four layers of subclinical destruction beneath the waterline, invisible to standard screening for 7 to 10 years before HbA1c rises. Source: Dr. Nehru Method, HOMA Healthcare Center Hyderabad.</w:t>
      </w:r>
    </w:p>
    <w:p>
      <w:pPr>
        <w:spacing w:after="120" w:before="0" w:line="276" w:lineRule="auto"/>
        <w:jc w:val="both"/>
      </w:pPr>
      <w:r>
        <w:rPr>
          <w:rFonts w:ascii="Times New Roman" w:hAnsi="Times New Roman" w:cs="Times New Roman"/>
          <w:b w:val="0"/>
          <w:i w:val="0"/>
          <w:sz w:val="22"/>
        </w:rPr>
        <w:t>The iceberg is not a metaphor chosen for its elegance. It is chosen for its precision. What a ship's navigator sees above the waterline — and what destroys the vessel — is a fraction of the structure that lies beneath. In type 2 diabetes, what the physician measures — fasting glucose, HbA1c, the occasional lipid panel — is the visible fraction. The mass that causes the damage has been building beneath the surface for a decade before a single standard parameter crosses its threshold.</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2.1 ]</w:t>
      </w:r>
    </w:p>
    <w:p>
      <w:pPr>
        <w:spacing w:before="40" w:after="200"/>
        <w:jc w:val="center"/>
      </w:pPr>
      <w:r>
        <w:rPr>
          <w:rFonts w:ascii="Times New Roman" w:hAnsi="Times New Roman" w:cs="Times New Roman"/>
          <w:b w:val="0"/>
          <w:i/>
          <w:sz w:val="18"/>
        </w:rPr>
        <w:t>Figure 2.1 — The Glucose Iceberg — visible hyperglycaemia above the waterline and the four hidden layers of subclinical metabolic destruction beneath.</w:t>
      </w:r>
    </w:p>
    <w:p>
      <w:pPr>
        <w:spacing w:after="120" w:before="0" w:line="276" w:lineRule="auto"/>
        <w:jc w:val="both"/>
      </w:pPr>
      <w:r>
        <w:rPr>
          <w:rFonts w:ascii="Times New Roman" w:hAnsi="Times New Roman" w:cs="Times New Roman"/>
          <w:b w:val="0"/>
          <w:i w:val="0"/>
          <w:sz w:val="22"/>
        </w:rPr>
        <w:t>Beta cell dysfunction begins its progressive, irreversible course ten to twelve years before the clinical diagnosis of type 2 diabetes. By the time HbA1c crosses 6.5 percent, approximately 50 percent of beta cell function is already lost.[1] This is not a new finding. The UKPDS cohort established it in 1995. What is remarkable is that despite this knowledge being available for three decades, the diagnostic framework used in Indian primary care today still relies on the same HbA1c threshold — a number that, by definition, confirms the disease only after half the functional beta cell mass has been surrendered.</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2.2 ]</w:t>
      </w:r>
    </w:p>
    <w:p>
      <w:pPr>
        <w:spacing w:before="40" w:after="200"/>
        <w:jc w:val="center"/>
      </w:pPr>
      <w:r>
        <w:rPr>
          <w:rFonts w:ascii="Times New Roman" w:hAnsi="Times New Roman" w:cs="Times New Roman"/>
          <w:b w:val="0"/>
          <w:i/>
          <w:sz w:val="18"/>
        </w:rPr>
        <w:t>Figure 2.2 — Layered progression of beta cell damage preceding diagnosis.</w:t>
      </w:r>
    </w:p>
    <w:p>
      <w:pPr>
        <w:keepNext/>
        <w:spacing w:before="240" w:after="120"/>
        <w:jc w:val="left"/>
      </w:pPr>
      <w:r>
        <w:rPr>
          <w:rFonts w:ascii="Arial" w:hAnsi="Arial" w:cs="Arial"/>
          <w:b/>
          <w:sz w:val="26"/>
        </w:rPr>
        <w:t>Layer One — Silent Beta Cell Damage</w:t>
      </w:r>
    </w:p>
    <w:p>
      <w:pPr>
        <w:spacing w:before="40" w:after="200"/>
        <w:jc w:val="center"/>
      </w:pPr>
      <w:r>
        <w:rPr>
          <w:rFonts w:ascii="Times New Roman" w:hAnsi="Times New Roman" w:cs="Times New Roman"/>
          <w:b w:val="0"/>
          <w:i/>
          <w:sz w:val="18"/>
        </w:rPr>
        <w:t>Figure 2.2 — Layer 1: Silent beta cell damage from Year minus 7 to 10. Progressive loss from healthy to flickering to stressed to dying — patient feels normal, doctor says normal, HOMA-IR is rising. Source: Matveyenko and Butler 2008.</w:t>
      </w:r>
    </w:p>
    <w:p>
      <w:pPr>
        <w:spacing w:after="120" w:before="0" w:line="276" w:lineRule="auto"/>
        <w:jc w:val="both"/>
      </w:pPr>
      <w:r>
        <w:rPr>
          <w:rFonts w:ascii="Times New Roman" w:hAnsi="Times New Roman" w:cs="Times New Roman"/>
          <w:b w:val="0"/>
          <w:i w:val="0"/>
          <w:sz w:val="22"/>
        </w:rPr>
        <w:t>The first and deepest layer of the iceberg is the one furthest from clinical awareness. In the years between Year minus ten and Year minus seven — a decade before the HbA1c crosses any diagnostic threshold — individual beta cells within the islets of Langerhans are beginning to fail. Some are dedifferentiating, reverting toward progenitor states. Some are entering stress pathways. Some are dying via ceramide-mediated apoptosis.[3]</w:t>
      </w:r>
    </w:p>
    <w:p>
      <w:pPr>
        <w:spacing w:after="120" w:before="0" w:line="276" w:lineRule="auto"/>
        <w:jc w:val="both"/>
      </w:pPr>
      <w:r>
        <w:rPr>
          <w:rFonts w:ascii="Times New Roman" w:hAnsi="Times New Roman" w:cs="Times New Roman"/>
          <w:b w:val="0"/>
          <w:i w:val="0"/>
          <w:sz w:val="22"/>
        </w:rPr>
        <w:t>Islet amyloid polypeptide — IAPP — begins to aggregate into amyloid deposits within the islets during this phase. Butler and colleagues demonstrated in an autopsy study of 124 subjects that islet amyloid deposition and a significant deficit in beta cell mass are already present in the prediabetic state — before any clinical diagnosis of type 2 diabetes has been made.[3] The islet architecture is being remodelled by a process that leaves no footprint on the standard blood panel.</w:t>
      </w:r>
    </w:p>
    <w:p>
      <w:pPr>
        <w:spacing w:after="120" w:before="0" w:line="276" w:lineRule="auto"/>
        <w:jc w:val="both"/>
      </w:pPr>
      <w:r>
        <w:rPr>
          <w:rFonts w:ascii="Times New Roman" w:hAnsi="Times New Roman" w:cs="Times New Roman"/>
          <w:b w:val="0"/>
          <w:i w:val="0"/>
          <w:sz w:val="22"/>
        </w:rPr>
        <w:t>The patient during this phase feels entirely normal. Their fasting glucose is 92 mg/dL. Their HbA1c is 5.4 percent. Their physician has no reason to investigate further. What is rising silently — and what HOMA-IR would detect if it were measured — is the earliest signal of compensatory hyperinsulinaemia: the beta cell working harder to maintain euglycaemia against a peripheral tissue resistance that has not yet declared itself on any standard test.[2,12]</w:t>
      </w:r>
    </w:p>
    <w:p>
      <w:pPr>
        <w:keepNext/>
        <w:spacing w:before="240" w:after="120"/>
        <w:jc w:val="left"/>
      </w:pPr>
      <w:r>
        <w:rPr>
          <w:rFonts w:ascii="Arial" w:hAnsi="Arial" w:cs="Arial"/>
          <w:b/>
          <w:sz w:val="26"/>
        </w:rPr>
        <w:t>Layer Two — Compensatory Hyperinsulinaemia and Insulin Resistance</w:t>
      </w:r>
    </w:p>
    <w:p>
      <w:pPr>
        <w:spacing w:before="40" w:after="200"/>
        <w:jc w:val="center"/>
      </w:pPr>
      <w:r>
        <w:rPr>
          <w:rFonts w:ascii="Times New Roman" w:hAnsi="Times New Roman" w:cs="Times New Roman"/>
          <w:b w:val="0"/>
          <w:i/>
          <w:sz w:val="18"/>
        </w:rPr>
        <w:t>Figure 2.3 — Layer 2: Insulin resistance — the signal arrives but the door is locked. HOMA-IR above 2.3, TyG above 8.82, hyperinsulinaemia beginning. Muscle, liver, and adipose tissue all resistant. Source: Dr. Nehru Method.</w:t>
      </w:r>
    </w:p>
    <w:p>
      <w:pPr>
        <w:spacing w:after="120" w:before="0" w:line="276" w:lineRule="auto"/>
        <w:jc w:val="both"/>
      </w:pPr>
      <w:r>
        <w:rPr>
          <w:rFonts w:ascii="Times New Roman" w:hAnsi="Times New Roman" w:cs="Times New Roman"/>
          <w:b w:val="0"/>
          <w:i w:val="0"/>
          <w:sz w:val="22"/>
        </w:rPr>
        <w:t>The Whitehall II study — a longitudinal cohort of 6,538 civil servants followed over years — provides the clearest human data on what happens beneath the waterline in the years before diabetes diagnosis. Tabák and colleagues demonstrated that fasting insulin and HOMA beta cell function rise compensatorily between four and three years before T2DM diagnosis, followed by a steep decline, while HOMA insulin sensitivity drops steeply up to five years prior to diagnosis.[2] The pancreas is fighting a losing battle — overproducing insulin to compensate for a resistance it cannot overcome.</w:t>
      </w:r>
    </w:p>
    <w:p>
      <w:pPr>
        <w:spacing w:after="120" w:before="0" w:line="276" w:lineRule="auto"/>
        <w:jc w:val="both"/>
      </w:pPr>
      <w:r>
        <w:rPr>
          <w:rFonts w:ascii="Times New Roman" w:hAnsi="Times New Roman" w:cs="Times New Roman"/>
          <w:b w:val="0"/>
          <w:i w:val="0"/>
          <w:sz w:val="22"/>
        </w:rPr>
        <w:t>During this layer, three tissue beds are simultaneously developing resistance: skeletal muscle, the liver, and visceral adipose tissue. The insulin signal arrives at the cell membrane with full force. The problem is not the signal — it is the receptor response and the downstream cascade.</w:t>
      </w:r>
    </w:p>
    <w:p>
      <w:pPr>
        <w:spacing w:after="120" w:before="0" w:line="276" w:lineRule="auto"/>
        <w:jc w:val="both"/>
      </w:pPr>
      <w:r>
        <w:rPr>
          <w:rFonts w:ascii="Times New Roman" w:hAnsi="Times New Roman" w:cs="Times New Roman"/>
          <w:b w:val="0"/>
          <w:i w:val="0"/>
          <w:sz w:val="22"/>
        </w:rPr>
        <w:t>In Asian Indians, this layer has a distinctive and dangerous character. Raji and colleagues demonstrated that non-obese Asian Indian men — matched for the same normal body mass index as Caucasians — have significantly higher visceral adipose tissue and exhibit a 66 percent prevalence of insulin resistance.[6] The Indian patient in Layer Two may have a BMI of 23, a waist circumference of 89 centimetres, a fasting glucose of 98 mg/dL — and a HOMA-IR of 3.6, indicating Stage 2 insulin resistance on the India-specific staging system. Standard medicine sees nothing. The iceberg is growing.</w:t>
      </w:r>
    </w:p>
    <w:p>
      <w:pPr>
        <w:spacing w:after="120" w:before="0" w:line="276" w:lineRule="auto"/>
        <w:jc w:val="both"/>
      </w:pPr>
      <w:r>
        <w:rPr>
          <w:rFonts w:ascii="Times New Roman" w:hAnsi="Times New Roman" w:cs="Times New Roman"/>
          <w:b w:val="0"/>
          <w:i w:val="0"/>
          <w:sz w:val="22"/>
        </w:rPr>
        <w:t>Simultaneously, atherogenic dyslipidaemia is establishing itself. The Kailuan cohort study — 43,360 participants — demonstrated that the atherogenic index of plasma rises significantly and predicts the onset of T2DM over a four to eight year longitudinal period before overt diagnosis.[7] TyG Index above 8.82, on the natural log scale, signals this phase with precision that no single lipid fraction can match.[13]</w:t>
      </w:r>
    </w:p>
    <w:p>
      <w:pPr>
        <w:keepNext/>
        <w:spacing w:before="240" w:after="120"/>
        <w:jc w:val="left"/>
      </w:pPr>
      <w:r>
        <w:rPr>
          <w:rFonts w:ascii="Arial" w:hAnsi="Arial" w:cs="Arial"/>
          <w:b/>
          <w:sz w:val="26"/>
        </w:rPr>
        <w:t>Layer Three — The Blocked Molecular Pathway</w:t>
      </w:r>
    </w:p>
    <w:p>
      <w:pPr>
        <w:spacing w:before="40" w:after="200"/>
        <w:jc w:val="center"/>
      </w:pPr>
      <w:r>
        <w:rPr>
          <w:rFonts w:ascii="Times New Roman" w:hAnsi="Times New Roman" w:cs="Times New Roman"/>
          <w:b w:val="0"/>
          <w:i/>
          <w:sz w:val="18"/>
        </w:rPr>
        <w:t>Figure 2.4 — Layer 3: Six molecular blockers converging — ceramide blocks Akt, IAPP amyloid deposits, low Vitamin D impairs GLUT4, low iron activates HIF-1alpha, homocysteine damages IRS-1, GLUT4 vesicle translocation fails. Year minus 5 to 8. Source: Dr. Nehru Method.</w:t>
      </w:r>
    </w:p>
    <w:p>
      <w:pPr>
        <w:spacing w:after="120" w:before="0" w:line="276" w:lineRule="auto"/>
        <w:jc w:val="both"/>
      </w:pPr>
      <w:r>
        <w:rPr>
          <w:rFonts w:ascii="Times New Roman" w:hAnsi="Times New Roman" w:cs="Times New Roman"/>
          <w:b w:val="0"/>
          <w:i w:val="0"/>
          <w:sz w:val="22"/>
        </w:rPr>
        <w:t>Layer Three is where the molecular machinery of insulin signalling begins to fail at identifiable, specific, treatable points. This is the layer where the eight triggers of the Indian Health Constitution converge — not metaphorically but biochemically — on the same pathway.[12,13,14]</w:t>
      </w:r>
    </w:p>
    <w:p>
      <w:pPr>
        <w:spacing w:after="120" w:before="0" w:line="276" w:lineRule="auto"/>
        <w:jc w:val="both"/>
      </w:pPr>
      <w:r>
        <w:rPr>
          <w:rFonts w:ascii="Times New Roman" w:hAnsi="Times New Roman" w:cs="Times New Roman"/>
          <w:b w:val="0"/>
          <w:i w:val="0"/>
          <w:sz w:val="22"/>
        </w:rPr>
        <w:t>Ceramide accumulates in skeletal muscle and acts as a direct inhibitor of insulin signalling. Chavez and Summers demonstrated that ceramide blocks insulin-stimulated Akt phosphorylation — the critical signalling node that activates GLUT4 translocation to the cell surface.[4] Without Akt phosphorylation, the downstream cascade fails. Glucose cannot enter the cell. The GLUT4 storage vesicles remain sequestered in intracellular compartments.</w:t>
      </w:r>
    </w:p>
    <w:p>
      <w:pPr>
        <w:spacing w:after="120" w:before="0" w:line="276" w:lineRule="auto"/>
        <w:jc w:val="both"/>
      </w:pPr>
      <w:r>
        <w:rPr>
          <w:rFonts w:ascii="Times New Roman" w:hAnsi="Times New Roman" w:cs="Times New Roman"/>
          <w:b w:val="0"/>
          <w:i w:val="0"/>
          <w:sz w:val="22"/>
        </w:rPr>
        <w:t>Garvey and colleagues confirmed in human skeletal muscle biopsies that insulin resistance is characterised by severely depleted GLUT4 storage vesicles at the plasma membrane and a failure of GLUT4 to translocate upon insulin stimulation.[5] This is not a consequence of long-standing diabetes. It is present in insulin-resistant individuals years before diagnosis — when fasting glucose is still normal.</w:t>
      </w:r>
    </w:p>
    <w:p>
      <w:pPr>
        <w:spacing w:after="120" w:before="0" w:line="276" w:lineRule="auto"/>
        <w:jc w:val="both"/>
      </w:pPr>
      <w:r>
        <w:rPr>
          <w:rFonts w:ascii="Times New Roman" w:hAnsi="Times New Roman" w:cs="Times New Roman"/>
          <w:b w:val="0"/>
          <w:i w:val="0"/>
          <w:sz w:val="22"/>
        </w:rPr>
        <w:t>Petersen and Shulman demonstrated that severe insulin resistance in skeletal muscle is linked to an 80 percent accumulation of intramyocellular lipid and a 30 percent reduction in mitochondrial oxidative phosphorylation.[9] The mitochondria — the energy factories of the muscle cell — are fragmented and dysfunctional. This is not merely a consequence of metabolic stress. It is a driver of it, creating a self-amplifying cycle of lipid accumulation, ceramide generation, and further insulin resistance.</w:t>
      </w:r>
    </w:p>
    <w:p>
      <w:pPr>
        <w:spacing w:after="120" w:before="0" w:line="276" w:lineRule="auto"/>
        <w:jc w:val="both"/>
      </w:pPr>
      <w:r>
        <w:rPr>
          <w:rFonts w:ascii="Times New Roman" w:hAnsi="Times New Roman" w:cs="Times New Roman"/>
          <w:b w:val="0"/>
          <w:i w:val="0"/>
          <w:sz w:val="22"/>
        </w:rPr>
        <w:t>Vitamin D deficiency — present in 70 to 80 percent of urban Indians — impairs beta cell insulin secretion and reduces GLUT4 expression independently. B12 deficiency from vegetarian diet raises homocysteine, which damages insulin receptor tyrosine kinase and accumulates methylmalonic acid. Iron deficiency activates HIF-1alpha, raising hepatic triglycerides and impairing GLUT4 translocation. Each of these is a separate, measurable, correctable trigger — and each is absent from the standard workup.</w:t>
      </w:r>
    </w:p>
    <w:p>
      <w:pPr>
        <w:keepNext/>
        <w:spacing w:before="240" w:after="120"/>
        <w:jc w:val="left"/>
      </w:pPr>
      <w:r>
        <w:rPr>
          <w:rFonts w:ascii="Arial" w:hAnsi="Arial" w:cs="Arial"/>
          <w:b/>
          <w:sz w:val="26"/>
        </w:rPr>
        <w:t>Layer Four — Cumulative Destruction</w:t>
      </w:r>
    </w:p>
    <w:p>
      <w:pPr>
        <w:spacing w:before="40" w:after="200"/>
        <w:jc w:val="center"/>
      </w:pPr>
      <w:r>
        <w:rPr>
          <w:rFonts w:ascii="Times New Roman" w:hAnsi="Times New Roman" w:cs="Times New Roman"/>
          <w:b w:val="0"/>
          <w:i/>
          <w:sz w:val="18"/>
        </w:rPr>
        <w:t>Figure 2.5 — Layer 4: Cumulative destruction — glucotoxicity, fructotoxicity, and lipotoxicity converging on beta cell failure. 50% beta cell mass lost, islet fibrosis beginning, IAPP amyloid deposited. By the time glucose rises, this has been happening for 7 to 10 years. Source: Dr. Nehru Method.</w:t>
      </w:r>
    </w:p>
    <w:p>
      <w:pPr>
        <w:spacing w:after="120" w:before="0" w:line="276" w:lineRule="auto"/>
        <w:jc w:val="both"/>
      </w:pPr>
      <w:r>
        <w:rPr>
          <w:rFonts w:ascii="Times New Roman" w:hAnsi="Times New Roman" w:cs="Times New Roman"/>
          <w:b w:val="0"/>
          <w:i w:val="0"/>
          <w:sz w:val="22"/>
        </w:rPr>
        <w:t>Layer Four is where the three toxic pathways converge: glucotoxicity, fructotoxicity, and lipotoxicity. At this depth of the iceberg — Year minus three to Year minus one — the cumulative damage to beta cell mass has crossed the threshold of metabolic reserve.[1]</w:t>
      </w:r>
    </w:p>
    <w:p>
      <w:pPr>
        <w:spacing w:after="120" w:before="0" w:line="276" w:lineRule="auto"/>
        <w:jc w:val="both"/>
      </w:pPr>
      <w:r>
        <w:rPr>
          <w:rFonts w:ascii="Times New Roman" w:hAnsi="Times New Roman" w:cs="Times New Roman"/>
          <w:b w:val="0"/>
          <w:i w:val="0"/>
          <w:sz w:val="22"/>
        </w:rPr>
        <w:t>Repeated glucose spikes activate SREBP-1c — the master transcription factor for hepatic de novo lipogenesis. Shimano and colleagues demonstrated that hyperinsulinaemia and high glucose upregulate SREBP-1c, driving lipid accumulation and subsequent hepatic insulin resistance.[11] The liver, already accumulating ectopic fat, begins generating VLDL at an accelerated rate. TyG Index continues its rise. The atherogenic risk compounds.</w:t>
      </w:r>
    </w:p>
    <w:p>
      <w:pPr>
        <w:spacing w:after="120" w:before="0" w:line="276" w:lineRule="auto"/>
        <w:jc w:val="both"/>
      </w:pPr>
      <w:r>
        <w:rPr>
          <w:rFonts w:ascii="Times New Roman" w:hAnsi="Times New Roman" w:cs="Times New Roman"/>
          <w:b w:val="0"/>
          <w:i w:val="0"/>
          <w:sz w:val="22"/>
        </w:rPr>
        <w:t>Fructose — from ultra-processed food and high-fructose beverages increasingly prevalent in urban India — directly drives hepatic de novo lipogenesis through a pathway that bypasses the normal regulatory checkpoints of glucose metabolism. Unlike glucose, fructose does not stimulate insulin secretion and does not trigger satiety signals — making it the most metabolically dangerous sugar for the Indian urban diet.</w:t>
      </w:r>
    </w:p>
    <w:p>
      <w:pPr>
        <w:spacing w:after="120" w:before="0" w:line="276" w:lineRule="auto"/>
        <w:jc w:val="both"/>
      </w:pPr>
      <w:r>
        <w:rPr>
          <w:rFonts w:ascii="Times New Roman" w:hAnsi="Times New Roman" w:cs="Times New Roman"/>
          <w:b w:val="0"/>
          <w:i w:val="0"/>
          <w:sz w:val="22"/>
        </w:rPr>
        <w:t>Thejashwini and colleagues found that NAFLD has a prevalence of 22 percent in normoglycaemic, non-diabetic first-degree relatives of T2DM patients, with an odds ratio above 13 for association with insulin resistance.[10] This is Layer Four made visible: the liver is already fatty, the beta cell is already compromised, and the standard blood panel still reads normal.</w:t>
      </w:r>
    </w:p>
    <w:p>
      <w:pPr>
        <w:keepNext/>
        <w:spacing w:before="240" w:after="120"/>
        <w:jc w:val="left"/>
      </w:pPr>
      <w:r>
        <w:rPr>
          <w:rFonts w:ascii="Arial" w:hAnsi="Arial" w:cs="Arial"/>
          <w:b/>
          <w:sz w:val="26"/>
        </w:rPr>
        <w:t>The Intervention Window — What Standard Medicine Misses</w:t>
      </w:r>
    </w:p>
    <w:p>
      <w:pPr>
        <w:spacing w:before="40" w:after="200"/>
        <w:jc w:val="center"/>
      </w:pPr>
      <w:r>
        <w:rPr>
          <w:rFonts w:ascii="Times New Roman" w:hAnsi="Times New Roman" w:cs="Times New Roman"/>
          <w:b w:val="0"/>
          <w:i/>
          <w:sz w:val="18"/>
        </w:rPr>
        <w:t>Figure 2.6 — The intervention window: HOMA-IR 2.3 to 4.9 — 90% reversal possible if dominant trigger identified and treated. Standard medicine enters at Year 0. Dr. Nehru Method enters at Year minus 7. Source: Dr. Nehru Method, HOMA Healthcare Center Hyderabad.</w:t>
      </w:r>
    </w:p>
    <w:p>
      <w:pPr>
        <w:spacing w:after="120" w:before="0" w:line="276" w:lineRule="auto"/>
        <w:jc w:val="both"/>
      </w:pPr>
      <w:r>
        <w:rPr>
          <w:rFonts w:ascii="Times New Roman" w:hAnsi="Times New Roman" w:cs="Times New Roman"/>
          <w:b w:val="0"/>
          <w:i w:val="0"/>
          <w:sz w:val="22"/>
        </w:rPr>
        <w:t>Between Layer Two and Layer Three — when HOMA-IR is between 2.3 and 4.9, when TyG is between 8.82 and 9.5, when the beta cell is compensating but has not yet crossed into decompensation — lies the intervention window.[12,13] This is the clinical opportunity that standard medicine systematically misses, because standard medicine does not measure what defines it.</w:t>
      </w:r>
    </w:p>
    <w:p>
      <w:pPr>
        <w:spacing w:after="120" w:before="0" w:line="276" w:lineRule="auto"/>
        <w:jc w:val="both"/>
      </w:pPr>
      <w:r>
        <w:rPr>
          <w:rFonts w:ascii="Times New Roman" w:hAnsi="Times New Roman" w:cs="Times New Roman"/>
          <w:b w:val="0"/>
          <w:i w:val="0"/>
          <w:sz w:val="22"/>
        </w:rPr>
        <w:t>In this window, the dominant trigger can be identified. Vitamin D deficiency corrected. B12 replaced — always with methylcobalamin, never with cyanocobalamin, which fails to cross the blood-brain barrier and has no role in neurological protection. Iron deficiency treated. High glycaemic index carbohydrate replaced. Sarcopenia addressed with resistance training and protein. The MTHFR C677T variant managed with methylfolate.</w:t>
      </w:r>
    </w:p>
    <w:p>
      <w:pPr>
        <w:spacing w:after="120" w:before="0" w:line="276" w:lineRule="auto"/>
        <w:jc w:val="both"/>
      </w:pPr>
      <w:r>
        <w:rPr>
          <w:rFonts w:ascii="Times New Roman" w:hAnsi="Times New Roman" w:cs="Times New Roman"/>
          <w:b w:val="0"/>
          <w:i w:val="0"/>
          <w:sz w:val="22"/>
        </w:rPr>
        <w:t>The expected clinical response when the dominant trigger is correctly identified and treated is a fall in HOMA-IR of 0.5 to 1.5 units at three months.[12,13,14] This is not a theoretical projection. It is the observed clinical outcome in the patient cohort that generated the three indexed publications from HOMA Healthcare Center, Hyderabad.</w:t>
      </w:r>
    </w:p>
    <w:p>
      <w:pPr>
        <w:spacing w:after="120" w:before="0" w:line="276" w:lineRule="auto"/>
        <w:jc w:val="both"/>
      </w:pPr>
      <w:r>
        <w:rPr>
          <w:rFonts w:ascii="Times New Roman" w:hAnsi="Times New Roman" w:cs="Times New Roman"/>
          <w:b w:val="0"/>
          <w:i w:val="0"/>
          <w:sz w:val="22"/>
        </w:rPr>
        <w:t>The tragedy of standard diabetes care in India is not that this window does not exist. It is that standard medicine does not look for it — because the tools used to look, HOMA-IR and TyG Index, are not on the standard panel. The iceberg grows. The window closes. By the time the physician acts, the patient is no longer in the window. They are at the tip.</w:t>
      </w:r>
    </w:p>
    <w:p>
      <w:pPr>
        <w:keepNext/>
        <w:spacing w:before="240" w:after="120"/>
        <w:jc w:val="left"/>
      </w:pPr>
      <w:r>
        <w:rPr>
          <w:rFonts w:ascii="Arial" w:hAnsi="Arial" w:cs="Arial"/>
          <w:b/>
          <w:sz w:val="26"/>
        </w:rPr>
        <w:t>Four Molecular Steps — From Trigger to Beta Cell Failure</w:t>
      </w:r>
    </w:p>
    <w:p>
      <w:pPr>
        <w:spacing w:before="40" w:after="200"/>
        <w:jc w:val="center"/>
      </w:pPr>
      <w:r>
        <w:rPr>
          <w:rFonts w:ascii="Times New Roman" w:hAnsi="Times New Roman" w:cs="Times New Roman"/>
          <w:b w:val="0"/>
          <w:i/>
          <w:sz w:val="18"/>
        </w:rPr>
        <w:t>Figure 2.7 — Four molecular steps from trigger to beta cell failure: Step 1 trigger raises HOMA-IR, Step 2 hyperinsulinaemia activates SREBP-1c, Step 3 glucotoxicity plus lipotoxicity activates ER stress, Step 4 beta cell mass falls and C-peptide drops. Source: Dr. Nehru Method.</w:t>
      </w:r>
    </w:p>
    <w:p>
      <w:pPr>
        <w:spacing w:after="120" w:before="0" w:line="276" w:lineRule="auto"/>
        <w:jc w:val="both"/>
      </w:pPr>
      <w:r>
        <w:rPr>
          <w:rFonts w:ascii="Times New Roman" w:hAnsi="Times New Roman" w:cs="Times New Roman"/>
          <w:b w:val="0"/>
          <w:i w:val="0"/>
          <w:sz w:val="22"/>
        </w:rPr>
        <w:t>Understanding the iceberg requires understanding the molecular sequence that connects trigger to beta cell failure. The Dr. Nehru Method maps this as four steps — a clinical teaching framework that transforms an abstract pathophysiology into an actionable clinical roadmap.[12,13,14]</w:t>
      </w:r>
    </w:p>
    <w:p>
      <w:pPr>
        <w:spacing w:after="120" w:before="0" w:line="276" w:lineRule="auto"/>
        <w:jc w:val="both"/>
      </w:pPr>
      <w:r>
        <w:rPr>
          <w:rFonts w:ascii="Times New Roman" w:hAnsi="Times New Roman" w:cs="Times New Roman"/>
          <w:b w:val="0"/>
          <w:i w:val="0"/>
          <w:sz w:val="22"/>
        </w:rPr>
        <w:t>Step One: Any trigger — high glycaemic index carbohydrate, visceral obesity, Vitamin D deficiency, B12 deficiency, iron deficiency, sarcopenia, MTHFR C677T, junk food — raises fasting insulin and fasting glucose. HOMA-IR crosses 2.3. This is Stage 2 insulin resistance. The peripheral tissues — muscle, liver, fat — are no longer responding normally to insulin. The beta cell begins compensatory hypersecretion.</w:t>
      </w:r>
    </w:p>
    <w:p>
      <w:pPr>
        <w:spacing w:after="120" w:before="0" w:line="276" w:lineRule="auto"/>
        <w:jc w:val="both"/>
      </w:pPr>
      <w:r>
        <w:rPr>
          <w:rFonts w:ascii="Times New Roman" w:hAnsi="Times New Roman" w:cs="Times New Roman"/>
          <w:b w:val="0"/>
          <w:i w:val="0"/>
          <w:sz w:val="22"/>
        </w:rPr>
        <w:t>Step Two: Chronic hyperinsulinaemia activates SREBP-1c in the hepatocyte.[11] Hepatic de novo lipogenesis begins. TyG Index rises above 8.82. Ectopic fat accumulates in the liver and in skeletal muscle. Lipotoxicity begins at the islet level — palmitate and saturated fatty acids drive ceramide synthesis, which feeds back to block Akt phosphorylation further, worsening insulin resistance. HOMA-IR rises toward Stage 3.</w:t>
      </w:r>
    </w:p>
    <w:p>
      <w:pPr>
        <w:spacing w:after="120" w:before="0" w:line="276" w:lineRule="auto"/>
        <w:jc w:val="both"/>
      </w:pPr>
      <w:r>
        <w:rPr>
          <w:rFonts w:ascii="Times New Roman" w:hAnsi="Times New Roman" w:cs="Times New Roman"/>
          <w:b w:val="0"/>
          <w:i w:val="0"/>
          <w:sz w:val="22"/>
        </w:rPr>
        <w:t>Step Three: Glucotoxicity — repeated glucose spikes — activates the unfolded protein response in the beta cell endoplasmic reticulum. ER stress drives pro-apoptotic signalling. Beta cell mass begins to fall. If all eight triggers are converging simultaneously — as they do in the typical urban Indian patient with poor diet, Vitamin D deficiency, sedentary lifestyle, and MTHFR variant — this step is accelerated dramatically.[4,9]</w:t>
      </w:r>
    </w:p>
    <w:p>
      <w:pPr>
        <w:spacing w:after="120" w:before="0" w:line="276" w:lineRule="auto"/>
        <w:jc w:val="both"/>
      </w:pPr>
      <w:r>
        <w:rPr>
          <w:rFonts w:ascii="Times New Roman" w:hAnsi="Times New Roman" w:cs="Times New Roman"/>
          <w:b w:val="0"/>
          <w:i w:val="0"/>
          <w:sz w:val="22"/>
        </w:rPr>
        <w:t>Step Four: Beta cell mass falls below the critical threshold for maintaining euglycaemia. Insulin secretory reserve is exhausted. Fasting glucose crosses 126 mg/dL. HbA1c crosses 6.5 percent. The physician diagnoses type 2 diabetes. The patient receives their first prescription. But 50 percent of the beta cell mass is already gone,[1] IAPP amyloid is deposited throughout the islets,[3] mitochondria are fragmented,[9] and the liver is fatty.[10] This is Year zero. This is where standard medicine begins. This is where the Dr. Nehru Method has been working for seven years already.</w:t>
      </w:r>
    </w:p>
    <w:p>
      <w:pPr>
        <w:keepNext/>
        <w:spacing w:before="240" w:after="120"/>
        <w:jc w:val="left"/>
      </w:pPr>
      <w:r>
        <w:rPr>
          <w:rFonts w:ascii="Arial" w:hAnsi="Arial" w:cs="Arial"/>
          <w:b/>
          <w:sz w:val="26"/>
        </w:rPr>
        <w:t>What Standard Medicine Sees — and What It Misses</w:t>
      </w:r>
    </w:p>
    <w:p>
      <w:pPr>
        <w:spacing w:before="40" w:after="200"/>
        <w:jc w:val="center"/>
      </w:pPr>
      <w:r>
        <w:rPr>
          <w:rFonts w:ascii="Times New Roman" w:hAnsi="Times New Roman" w:cs="Times New Roman"/>
          <w:b w:val="0"/>
          <w:i/>
          <w:sz w:val="18"/>
        </w:rPr>
        <w:t>Figure 2.8 — What standard medicine sees vs what is actually happening: standard medicine checks HbA1c and fasting glucose, says normal, sends the patient home — while HOMA-IR is rising, beta cells are dying, TyG is above 8.82, and 7 years are passing. Source: Dr. Nehru Method.</w:t>
      </w:r>
    </w:p>
    <w:p>
      <w:pPr>
        <w:spacing w:after="120" w:before="0" w:line="276" w:lineRule="auto"/>
        <w:jc w:val="both"/>
      </w:pPr>
      <w:r>
        <w:rPr>
          <w:rFonts w:ascii="Times New Roman" w:hAnsi="Times New Roman" w:cs="Times New Roman"/>
          <w:b w:val="0"/>
          <w:i w:val="0"/>
          <w:sz w:val="22"/>
        </w:rPr>
        <w:t>The clinical consequence of this iceberg structure is a systematic mismatch between the disease and its detection. Standard medicine uses tools optimised for Year zero — the moment of overt hyperglycaemia — and applies them to a disease that begins at Year minus ten.</w:t>
      </w:r>
    </w:p>
    <w:p>
      <w:pPr>
        <w:spacing w:after="120" w:before="0" w:line="276" w:lineRule="auto"/>
        <w:jc w:val="both"/>
      </w:pPr>
      <w:r>
        <w:rPr>
          <w:rFonts w:ascii="Times New Roman" w:hAnsi="Times New Roman" w:cs="Times New Roman"/>
          <w:b w:val="0"/>
          <w:i w:val="0"/>
          <w:sz w:val="22"/>
        </w:rPr>
        <w:t>Endothelial dysfunction — measured by impaired flow-mediated dilation — is present in normoglycaemic individuals with insulin resistance and prediabetes, years before HbA1c crosses 6.5 percent.[8] The cardiovascular risk is accumulating silently. The microvascular bed is compromising. The physician, seeing a normal HbA1c, reassures the patient and schedules a review in six months.</w:t>
      </w:r>
    </w:p>
    <w:p>
      <w:pPr>
        <w:spacing w:after="120" w:before="0" w:line="276" w:lineRule="auto"/>
        <w:jc w:val="both"/>
      </w:pPr>
      <w:r>
        <w:rPr>
          <w:rFonts w:ascii="Times New Roman" w:hAnsi="Times New Roman" w:cs="Times New Roman"/>
          <w:b w:val="0"/>
          <w:i w:val="0"/>
          <w:sz w:val="22"/>
        </w:rPr>
        <w:t>This is not negligence. It is the logical consequence of a framework that defines the disease by its most downstream measurable marker and builds the entire clinical response around that marker. The HbA1c was designed to monitor diabetes — not to prevent it. Applying it as a prevention tool is a category error with consequences measured in millions of patients and billions of rupees of avoidable healthcare expenditure.</w:t>
      </w:r>
    </w:p>
    <w:p>
      <w:pPr>
        <w:spacing w:after="120" w:before="0" w:line="276" w:lineRule="auto"/>
        <w:jc w:val="both"/>
      </w:pPr>
      <w:r>
        <w:rPr>
          <w:rFonts w:ascii="Times New Roman" w:hAnsi="Times New Roman" w:cs="Times New Roman"/>
          <w:b w:val="0"/>
          <w:i w:val="0"/>
          <w:sz w:val="22"/>
        </w:rPr>
        <w:t>The Indian Health Constitution framework — built on HOMA-IR above 2.3 as the single detection number — addresses this category error directly. It enters the iceberg where treatment changes outcomes.[12,13,14] It maps the four layers. It identifies the dominant trigger. It treats the cause, not the consequence. It measures the response — HOMA-IR fall of 0.5 to 1.5 units at three months — not the downstream marker.</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Holman RR et al. (UKPDS Group). Beta-cell deficit and progressive beta-cell failure preceding type 2 diabetes diagnosis. Diabetes Research and Clinical Practice. 1995;28(Suppl):S11-S23.</w:t>
      </w:r>
    </w:p>
    <w:p>
      <w:pPr>
        <w:spacing w:after="40"/>
        <w:jc w:val="left"/>
      </w:pPr>
      <w:r>
        <w:rPr>
          <w:rFonts w:ascii="Times New Roman" w:hAnsi="Times New Roman" w:cs="Times New Roman"/>
          <w:sz w:val="19"/>
        </w:rPr>
        <w:t>2.  Tabák AG, Jokela M, Akbaraly TN et al. Trajectories of glycaemia, insulin sensitivity, and insulin secretion before diagnosis of type 2 diabetes: an analysis from the Whitehall II study. Lancet. 2009;373(9682):2215-2221.</w:t>
      </w:r>
    </w:p>
    <w:p>
      <w:pPr>
        <w:spacing w:after="40"/>
        <w:jc w:val="left"/>
      </w:pPr>
      <w:r>
        <w:rPr>
          <w:rFonts w:ascii="Times New Roman" w:hAnsi="Times New Roman" w:cs="Times New Roman"/>
          <w:sz w:val="19"/>
        </w:rPr>
        <w:t>3.  Butler AE, Janson J, Bonner-Weir S et al. Beta-cell deficit and increased beta-cell apoptosis in humans with type 2 diabetes. Diabetes. 2003;52(1):102-110.</w:t>
      </w:r>
    </w:p>
    <w:p>
      <w:pPr>
        <w:spacing w:after="40"/>
        <w:jc w:val="left"/>
      </w:pPr>
      <w:r>
        <w:rPr>
          <w:rFonts w:ascii="Times New Roman" w:hAnsi="Times New Roman" w:cs="Times New Roman"/>
          <w:sz w:val="19"/>
        </w:rPr>
        <w:t>4.  Chavez JA, Summers SA. A ceramide-centric view of insulin resistance. Cell Metabolism. 2012;15(5):585-594.</w:t>
      </w:r>
    </w:p>
    <w:p>
      <w:pPr>
        <w:spacing w:after="40"/>
        <w:jc w:val="left"/>
      </w:pPr>
      <w:r>
        <w:rPr>
          <w:rFonts w:ascii="Times New Roman" w:hAnsi="Times New Roman" w:cs="Times New Roman"/>
          <w:sz w:val="19"/>
        </w:rPr>
        <w:t>5.  Garvey WT, Maianu L, Zhu JH et al. Evidence for defects in the trafficking and translocation of GLUT4 transporters in skeletal muscle as a cause of human insulin resistance. Journal of Clinical Investigation. 1998;101(11):2377-2386.</w:t>
      </w:r>
    </w:p>
    <w:p>
      <w:pPr>
        <w:spacing w:after="40"/>
        <w:jc w:val="left"/>
      </w:pPr>
      <w:r>
        <w:rPr>
          <w:rFonts w:ascii="Times New Roman" w:hAnsi="Times New Roman" w:cs="Times New Roman"/>
          <w:sz w:val="19"/>
        </w:rPr>
        <w:t>6.  Raji A, Seely EW, Arky RA et al. Body fat distribution and insulin resistance in healthy Asian Indians and Caucasians. Journal of Clinical Endocrinology and Metabolism. 2001;86(11):5366-5371.</w:t>
      </w:r>
    </w:p>
    <w:p>
      <w:pPr>
        <w:spacing w:after="40"/>
        <w:jc w:val="left"/>
      </w:pPr>
      <w:r>
        <w:rPr>
          <w:rFonts w:ascii="Times New Roman" w:hAnsi="Times New Roman" w:cs="Times New Roman"/>
          <w:sz w:val="19"/>
        </w:rPr>
        <w:t>7.  Tian X et al. Atherogenic index of plasma and incidence of diabetes mellitus: Kailuan cohort study. Cardiovascular Diabetology. 2023;22:8.</w:t>
      </w:r>
    </w:p>
    <w:p>
      <w:pPr>
        <w:spacing w:after="40"/>
        <w:jc w:val="left"/>
      </w:pPr>
      <w:r>
        <w:rPr>
          <w:rFonts w:ascii="Times New Roman" w:hAnsi="Times New Roman" w:cs="Times New Roman"/>
          <w:sz w:val="19"/>
        </w:rPr>
        <w:t>8.  Caballero AE, Arora S, Saouaf R et al. Microvascular and macrovascular reactivity is reduced in subjects at risk for type 2 diabetes. Diabetes. 1999;48(9):1856-1862.</w:t>
      </w:r>
    </w:p>
    <w:p>
      <w:pPr>
        <w:spacing w:after="40"/>
        <w:jc w:val="left"/>
      </w:pPr>
      <w:r>
        <w:rPr>
          <w:rFonts w:ascii="Times New Roman" w:hAnsi="Times New Roman" w:cs="Times New Roman"/>
          <w:sz w:val="19"/>
        </w:rPr>
        <w:t>9.  Petersen KF, Shulman GI. Etiology of insulin resistance. American Journal of Medicine. 2006;119(5 Suppl 1):S10-S16.</w:t>
      </w:r>
    </w:p>
    <w:p>
      <w:pPr>
        <w:spacing w:after="40"/>
        <w:jc w:val="left"/>
      </w:pPr>
      <w:r>
        <w:rPr>
          <w:rFonts w:ascii="Times New Roman" w:hAnsi="Times New Roman" w:cs="Times New Roman"/>
          <w:sz w:val="19"/>
        </w:rPr>
        <w:t>10.  Thejashwini A et al. Prevalence of nonalcoholic fatty liver disease in normoglycaemic first-degree relatives of type 2 diabetes patients. Scholars Journal of Applied Medical Sciences. 2020;8(3):712-717.</w:t>
      </w:r>
    </w:p>
    <w:p>
      <w:pPr>
        <w:spacing w:after="40"/>
        <w:jc w:val="left"/>
      </w:pPr>
      <w:r>
        <w:rPr>
          <w:rFonts w:ascii="Times New Roman" w:hAnsi="Times New Roman" w:cs="Times New Roman"/>
          <w:sz w:val="19"/>
        </w:rPr>
        <w:t>11.  Shimano H et al. Sterol regulatory element-binding protein-1 as a key transcription factor for nutritional induction of lipogenic enzyme genes. Journal of Clinical Investigation. 1999;104(11):R1-R5.</w:t>
      </w:r>
    </w:p>
    <w:p>
      <w:pPr>
        <w:spacing w:after="40"/>
        <w:jc w:val="left"/>
      </w:pPr>
      <w:r>
        <w:rPr>
          <w:rFonts w:ascii="Times New Roman" w:hAnsi="Times New Roman" w:cs="Times New Roman"/>
          <w:sz w:val="19"/>
        </w:rPr>
        <w:t>12.  Sathyanarayana EV, Nehru MS et al. HOMA-IR cutoff validation in Indian adults. Int J Med. 2026;8(2):977-983.</w:t>
      </w:r>
    </w:p>
    <w:p>
      <w:pPr>
        <w:spacing w:after="40"/>
        <w:jc w:val="left"/>
      </w:pPr>
      <w:r>
        <w:rPr>
          <w:rFonts w:ascii="Times New Roman" w:hAnsi="Times New Roman" w:cs="Times New Roman"/>
          <w:sz w:val="19"/>
        </w:rPr>
        <w:t>13.  Nehru MS et al. TyG Index in Indian metabolic disease. IJCPR. 2026;18(2):826-833.</w:t>
      </w:r>
    </w:p>
    <w:p>
      <w:pPr>
        <w:spacing w:after="40"/>
        <w:jc w:val="left"/>
      </w:pPr>
      <w:r>
        <w:rPr>
          <w:rFonts w:ascii="Times New Roman" w:hAnsi="Times New Roman" w:cs="Times New Roman"/>
          <w:sz w:val="19"/>
        </w:rPr>
        <w:t>14.  Sachdev MC, Nehru MS et al. Metabolic indices in Indian population. Int J Med. 2026;8(3):54-60.</w:t>
      </w:r>
    </w:p>
    <w:p>
      <w:r>
        <w:br w:type="page"/>
      </w:r>
    </w:p>
    <w:p>
      <w:pPr>
        <w:jc w:val="left"/>
      </w:pPr>
      <w:r>
        <w:rPr>
          <w:rFonts w:ascii="Arial" w:hAnsi="Arial" w:cs="Arial"/>
          <w:b/>
          <w:sz w:val="26"/>
        </w:rPr>
        <w:t>CHAPTER 3</w:t>
      </w:r>
    </w:p>
    <w:p>
      <w:pPr>
        <w:keepNext/>
        <w:spacing w:before="360" w:after="120"/>
        <w:jc w:val="left"/>
      </w:pPr>
      <w:r>
        <w:rPr>
          <w:rFonts w:ascii="Arial" w:hAnsi="Arial" w:cs="Arial"/>
          <w:b/>
          <w:sz w:val="32"/>
        </w:rPr>
        <w:t>The Eight Triggers of Insulin Resistance</w:t>
      </w:r>
    </w:p>
    <w:p>
      <w:pPr>
        <w:keepNext/>
        <w:spacing w:before="240" w:after="120"/>
        <w:jc w:val="left"/>
      </w:pPr>
      <w:r>
        <w:rPr>
          <w:rFonts w:ascii="Arial" w:hAnsi="Arial" w:cs="Arial"/>
          <w:b/>
          <w:sz w:val="26"/>
        </w:rPr>
        <w:t>Chapter 3 — The Eight Triggers of Insulin Resistance</w:t>
      </w:r>
    </w:p>
    <w:p>
      <w:pPr>
        <w:keepNext/>
        <w:spacing w:before="240" w:after="120"/>
        <w:jc w:val="left"/>
      </w:pPr>
      <w:r>
        <w:rPr>
          <w:rFonts w:ascii="Arial" w:hAnsi="Arial" w:cs="Arial"/>
          <w:b/>
          <w:sz w:val="26"/>
        </w:rPr>
        <w:t>The Indian Health Constitution Framework</w:t>
      </w:r>
    </w:p>
    <w:p>
      <w:pPr>
        <w:spacing w:after="120" w:before="0" w:line="276" w:lineRule="auto"/>
        <w:jc w:val="both"/>
      </w:pPr>
      <w:r>
        <w:rPr>
          <w:rFonts w:ascii="Times New Roman" w:hAnsi="Times New Roman" w:cs="Times New Roman"/>
          <w:b w:val="0"/>
          <w:i w:val="0"/>
          <w:sz w:val="22"/>
        </w:rPr>
        <w:t>This chapter presents the Indian Health Constitution Framework as a practical clinical lens for understanding why insulin resistance develops early, silently, and often in combination in Asian Indian populations. The chapter is written as an operational framework, not as universal international consensus, and it uses proposed thresholds from published Indian cohorts — HOMA-IR above 2.3 and TyG above 8.82 natural log — to identify metabolic dysfunction before overt diabetes appears.¹ Each of the eight triggers described below has independent supporting evidence in the literature, though the framework that links them together as a unified clinical staging system is a proposed Dr. Nehru Method construct rather than an internationally validated diagnostic protocol.</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3.1 ]</w:t>
      </w:r>
    </w:p>
    <w:p>
      <w:pPr>
        <w:spacing w:before="40" w:after="200"/>
        <w:jc w:val="center"/>
      </w:pPr>
      <w:r>
        <w:rPr>
          <w:rFonts w:ascii="Times New Roman" w:hAnsi="Times New Roman" w:cs="Times New Roman"/>
          <w:b w:val="0"/>
          <w:i/>
          <w:sz w:val="18"/>
        </w:rPr>
        <w:t>Figure 3.1 — The Eight Triggers of Insulin Resistance in the Indian phenotype — conceptual map.</w:t>
      </w:r>
    </w:p>
    <w:p>
      <w:pPr>
        <w:keepNext/>
        <w:spacing w:before="240" w:after="120"/>
        <w:jc w:val="left"/>
      </w:pPr>
      <w:r>
        <w:rPr>
          <w:rFonts w:ascii="Arial" w:hAnsi="Arial" w:cs="Arial"/>
          <w:b/>
          <w:sz w:val="26"/>
        </w:rPr>
        <w:t>3.1 — High GI Carbohydrates — The Chronic Hyperinsulinaemia Loop</w:t>
      </w:r>
    </w:p>
    <w:p>
      <w:pPr>
        <w:spacing w:after="120" w:before="0" w:line="276" w:lineRule="auto"/>
        <w:jc w:val="both"/>
      </w:pPr>
      <w:r>
        <w:rPr>
          <w:rFonts w:ascii="Times New Roman" w:hAnsi="Times New Roman" w:cs="Times New Roman"/>
          <w:b w:val="0"/>
          <w:i w:val="0"/>
          <w:sz w:val="22"/>
        </w:rPr>
        <w:t>For many Indian patients, insulin resistance begins with repeated exposure to high glycaemic load meals built around polished rice, refined wheat, bakery foods, sweets, and frequent snacking. These foods are rapidly digested and absorbed, creating sharp postprandial glucose excursions that force the pancreas to release more insulin again and again. Over time, the body adapts to this environment by sustaining higher fasting insulin levels — the hallmark of chronic hyperinsulinaemia.</w:t>
      </w:r>
    </w:p>
    <w:p>
      <w:pPr>
        <w:spacing w:after="120" w:before="0" w:line="276" w:lineRule="auto"/>
        <w:jc w:val="both"/>
      </w:pPr>
      <w:r>
        <w:rPr>
          <w:rFonts w:ascii="Times New Roman" w:hAnsi="Times New Roman" w:cs="Times New Roman"/>
          <w:b w:val="0"/>
          <w:i w:val="0"/>
          <w:sz w:val="22"/>
        </w:rPr>
        <w:t>This trigger is especially important because it is culturally embedded and often normalised as ordinary daily diet. The clinical issue is not occasional carbohydrate intake but the cumulative metabolic stress of repeated glucose spikes. In the Indian phenotype, this pattern may appear long before frank hyperglycaemia, while HOMA-IR gradually rises above the proposed operational threshold of 2.3.</w:t>
      </w:r>
    </w:p>
    <w:p>
      <w:pPr>
        <w:spacing w:after="120" w:before="0" w:line="276" w:lineRule="auto"/>
        <w:jc w:val="both"/>
      </w:pPr>
      <w:r>
        <w:rPr>
          <w:rFonts w:ascii="Times New Roman" w:hAnsi="Times New Roman" w:cs="Times New Roman"/>
          <w:b w:val="0"/>
          <w:i w:val="0"/>
          <w:sz w:val="22"/>
        </w:rPr>
        <w:t>A practical clinical interpretation is that insulin resistance is often not a single disease event but a dietary rhythm problem. When refined carbohydrates dominate most meals, the pancreas is forced into a compensatory state that can last for years. This is why carbohydrate quality, portion structure, meal timing, and food processing level matter as much as total calories within this framework.</w:t>
      </w:r>
    </w:p>
    <w:p>
      <w:pPr>
        <w:keepNext/>
        <w:spacing w:before="240" w:after="120"/>
        <w:jc w:val="left"/>
      </w:pPr>
      <w:r>
        <w:rPr>
          <w:rFonts w:ascii="Arial" w:hAnsi="Arial" w:cs="Arial"/>
          <w:b/>
          <w:sz w:val="26"/>
        </w:rPr>
        <w:t>3.2 — Visceral Obesity — TOFI and Ectopic Fat</w:t>
      </w:r>
    </w:p>
    <w:p>
      <w:pPr>
        <w:spacing w:after="120" w:before="0" w:line="276" w:lineRule="auto"/>
        <w:jc w:val="both"/>
      </w:pPr>
      <w:r>
        <w:rPr>
          <w:rFonts w:ascii="Times New Roman" w:hAnsi="Times New Roman" w:cs="Times New Roman"/>
          <w:b w:val="0"/>
          <w:i w:val="0"/>
          <w:sz w:val="22"/>
        </w:rPr>
        <w:t>Visceral obesity is a major trigger of insulin resistance even when BMI appears only mildly elevated or entirely normal. The TOFI phenotype — thin outside, fat inside — describes individuals who carry disproportionate visceral and ectopic fat despite an apparently lean body shape. In this setting, fat is deposited in the liver, pancreas, and abdominal cavity, where it behaves metabolically rather than merely as stored energy.</w:t>
      </w:r>
    </w:p>
    <w:p>
      <w:pPr>
        <w:spacing w:before="120" w:after="120"/>
        <w:ind w:left="432" w:right="432"/>
        <w:jc w:val="left"/>
      </w:pPr>
      <w:r>
        <w:rPr>
          <w:rFonts w:ascii="Times New Roman" w:hAnsi="Times New Roman" w:cs="Times New Roman"/>
          <w:b/>
          <w:i/>
          <w:sz w:val="22"/>
        </w:rPr>
        <w:t>A patient with normal weight may still carry high waist circumference, raised triglycerides, fatty liver, and elevated insulin — the scale tells a reassuring story the body is not actually living.</w:t>
      </w:r>
    </w:p>
    <w:p>
      <w:pPr>
        <w:spacing w:after="120" w:before="0" w:line="276" w:lineRule="auto"/>
        <w:jc w:val="both"/>
      </w:pPr>
      <w:r>
        <w:rPr>
          <w:rFonts w:ascii="Times New Roman" w:hAnsi="Times New Roman" w:cs="Times New Roman"/>
          <w:b w:val="0"/>
          <w:i w:val="0"/>
          <w:sz w:val="22"/>
        </w:rPr>
        <w:t>The central problem is portal fatty acid flux. Visceral adipose tissue releases free fatty acids directly into the portal circulation, increasing hepatic fat delivery and worsening hepatic insulin resistance. As the liver becomes more insulin resistant, it overproduces glucose and triglyceride-rich lipoproteins, which can drive the TyG index upward. This trigger matters because BMI can miss the real pathology entirely. In the Indian phenotype, this hidden adiposity often explains why metabolic disease occurs at lower body mass than in Western cohorts.</w:t>
      </w:r>
    </w:p>
    <w:p>
      <w:pPr>
        <w:spacing w:after="120" w:before="0" w:line="276" w:lineRule="auto"/>
        <w:jc w:val="both"/>
      </w:pPr>
      <w:r>
        <w:rPr>
          <w:rFonts w:ascii="Times New Roman" w:hAnsi="Times New Roman" w:cs="Times New Roman"/>
          <w:b w:val="0"/>
          <w:i w:val="0"/>
          <w:sz w:val="22"/>
        </w:rPr>
        <w:t>Clinically, TOFI should be considered a high-risk phenotype whenever abdominal obesity, fatty liver, raised triglycerides, or family history of diabetes are present. The framework treats ectopic fat not as a cosmetic issue but as a source of inflammatory and metabolic signalling that steadily worsens systemic insulin resistance.</w:t>
      </w:r>
    </w:p>
    <w:p>
      <w:pPr>
        <w:keepNext/>
        <w:spacing w:before="240" w:after="120"/>
        <w:jc w:val="left"/>
      </w:pPr>
      <w:r>
        <w:rPr>
          <w:rFonts w:ascii="Arial" w:hAnsi="Arial" w:cs="Arial"/>
          <w:b/>
          <w:sz w:val="26"/>
        </w:rPr>
        <w:t>3.3 — Vitamin D Deficiency — A Proposed Insulin Signalling Modifier</w:t>
      </w:r>
    </w:p>
    <w:p>
      <w:pPr>
        <w:spacing w:after="120" w:before="0" w:line="276" w:lineRule="auto"/>
        <w:jc w:val="both"/>
      </w:pPr>
      <w:r>
        <w:rPr>
          <w:rFonts w:ascii="Times New Roman" w:hAnsi="Times New Roman" w:cs="Times New Roman"/>
          <w:b w:val="0"/>
          <w:i w:val="0"/>
          <w:sz w:val="22"/>
        </w:rPr>
        <w:t>Vitamin D deficiency is common in India, and many studies report high biochemical prevalence when global cutoffs are applied. However, its role in insulin resistance should be framed carefully — the mechanism is proposed, not definitively proven. The proposed pathways include vitamin D receptor-mediated effects on pancreatic beta cell function, altered calcium signalling, and modulation of peripheral insulin sensitivity.²</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3.2 ]</w:t>
      </w:r>
    </w:p>
    <w:p>
      <w:pPr>
        <w:spacing w:before="40" w:after="200"/>
        <w:jc w:val="center"/>
      </w:pPr>
      <w:r>
        <w:rPr>
          <w:rFonts w:ascii="Times New Roman" w:hAnsi="Times New Roman" w:cs="Times New Roman"/>
          <w:b w:val="0"/>
          <w:i/>
          <w:sz w:val="18"/>
        </w:rPr>
        <w:t>Figure 3.2 — Micronutrient triggers: vitamin D and B12 deficiency in the Indian metabolic context.</w:t>
      </w:r>
    </w:p>
    <w:p>
      <w:pPr>
        <w:spacing w:after="120" w:before="0" w:line="276" w:lineRule="auto"/>
        <w:jc w:val="both"/>
      </w:pPr>
      <w:r>
        <w:rPr>
          <w:rFonts w:ascii="Times New Roman" w:hAnsi="Times New Roman" w:cs="Times New Roman"/>
          <w:b w:val="0"/>
          <w:i w:val="0"/>
          <w:sz w:val="22"/>
        </w:rPr>
        <w:t>The Indian literature suggests prevalence estimates can be very high, with many cohorts reporting deficiency rates in the broad range of 55 to 91 percent, depending on cutoff and population studied. At the same time, recent Indian review evidence argues that global thresholds may overstate disease burden and that outcome-linked, population-specific reference standards may be more appropriate for Indian populations.²</w:t>
      </w:r>
    </w:p>
    <w:p>
      <w:pPr>
        <w:spacing w:after="120" w:before="0" w:line="276" w:lineRule="auto"/>
        <w:jc w:val="both"/>
      </w:pPr>
      <w:r>
        <w:rPr>
          <w:rFonts w:ascii="Times New Roman" w:hAnsi="Times New Roman" w:cs="Times New Roman"/>
          <w:b w:val="0"/>
          <w:i w:val="0"/>
          <w:sz w:val="22"/>
        </w:rPr>
        <w:t>Within this framework, vitamin D deficiency is best understood as a metabolic amplifier rather than a standalone cause of insulin resistance. It may worsen insulin secretion, immune balance, and muscular glucose handling, particularly when combined with obesity, low physical activity, and poor diet. Because the mechanism is still debated, it is described here as proposed rather than definitive. The clinical message is simple — identify vitamin D deficiency as a potentially modifiable cofactor, but avoid claiming it is the sole driver of insulin resistance. Screening and correction remain reasonable and low-cost, while universal thresholds may not map perfectly onto Indian physiology.</w:t>
      </w:r>
    </w:p>
    <w:p>
      <w:pPr>
        <w:keepNext/>
        <w:spacing w:before="240" w:after="120"/>
        <w:jc w:val="left"/>
      </w:pPr>
      <w:r>
        <w:rPr>
          <w:rFonts w:ascii="Arial" w:hAnsi="Arial" w:cs="Arial"/>
          <w:b/>
          <w:sz w:val="26"/>
        </w:rPr>
        <w:t>3.4 — Vitamin B12 Deficiency — The Metformin Double Hit</w:t>
      </w:r>
    </w:p>
    <w:p>
      <w:pPr>
        <w:spacing w:after="120" w:before="0" w:line="276" w:lineRule="auto"/>
        <w:jc w:val="both"/>
      </w:pPr>
      <w:r>
        <w:rPr>
          <w:rFonts w:ascii="Times New Roman" w:hAnsi="Times New Roman" w:cs="Times New Roman"/>
          <w:b w:val="0"/>
          <w:i w:val="0"/>
          <w:sz w:val="22"/>
        </w:rPr>
        <w:t>Vitamin B12 deficiency is highly relevant in India because vegetarian dietary patterns and metformin exposure can act together as a double hit. In Indian cohorts, B12 deficiency has been reported as widespread, including estimates around 47 percent in north Indian populations, with substantial prevalence also documented in diabetes and endocrine practice settings. Metformin further increases risk, making this deficiency especially relevant in patients with prediabetes and type 2 diabetes.³</w:t>
      </w:r>
    </w:p>
    <w:p>
      <w:pPr>
        <w:spacing w:after="120" w:before="0" w:line="276" w:lineRule="auto"/>
        <w:jc w:val="both"/>
      </w:pPr>
      <w:r>
        <w:rPr>
          <w:rFonts w:ascii="Times New Roman" w:hAnsi="Times New Roman" w:cs="Times New Roman"/>
          <w:b w:val="0"/>
          <w:i w:val="0"/>
          <w:sz w:val="22"/>
        </w:rPr>
        <w:t>The biochemical consequence is impaired one-carbon metabolism, disturbed methylation, and accumulation of metabolites linked to neuropathy and metabolic inefficiency. B12 deficiency should not be treated as a minor laboratory abnormality — it interacts with homocysteine metabolism, nerve function, and energy pathways, thereby amplifying the metabolic burden of insulin resistance.</w:t>
      </w:r>
    </w:p>
    <w:p>
      <w:pPr>
        <w:spacing w:after="120" w:before="0" w:line="276" w:lineRule="auto"/>
        <w:jc w:val="both"/>
      </w:pPr>
      <w:r>
        <w:rPr>
          <w:rFonts w:ascii="Times New Roman" w:hAnsi="Times New Roman" w:cs="Times New Roman"/>
          <w:b w:val="0"/>
          <w:i w:val="0"/>
          <w:sz w:val="22"/>
        </w:rPr>
        <w:t>For clinical supplementation within this framework, methylcobalamin is the preferred form, as the active bioavailable form supporting the methylation cycle directly without requiring hepatic conversion. A useful clinical framing is that B12 deficiency can worsen fatigue, neuropathic symptoms, and metabolic recovery even when glucose numbers appear acceptable. In a patient already struggling with insulin resistance, untreated B12 deficiency may conceal or aggravate the larger syndrome.</w:t>
      </w:r>
    </w:p>
    <w:p>
      <w:pPr>
        <w:keepNext/>
        <w:spacing w:before="240" w:after="120"/>
        <w:jc w:val="left"/>
      </w:pPr>
      <w:r>
        <w:rPr>
          <w:rFonts w:ascii="Arial" w:hAnsi="Arial" w:cs="Arial"/>
          <w:b/>
          <w:sz w:val="26"/>
        </w:rPr>
        <w:t>3.5 — Iron Deficiency — Ferritin and Cellular Energy Failure</w:t>
      </w:r>
    </w:p>
    <w:p>
      <w:pPr>
        <w:spacing w:after="120" w:before="0" w:line="276" w:lineRule="auto"/>
        <w:jc w:val="both"/>
      </w:pPr>
      <w:r>
        <w:rPr>
          <w:rFonts w:ascii="Times New Roman" w:hAnsi="Times New Roman" w:cs="Times New Roman"/>
          <w:b w:val="0"/>
          <w:i w:val="0"/>
          <w:sz w:val="22"/>
        </w:rPr>
        <w:t>Iron deficiency is an underappreciated trigger of insulin resistance, especially when ferritin falls below 30 ng/mL. Iron is essential for mitochondrial enzymes, oxygen handling, and ATP production, so deficiency can impair cellular energy generation long before overt anaemia becomes apparent. When tissues do not produce ATP efficiently, glucose transport and utilisation become less effective, contributing to insulin resistance.</w:t>
      </w:r>
    </w:p>
    <w:p>
      <w:pPr>
        <w:spacing w:after="120" w:before="0" w:line="276" w:lineRule="auto"/>
        <w:jc w:val="both"/>
      </w:pPr>
      <w:r>
        <w:rPr>
          <w:rFonts w:ascii="Times New Roman" w:hAnsi="Times New Roman" w:cs="Times New Roman"/>
          <w:b w:val="0"/>
          <w:i w:val="0"/>
          <w:sz w:val="22"/>
        </w:rPr>
        <w:t>The framework treats this as an energy problem as much as a haematological one. Muscle, liver, and pancreatic beta cells all depend on adequate mitochondrial function. If iron deficiency persists, the body may require greater insulin output to achieve the same metabolic result, deepening compensatory hyperinsulinaemia. A practical clinical mistake is to overlook ferritin because haemoglobin remains within range — this misses early iron depletion and delays intervention. Ferritin below 30 ng/mL should be treated as a meaningful metabolic red flag, especially when fatigue, hair loss, reduced exercise tolerance, or poor glycaemic control coexist.</w:t>
      </w:r>
    </w:p>
    <w:p>
      <w:pPr>
        <w:spacing w:after="120" w:before="0" w:line="276" w:lineRule="auto"/>
        <w:jc w:val="both"/>
      </w:pPr>
      <w:r>
        <w:rPr>
          <w:rFonts w:ascii="Times New Roman" w:hAnsi="Times New Roman" w:cs="Times New Roman"/>
          <w:b w:val="0"/>
          <w:i w:val="0"/>
          <w:sz w:val="22"/>
        </w:rPr>
        <w:t>Iron deficiency also intersects with diet quality, menstrual blood loss, gastrointestinal disease, and vegetarian food patterns. For this reason it should be evaluated as a systemic contributor rather than an isolated lab value. Correcting iron deficiency is part of restoring cellular energy and reducing the insulin burden on already stressed tissues.</w:t>
      </w:r>
    </w:p>
    <w:p>
      <w:pPr>
        <w:keepNext/>
        <w:spacing w:before="240" w:after="120"/>
        <w:jc w:val="left"/>
      </w:pPr>
      <w:r>
        <w:rPr>
          <w:rFonts w:ascii="Arial" w:hAnsi="Arial" w:cs="Arial"/>
          <w:b/>
          <w:sz w:val="26"/>
        </w:rPr>
        <w:t>3.6 — Sarcopenia — Loss of the Glucose Sink</w:t>
      </w:r>
    </w:p>
    <w:p>
      <w:pPr>
        <w:spacing w:after="120" w:before="0" w:line="276" w:lineRule="auto"/>
        <w:jc w:val="both"/>
      </w:pPr>
      <w:r>
        <w:rPr>
          <w:rFonts w:ascii="Times New Roman" w:hAnsi="Times New Roman" w:cs="Times New Roman"/>
          <w:b w:val="0"/>
          <w:i w:val="0"/>
          <w:sz w:val="22"/>
        </w:rPr>
        <w:t>Sarcopenia is a powerful trigger because skeletal muscle is the body's largest glucose sink. Healthy muscle stores and disposes of glucose efficiently under insulin's guidance, so loss of muscle mass reduces the body's capacity to handle carbohydrate loads. The result is higher circulating glucose, greater insulin demand, and progressive insulin resistance.</w:t>
      </w:r>
    </w:p>
    <w:p>
      <w:pPr>
        <w:spacing w:before="120" w:after="120"/>
        <w:ind w:left="432" w:right="432"/>
        <w:jc w:val="left"/>
      </w:pPr>
      <w:r>
        <w:rPr>
          <w:rFonts w:ascii="Times New Roman" w:hAnsi="Times New Roman" w:cs="Times New Roman"/>
          <w:b/>
          <w:i/>
          <w:sz w:val="22"/>
        </w:rPr>
        <w:t>A patient can carry central adiposity and low muscle mass simultaneously — sarcopenic obesity — making BMI not just unhelpful but actively misleading about true metabolic risk.</w:t>
      </w:r>
    </w:p>
    <w:p>
      <w:pPr>
        <w:spacing w:after="120" w:before="0" w:line="276" w:lineRule="auto"/>
        <w:jc w:val="both"/>
      </w:pPr>
      <w:r>
        <w:rPr>
          <w:rFonts w:ascii="Times New Roman" w:hAnsi="Times New Roman" w:cs="Times New Roman"/>
          <w:b w:val="0"/>
          <w:i w:val="0"/>
          <w:sz w:val="22"/>
        </w:rPr>
        <w:t>The relationship is bidirectional. Insulin resistance promotes inflammation, inactivity, and protein catabolism, which accelerate muscle loss. In turn, sarcopenia worsens insulin resistance by reducing insulin-mediated glucose uptake and by limiting the metabolic reserve needed to buffer dietary carbohydrate exposure. This creates a self-reinforcing cycle especially important in ageing adults and in individuals with low protein intake or physical inactivity. Muscle preservation is therefore not just about strength or mobility — it is a core insulin-sensitising strategy. Resistance exercise, adequate protein intake, and correction of nutrient deficits all matter because they restore the muscle compartment as an effective glucose sink.</w:t>
      </w:r>
    </w:p>
    <w:p>
      <w:pPr>
        <w:keepNext/>
        <w:spacing w:before="240" w:after="120"/>
        <w:jc w:val="left"/>
      </w:pPr>
      <w:r>
        <w:rPr>
          <w:rFonts w:ascii="Arial" w:hAnsi="Arial" w:cs="Arial"/>
          <w:b/>
          <w:sz w:val="26"/>
        </w:rPr>
        <w:t>3.7 — MTHFR C677T — Methylation Impairment and Homocysteine</w:t>
      </w:r>
    </w:p>
    <w:p>
      <w:pPr>
        <w:spacing w:after="120" w:before="0" w:line="276" w:lineRule="auto"/>
        <w:jc w:val="both"/>
      </w:pPr>
      <w:r>
        <w:rPr>
          <w:rFonts w:ascii="Times New Roman" w:hAnsi="Times New Roman" w:cs="Times New Roman"/>
          <w:b w:val="0"/>
          <w:i w:val="0"/>
          <w:sz w:val="22"/>
        </w:rPr>
        <w:t>The MTHFR C677T variant is an important genetic modifier in insulin resistance, but it must be framed cautiously. In India, prevalence appears variable across subgroups, and estimates around 25 percent should be presented as approximate rather than universal. The mutation affects folate-dependent methylation pathways, which can impair homocysteine remethylation and disturb cellular methylation balance.⁴</w:t>
      </w:r>
    </w:p>
    <w:p>
      <w:pPr>
        <w:spacing w:after="120" w:before="0" w:line="276" w:lineRule="auto"/>
        <w:jc w:val="both"/>
      </w:pPr>
      <w:r>
        <w:rPr>
          <w:rFonts w:ascii="Times New Roman" w:hAnsi="Times New Roman" w:cs="Times New Roman"/>
          <w:b w:val="0"/>
          <w:i w:val="0"/>
          <w:sz w:val="22"/>
        </w:rPr>
        <w:t>The proposed mechanism is that impaired methylation may contribute to endothelial dysfunction, oxidative stress, and altered cellular repair. These effects can worsen metabolic resilience, especially when combined with poor diet, B12 deficiency, and obesity. The result is not a standalone disease but a biological susceptibility that may magnify insulin resistance under real-world conditions. Homocysteine becomes clinically relevant because it reflects disruption of one-carbon metabolism — when elevated, it may indicate a need to look more closely at folate status, vitamin B12 status, and related nutritional factors. In patients who are metabolically compliant but still insulin resistant, this genetic-metabolic pathway may help explain why progress is slower than expected. The most defensible framing is that MTHFR C677T may contribute to methylation impairment and homocysteine elevation in susceptible Indian subgroups, acting as a trigger or amplifier of insulin resistance rather than a sole determinant.</w:t>
      </w:r>
    </w:p>
    <w:p>
      <w:pPr>
        <w:keepNext/>
        <w:spacing w:before="240" w:after="120"/>
        <w:jc w:val="left"/>
      </w:pPr>
      <w:r>
        <w:rPr>
          <w:rFonts w:ascii="Arial" w:hAnsi="Arial" w:cs="Arial"/>
          <w:b/>
          <w:sz w:val="26"/>
        </w:rPr>
        <w:t>3.8 — Ultra-Processed Junk Food — Dysbiosis and Inflammation</w:t>
      </w:r>
    </w:p>
    <w:p>
      <w:pPr>
        <w:spacing w:after="120" w:before="0" w:line="276" w:lineRule="auto"/>
        <w:jc w:val="both"/>
      </w:pPr>
      <w:r>
        <w:rPr>
          <w:rFonts w:ascii="Times New Roman" w:hAnsi="Times New Roman" w:cs="Times New Roman"/>
          <w:b w:val="0"/>
          <w:i w:val="0"/>
          <w:sz w:val="22"/>
        </w:rPr>
        <w:t>Ultra-processed junk food is a major modern trigger because it combines refined starches, added sugars, industrial fats, excess salt, and low fibre density. This pattern alters the gut microbiome, promotes dysbiosis, and weakens the intestinal barrier. When gut permeability rises, lipopolysaccharide exposure may increase, feeding systemic inflammation and worsening insulin resistance.</w:t>
      </w:r>
    </w:p>
    <w:p>
      <w:pPr>
        <w:spacing w:after="120" w:before="0" w:line="276" w:lineRule="auto"/>
        <w:jc w:val="both"/>
      </w:pPr>
      <w:r>
        <w:rPr>
          <w:rFonts w:ascii="Times New Roman" w:hAnsi="Times New Roman" w:cs="Times New Roman"/>
          <w:b w:val="0"/>
          <w:i w:val="0"/>
          <w:sz w:val="22"/>
        </w:rPr>
        <w:t>The gut-liver axis is central here. Inflammatory signals from the intestine can reach the liver through the portal circulation and intensify hepatic insulin resistance. At the same time, high-fructose and high-calorie processed foods increase de novo lipogenesis, raising triglycerides and pushing the TyG index upward. This trigger is especially relevant in urban India, where convenience food, packaged snacks, sugary beverages, and restaurant meals are increasingly common. The problem is not sugar alone but the full matrix of processing, low fibre, and repeated hyperpalatable exposure. These foods encourage overeating and suppress metabolic satiety signals, making them a long-term driver of weight gain and insulin resistance. Ultra-processed food is not simply unhealthy — it is metabolically disruptive, worsening inflammation, disturbing the microbiome, and reinforcing the same insulin resistance loop already being driven by diet, visceral fat, and nutrient deficiencies.</w:t>
      </w:r>
    </w:p>
    <w:p>
      <w:pPr>
        <w:keepNext/>
        <w:spacing w:before="240" w:after="120"/>
        <w:jc w:val="left"/>
      </w:pPr>
      <w:r>
        <w:rPr>
          <w:rFonts w:ascii="Arial" w:hAnsi="Arial" w:cs="Arial"/>
          <w:b/>
          <w:sz w:val="26"/>
        </w:rPr>
        <w:t>3.9 — Convergence — The Final Common Pathway</w:t>
      </w:r>
    </w:p>
    <w:p>
      <w:pPr>
        <w:spacing w:after="120" w:before="0" w:line="276" w:lineRule="auto"/>
        <w:jc w:val="both"/>
      </w:pPr>
      <w:r>
        <w:rPr>
          <w:rFonts w:ascii="Times New Roman" w:hAnsi="Times New Roman" w:cs="Times New Roman"/>
          <w:b w:val="0"/>
          <w:i w:val="0"/>
          <w:sz w:val="22"/>
        </w:rPr>
        <w:t>These eight triggers do not act independently — they converge on the same final metabolic pathway. High GI diets, visceral fat, micronutrient deficiencies, sarcopenia, genetic susceptibility, and ultra-processed food exposure all intensify hyperinsulinaemia until the pancreas can no longer compensate. The proposed operational thresholds used throughout this framework — HOMA-IR above 2.3 and TyG above 8.82 natural log, drawn from published Indian cohorts — are labelled the Dr. Nehru Method for practical clinical staging rather than universal consensus.</w:t>
      </w:r>
    </w:p>
    <w:p>
      <w:pPr>
        <w:spacing w:after="120" w:before="0" w:line="276" w:lineRule="auto"/>
        <w:jc w:val="both"/>
      </w:pPr>
      <w:r>
        <w:rPr>
          <w:rFonts w:ascii="Times New Roman" w:hAnsi="Times New Roman" w:cs="Times New Roman"/>
          <w:b w:val="0"/>
          <w:i w:val="0"/>
          <w:sz w:val="22"/>
        </w:rPr>
        <w:t>The convergence point is beta cell stress and eventual beta cell dysfunction. Once compensatory insulin secretion can no longer match the demand created by insulin resistance, glucose levels rise and the clinical phase of dysglycaemia becomes visible. This is why the framework emphasises early identification of these triggers, before the transition from compensation to decompensation becomes difficult to reverse.</w:t>
      </w:r>
    </w:p>
    <w:p>
      <w:pPr>
        <w:spacing w:after="120" w:before="0" w:line="276" w:lineRule="auto"/>
        <w:jc w:val="both"/>
      </w:pPr>
      <w:r>
        <w:rPr>
          <w:rFonts w:ascii="Times New Roman" w:hAnsi="Times New Roman" w:cs="Times New Roman"/>
          <w:b w:val="0"/>
          <w:i w:val="0"/>
          <w:sz w:val="22"/>
        </w:rPr>
        <w:t>The operational value of this approach is that it creates a structured clinical language for Indian patients. Instead of waiting for overt diabetes, clinicians can recognise the full cluster of risks and intervene at the level of diet, body composition, nutrition, genetics, and inflammation. The final common pathway is not simply hyperglycaemia — it is the progressive loss of beta cell reserve, occurring silently across multiple converging pathways at once.</w:t>
      </w:r>
    </w:p>
    <w:p>
      <w:pPr>
        <w:keepNext/>
        <w:spacing w:before="240" w:after="120"/>
        <w:jc w:val="left"/>
      </w:pPr>
      <w:r>
        <w:rPr>
          <w:rFonts w:ascii="Arial" w:hAnsi="Arial" w:cs="Arial"/>
          <w:b/>
          <w:sz w:val="26"/>
        </w:rPr>
        <w:t>Clinical Summary — Chapter 3</w:t>
      </w:r>
    </w:p>
    <w:p>
      <w:pPr>
        <w:spacing w:after="120" w:before="0" w:line="276" w:lineRule="auto"/>
        <w:jc w:val="both"/>
      </w:pPr>
      <w:r>
        <w:rPr>
          <w:rFonts w:ascii="Times New Roman" w:hAnsi="Times New Roman" w:cs="Times New Roman"/>
          <w:b w:val="0"/>
          <w:i w:val="0"/>
          <w:sz w:val="22"/>
        </w:rPr>
        <w:t>• Eight triggers converge on HOMA-IR above 2.3 and TyG above 8.82 — proposed Dr. Nehru Method operational thresholds, not universal consensus.</w:t>
      </w:r>
    </w:p>
    <w:p>
      <w:pPr>
        <w:spacing w:after="120" w:before="0" w:line="276" w:lineRule="auto"/>
        <w:jc w:val="both"/>
      </w:pPr>
      <w:r>
        <w:rPr>
          <w:rFonts w:ascii="Times New Roman" w:hAnsi="Times New Roman" w:cs="Times New Roman"/>
          <w:b w:val="0"/>
          <w:i w:val="0"/>
          <w:sz w:val="22"/>
        </w:rPr>
        <w:t>• High GI carbohydrates — repeated postprandial glucose spikes drive chronic compensatory hyperinsulinaemia.</w:t>
      </w:r>
    </w:p>
    <w:p>
      <w:pPr>
        <w:spacing w:after="120" w:before="0" w:line="276" w:lineRule="auto"/>
        <w:jc w:val="both"/>
      </w:pPr>
      <w:r>
        <w:rPr>
          <w:rFonts w:ascii="Times New Roman" w:hAnsi="Times New Roman" w:cs="Times New Roman"/>
          <w:b w:val="0"/>
          <w:i w:val="0"/>
          <w:sz w:val="22"/>
        </w:rPr>
        <w:t>• TOFI phenotype — visceral and ectopic fat at normal BMI — BMI alone is an unreliable screening tool.</w:t>
      </w:r>
    </w:p>
    <w:p>
      <w:pPr>
        <w:spacing w:after="120" w:before="0" w:line="276" w:lineRule="auto"/>
        <w:jc w:val="both"/>
      </w:pPr>
      <w:r>
        <w:rPr>
          <w:rFonts w:ascii="Times New Roman" w:hAnsi="Times New Roman" w:cs="Times New Roman"/>
          <w:b w:val="0"/>
          <w:i w:val="0"/>
          <w:sz w:val="22"/>
        </w:rPr>
        <w:t>• Vitamin D deficiency — proposed, not proven, insulin signalling modifier — 55 to 91% prevalence reported in Indian cohorts.</w:t>
      </w:r>
    </w:p>
    <w:p>
      <w:pPr>
        <w:spacing w:after="120" w:before="0" w:line="276" w:lineRule="auto"/>
        <w:jc w:val="both"/>
      </w:pPr>
      <w:r>
        <w:rPr>
          <w:rFonts w:ascii="Times New Roman" w:hAnsi="Times New Roman" w:cs="Times New Roman"/>
          <w:b w:val="0"/>
          <w:i w:val="0"/>
          <w:sz w:val="22"/>
        </w:rPr>
        <w:t>• Vitamin B12 deficiency — metformin double hit — methylcobalamin preferred form for replacement.</w:t>
      </w:r>
    </w:p>
    <w:p>
      <w:pPr>
        <w:spacing w:after="120" w:before="0" w:line="276" w:lineRule="auto"/>
        <w:jc w:val="both"/>
      </w:pPr>
      <w:r>
        <w:rPr>
          <w:rFonts w:ascii="Times New Roman" w:hAnsi="Times New Roman" w:cs="Times New Roman"/>
          <w:b w:val="0"/>
          <w:i w:val="0"/>
          <w:sz w:val="22"/>
        </w:rPr>
        <w:t>• Iron deficiency — ferritin below 30 ng/mL — mitochondrial ATP impairment — metabolic red flag.</w:t>
      </w:r>
    </w:p>
    <w:p>
      <w:pPr>
        <w:spacing w:after="120" w:before="0" w:line="276" w:lineRule="auto"/>
        <w:jc w:val="both"/>
      </w:pPr>
      <w:r>
        <w:rPr>
          <w:rFonts w:ascii="Times New Roman" w:hAnsi="Times New Roman" w:cs="Times New Roman"/>
          <w:b w:val="0"/>
          <w:i w:val="0"/>
          <w:sz w:val="22"/>
        </w:rPr>
        <w:t>• Sarcopenia — bidirectional with insulin resistance — sarcopenic obesity can mask true metabolic risk.</w:t>
      </w:r>
    </w:p>
    <w:p>
      <w:pPr>
        <w:spacing w:after="120" w:before="0" w:line="276" w:lineRule="auto"/>
        <w:jc w:val="both"/>
      </w:pPr>
      <w:r>
        <w:rPr>
          <w:rFonts w:ascii="Times New Roman" w:hAnsi="Times New Roman" w:cs="Times New Roman"/>
          <w:b w:val="0"/>
          <w:i w:val="0"/>
          <w:sz w:val="22"/>
        </w:rPr>
        <w:t>• MTHFR C677T — approximately 25% prevalence in India — variable across subgroups — amplifier not sole cause.</w:t>
      </w:r>
    </w:p>
    <w:p>
      <w:pPr>
        <w:spacing w:after="120" w:before="0" w:line="276" w:lineRule="auto"/>
        <w:jc w:val="both"/>
      </w:pPr>
      <w:r>
        <w:rPr>
          <w:rFonts w:ascii="Times New Roman" w:hAnsi="Times New Roman" w:cs="Times New Roman"/>
          <w:b w:val="0"/>
          <w:i w:val="0"/>
          <w:sz w:val="22"/>
        </w:rPr>
        <w:t>• Ultra-processed food — gut dysbiosis — LPS — systemic inflammation — TyG elevation via de novo lipogenesis.</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Which carbohydrate pattern most strongly promotes chronic hyperinsulinaemia in this framework?</w:t>
      </w:r>
    </w:p>
    <w:p>
      <w:pPr>
        <w:spacing w:after="20"/>
        <w:ind w:left="432"/>
      </w:pPr>
      <w:r>
        <w:rPr>
          <w:rFonts w:ascii="Times New Roman" w:hAnsi="Times New Roman" w:cs="Times New Roman"/>
          <w:sz w:val="22"/>
        </w:rPr>
        <w:t>A. Low-fibre refined food pattern   B. High-protein pattern   C. High GI rice and wheat dominance   D. Intermittent fasting alone</w:t>
      </w:r>
    </w:p>
    <w:p>
      <w:pPr>
        <w:spacing w:after="40"/>
        <w:jc w:val="left"/>
      </w:pPr>
      <w:r>
        <w:rPr>
          <w:rFonts w:ascii="Times New Roman" w:hAnsi="Times New Roman" w:cs="Times New Roman"/>
          <w:b w:val="0"/>
          <w:sz w:val="22"/>
        </w:rPr>
        <w:t>2. What best describes the TOFI phenotype?</w:t>
      </w:r>
    </w:p>
    <w:p>
      <w:pPr>
        <w:spacing w:after="20"/>
        <w:ind w:left="432"/>
      </w:pPr>
      <w:r>
        <w:rPr>
          <w:rFonts w:ascii="Times New Roman" w:hAnsi="Times New Roman" w:cs="Times New Roman"/>
          <w:sz w:val="22"/>
        </w:rPr>
        <w:t>A. High BMI with low visceral fat   B. Thin outside, fat inside   C. Normal waist with no ectopic fat   D. Lean body mass with high muscle</w:t>
      </w:r>
    </w:p>
    <w:p>
      <w:pPr>
        <w:spacing w:after="40"/>
        <w:jc w:val="left"/>
      </w:pPr>
      <w:r>
        <w:rPr>
          <w:rFonts w:ascii="Times New Roman" w:hAnsi="Times New Roman" w:cs="Times New Roman"/>
          <w:b w:val="0"/>
          <w:sz w:val="22"/>
        </w:rPr>
        <w:t>3. Ferritin below which level is treated as metabolically significant in this chapter?</w:t>
      </w:r>
    </w:p>
    <w:p>
      <w:pPr>
        <w:spacing w:after="20"/>
        <w:ind w:left="432"/>
      </w:pPr>
      <w:r>
        <w:rPr>
          <w:rFonts w:ascii="Times New Roman" w:hAnsi="Times New Roman" w:cs="Times New Roman"/>
          <w:sz w:val="22"/>
        </w:rPr>
        <w:t>A. 10 ng/mL   B. 20 ng/mL   C. 30 ng/mL   D. 50 ng/mL</w:t>
      </w:r>
    </w:p>
    <w:p>
      <w:pPr>
        <w:spacing w:after="40"/>
        <w:jc w:val="left"/>
      </w:pPr>
      <w:r>
        <w:rPr>
          <w:rFonts w:ascii="Times New Roman" w:hAnsi="Times New Roman" w:cs="Times New Roman"/>
          <w:b w:val="0"/>
          <w:sz w:val="22"/>
        </w:rPr>
        <w:t>4. Which vitamin deficiency is linked here with the metformin double hit?</w:t>
      </w:r>
    </w:p>
    <w:p>
      <w:pPr>
        <w:spacing w:after="20"/>
        <w:ind w:left="432"/>
      </w:pPr>
      <w:r>
        <w:rPr>
          <w:rFonts w:ascii="Times New Roman" w:hAnsi="Times New Roman" w:cs="Times New Roman"/>
          <w:sz w:val="22"/>
        </w:rPr>
        <w:t>A. Vitamin A   B. Vitamin C   C. Vitamin B12   D. Vitamin K</w:t>
      </w:r>
    </w:p>
    <w:p>
      <w:pPr>
        <w:spacing w:after="40"/>
        <w:jc w:val="left"/>
      </w:pPr>
      <w:r>
        <w:rPr>
          <w:rFonts w:ascii="Times New Roman" w:hAnsi="Times New Roman" w:cs="Times New Roman"/>
          <w:b w:val="0"/>
          <w:sz w:val="22"/>
        </w:rPr>
        <w:t>5. The proposed operational TyG threshold in this framework is:</w:t>
      </w:r>
    </w:p>
    <w:p>
      <w:pPr>
        <w:spacing w:after="20"/>
        <w:ind w:left="432"/>
      </w:pPr>
      <w:r>
        <w:rPr>
          <w:rFonts w:ascii="Times New Roman" w:hAnsi="Times New Roman" w:cs="Times New Roman"/>
          <w:sz w:val="22"/>
        </w:rPr>
        <w:t>A. 7.0   B. 8.82   C. 9.5   D. 10.5</w:t>
      </w:r>
    </w:p>
    <w:p>
      <w:pPr>
        <w:spacing w:before="160"/>
      </w:pPr>
      <w:r>
        <w:rPr>
          <w:rFonts w:ascii="Times New Roman" w:hAnsi="Times New Roman" w:cs="Times New Roman"/>
          <w:b/>
          <w:sz w:val="20"/>
        </w:rPr>
        <w:t xml:space="preserve">Answers: </w:t>
      </w:r>
      <w:r>
        <w:rPr>
          <w:rFonts w:ascii="Times New Roman" w:hAnsi="Times New Roman" w:cs="Times New Roman"/>
          <w:sz w:val="20"/>
        </w:rPr>
        <w:t>1. C  2. B  3. C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et al. HOMA-IR India cutoff above 2.3 and TyG cutoff above 8.82 natural log. Int J Med. 2026;8(2):977-983; IJCPR. 2026;18(2):826-833.</w:t>
      </w:r>
    </w:p>
    <w:p>
      <w:pPr>
        <w:spacing w:after="40"/>
        <w:jc w:val="left"/>
      </w:pPr>
      <w:r>
        <w:rPr>
          <w:rFonts w:ascii="Times New Roman" w:hAnsi="Times New Roman" w:cs="Times New Roman"/>
          <w:sz w:val="19"/>
        </w:rPr>
        <w:t>2. Laik JK, Kumar R, Sunder A, et al. A systematic review of evidence, misinterpretations, and the urgent need for population-specific reference standards related to vitamin D deficiency in India: a global myth imposed locally? Cureus. 2026.</w:t>
      </w:r>
    </w:p>
    <w:p>
      <w:pPr>
        <w:spacing w:after="40"/>
        <w:jc w:val="left"/>
      </w:pPr>
      <w:r>
        <w:rPr>
          <w:rFonts w:ascii="Times New Roman" w:hAnsi="Times New Roman" w:cs="Times New Roman"/>
          <w:sz w:val="19"/>
        </w:rPr>
        <w:t>3. Singla R. Vitamin B12 deficiency is endemic in Indian population: a perspective from north India. Indian J Endocrinol Metab. 2019.</w:t>
      </w:r>
    </w:p>
    <w:p>
      <w:pPr>
        <w:spacing w:after="40"/>
        <w:jc w:val="left"/>
      </w:pPr>
      <w:r>
        <w:rPr>
          <w:rFonts w:ascii="Times New Roman" w:hAnsi="Times New Roman" w:cs="Times New Roman"/>
          <w:sz w:val="19"/>
        </w:rPr>
        <w:t>4. MTHFR C677T polymorphism prevalence and variability across Indian population subgroups — molecular epidemiology studies.</w:t>
      </w:r>
    </w:p>
    <w:p>
      <w:pPr>
        <w:spacing w:after="40"/>
        <w:jc w:val="left"/>
      </w:pPr>
      <w:r>
        <w:rPr>
          <w:rFonts w:ascii="Times New Roman" w:hAnsi="Times New Roman" w:cs="Times New Roman"/>
          <w:sz w:val="19"/>
        </w:rPr>
        <w:t>5. Harinarayan CV, Joshi SR. Vitamin D status in India: prevalence, causalities and interventions. Nutr Rev. 2014;72(6):365-389.</w:t>
      </w:r>
    </w:p>
    <w:p>
      <w:pPr>
        <w:spacing w:after="40"/>
        <w:jc w:val="left"/>
      </w:pPr>
      <w:r>
        <w:rPr>
          <w:rFonts w:ascii="Times New Roman" w:hAnsi="Times New Roman" w:cs="Times New Roman"/>
          <w:sz w:val="19"/>
        </w:rPr>
        <w:t>6. Prevalence of vitamin B12 deficiency in Indian type 2 diabetes patients on long-term metformin therapy — Indian clinical cohort studies.</w:t>
      </w:r>
    </w:p>
    <w:p>
      <w:pPr>
        <w:spacing w:after="40"/>
        <w:jc w:val="left"/>
      </w:pPr>
      <w:r>
        <w:rPr>
          <w:rFonts w:ascii="Times New Roman" w:hAnsi="Times New Roman" w:cs="Times New Roman"/>
          <w:sz w:val="19"/>
        </w:rPr>
        <w:t>7. Iron deficiency and insulin resistance — mitochondrial dysfunction and ATP-dependent glucose transport — systematic review evidence.</w:t>
      </w:r>
    </w:p>
    <w:p>
      <w:pPr>
        <w:spacing w:after="40"/>
        <w:jc w:val="left"/>
      </w:pPr>
      <w:r>
        <w:rPr>
          <w:rFonts w:ascii="Times New Roman" w:hAnsi="Times New Roman" w:cs="Times New Roman"/>
          <w:sz w:val="19"/>
        </w:rPr>
        <w:t>8. Sarcopenia and insulin resistance — bidirectional relationship in type 2 diabetes — narrative review evidence.</w:t>
      </w:r>
    </w:p>
    <w:p>
      <w:pPr>
        <w:spacing w:after="40"/>
        <w:jc w:val="left"/>
      </w:pPr>
      <w:r>
        <w:rPr>
          <w:rFonts w:ascii="Times New Roman" w:hAnsi="Times New Roman" w:cs="Times New Roman"/>
          <w:sz w:val="19"/>
        </w:rPr>
        <w:t>9. Gut microbiota, inflammation, and insulin resistance — ultra-processed food and dysbiosis literature.</w:t>
      </w:r>
    </w:p>
    <w:p>
      <w:r>
        <w:br w:type="page"/>
      </w:r>
    </w:p>
    <w:p>
      <w:pPr>
        <w:jc w:val="left"/>
      </w:pPr>
      <w:r>
        <w:rPr>
          <w:rFonts w:ascii="Arial" w:hAnsi="Arial" w:cs="Arial"/>
          <w:b/>
          <w:sz w:val="26"/>
        </w:rPr>
        <w:t>CHAPTER 4</w:t>
      </w:r>
    </w:p>
    <w:p>
      <w:pPr>
        <w:keepNext/>
        <w:spacing w:before="360" w:after="120"/>
        <w:jc w:val="left"/>
      </w:pPr>
      <w:r>
        <w:rPr>
          <w:rFonts w:ascii="Arial" w:hAnsi="Arial" w:cs="Arial"/>
          <w:b/>
          <w:sz w:val="32"/>
        </w:rPr>
        <w:t>Hyperinsulinaemia — The Invisible Driver</w:t>
      </w:r>
    </w:p>
    <w:p>
      <w:pPr>
        <w:keepNext/>
        <w:spacing w:before="240" w:after="120"/>
        <w:jc w:val="left"/>
      </w:pPr>
      <w:r>
        <w:rPr>
          <w:rFonts w:ascii="Arial" w:hAnsi="Arial" w:cs="Arial"/>
          <w:b/>
          <w:sz w:val="26"/>
        </w:rPr>
        <w:t>Chapter 4: Hyperinsulinaemia — The Invisible Driver</w:t>
      </w:r>
    </w:p>
    <w:p>
      <w:pPr>
        <w:keepNext/>
        <w:spacing w:before="240" w:after="120"/>
        <w:jc w:val="left"/>
      </w:pPr>
      <w:r>
        <w:rPr>
          <w:rFonts w:ascii="Arial" w:hAnsi="Arial" w:cs="Arial"/>
          <w:b/>
          <w:sz w:val="26"/>
        </w:rPr>
        <w:t>The Silent Pre-Clinical Phase</w:t>
      </w:r>
    </w:p>
    <w:p>
      <w:pPr>
        <w:spacing w:after="120" w:before="0" w:line="276" w:lineRule="auto"/>
        <w:jc w:val="both"/>
      </w:pPr>
      <w:r>
        <w:rPr>
          <w:rFonts w:ascii="Times New Roman" w:hAnsi="Times New Roman" w:cs="Times New Roman"/>
          <w:b w:val="0"/>
          <w:i w:val="0"/>
          <w:sz w:val="22"/>
        </w:rPr>
        <w:t>In the conventional paradigm of metabolic medicine, the diagnosis of type 2 diabetes mellitus is predicated upon the elevation of plasma glucose. However, glucose is merely the final common pathway—a late-stage manifestation of a metabolic derangement that may have been evolving silently for years to over a decade. The true initiating event, the invisible driver of this cardiometabolic cascade, is hyperinsulinaemia.</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4.1 ]</w:t>
      </w:r>
    </w:p>
    <w:p>
      <w:pPr>
        <w:spacing w:before="40" w:after="200"/>
        <w:jc w:val="center"/>
      </w:pPr>
      <w:r>
        <w:rPr>
          <w:rFonts w:ascii="Times New Roman" w:hAnsi="Times New Roman" w:cs="Times New Roman"/>
          <w:b w:val="0"/>
          <w:i/>
          <w:sz w:val="18"/>
        </w:rPr>
        <w:t>Figure 4.1 — The decade of silent damage: hyperinsulinaemia preceding hyperglycaemia.</w:t>
      </w:r>
    </w:p>
    <w:p>
      <w:pPr>
        <w:spacing w:after="120" w:before="0" w:line="276" w:lineRule="auto"/>
        <w:jc w:val="both"/>
      </w:pPr>
      <w:r>
        <w:rPr>
          <w:rFonts w:ascii="Times New Roman" w:hAnsi="Times New Roman" w:cs="Times New Roman"/>
          <w:b w:val="0"/>
          <w:i w:val="0"/>
          <w:sz w:val="22"/>
        </w:rPr>
        <w:t>The Dr. Nehru Method posits that compensatory hyperinsulinaemia is not simply an innocent bystander or a benign physiological response to insulin resistance. Rather, it is a primary pathogenic force. Chronic hyperinsulinaemia actively drives visceral adiposity, promotes non-alcoholic fatty liver disease (NAFLD), exacerbates polycystic ovary syndrome (PCOS), accelerates atherogenesis, and stimulates cellular proliferation via the insulin-like growth factor-1 (IGF-1) axis [1] [2]. This chapter explores the prolonged pre-clinical phase preceding clinical hyperglycaemia, advocating for the routine measurement of fasting insulin and the early staging of insulin resistance using the Homeostatic Model Assessment for Insulin Resistance (HOMA-IR).</w:t>
      </w:r>
    </w:p>
    <w:p>
      <w:pPr>
        <w:keepNext/>
        <w:spacing w:before="240" w:after="120"/>
        <w:jc w:val="left"/>
      </w:pPr>
      <w:r>
        <w:rPr>
          <w:rFonts w:ascii="Arial" w:hAnsi="Arial" w:cs="Arial"/>
          <w:b/>
          <w:sz w:val="26"/>
        </w:rPr>
        <w:t>The Prolonged Pre-Clinical Window</w:t>
      </w:r>
    </w:p>
    <w:p>
      <w:pPr>
        <w:spacing w:after="120" w:before="0" w:line="276" w:lineRule="auto"/>
        <w:jc w:val="both"/>
      </w:pPr>
      <w:r>
        <w:rPr>
          <w:rFonts w:ascii="Times New Roman" w:hAnsi="Times New Roman" w:cs="Times New Roman"/>
          <w:b w:val="0"/>
          <w:i w:val="0"/>
          <w:sz w:val="22"/>
        </w:rPr>
        <w:t>The natural history of type 2 diabetes is characterized by a prolonged pre-clinical phase. Landmark prospective data, including trajectory analyses from the Whitehall II study, have demonstrated that insulin sensitivity begins to decline and compensatory insulin secretion begins to rise years before the onset of impaired fasting glucose [3]. Available evidence suggests a prolonged pre-clinical phase of years to over a decade before clinical hyperglycaemia, although the exact timeline varies by individual. Within the clinical framework of the Dr. Nehru Method, we recognize this period as a window of "silent damage."</w:t>
      </w:r>
    </w:p>
    <w:p>
      <w:pPr>
        <w:spacing w:after="120" w:before="0" w:line="276" w:lineRule="auto"/>
        <w:jc w:val="both"/>
      </w:pPr>
      <w:r>
        <w:rPr>
          <w:rFonts w:ascii="Times New Roman" w:hAnsi="Times New Roman" w:cs="Times New Roman"/>
          <w:b w:val="0"/>
          <w:i w:val="0"/>
          <w:sz w:val="22"/>
        </w:rPr>
        <w:t>During this prolonged phase, the pancreatic beta cells hyper-secrete insulin to overcome peripheral tissue resistance, maintaining euglycaemia at the expense of hyperinsulinaemia. The patient appears healthy on standard screening panels; fasting plasma glucose (FPG) and glycated haemoglobin (HbA1c) remain within normal limits. However, the continuous exposure of the endothelium, liver, and adipose tissue to supra-physiologic insulin concentrations initiates a cascade of structural and functional alterations [4].</w:t>
      </w:r>
    </w:p>
    <w:p>
      <w:pPr>
        <w:keepNext/>
        <w:spacing w:before="240" w:after="120"/>
        <w:jc w:val="left"/>
      </w:pPr>
      <w:r>
        <w:rPr>
          <w:rFonts w:ascii="Arial" w:hAnsi="Arial" w:cs="Arial"/>
          <w:b/>
          <w:sz w:val="26"/>
        </w:rPr>
        <w:t>Fasting Insulin: The Neglected Biomarker</w:t>
      </w:r>
    </w:p>
    <w:p>
      <w:pPr>
        <w:spacing w:after="120" w:before="0" w:line="276" w:lineRule="auto"/>
        <w:jc w:val="both"/>
      </w:pPr>
      <w:r>
        <w:rPr>
          <w:rFonts w:ascii="Times New Roman" w:hAnsi="Times New Roman" w:cs="Times New Roman"/>
          <w:b w:val="0"/>
          <w:i w:val="0"/>
          <w:sz w:val="22"/>
        </w:rPr>
        <w:t>Despite its critical role in early pathogenesis, fasting insulin is rarely ordered in routine primary care. This omission is largely driven by assay standardisation challenges as well as cost and access issues: insulin assays are more expensive than standard glucose tests, lack universal standardization, and do not fit neatly into current guideline-driven reimbursement models that remain glucocentric.</w:t>
      </w:r>
    </w:p>
    <w:p>
      <w:pPr>
        <w:spacing w:after="120" w:before="0" w:line="276" w:lineRule="auto"/>
        <w:jc w:val="both"/>
      </w:pPr>
      <w:r>
        <w:rPr>
          <w:rFonts w:ascii="Times New Roman" w:hAnsi="Times New Roman" w:cs="Times New Roman"/>
          <w:b w:val="0"/>
          <w:i w:val="0"/>
          <w:sz w:val="22"/>
        </w:rPr>
        <w:t>However, fasting insulin provides an invaluable window into beta cell stress. A fasting insulin level above 12 mIU/L should be considered an early marker of metabolic concern. While the precise threshold for hyperinsulinaemia remains debated globally, levels exceeding 12 mIU/L—even in the presence of normal glucose—indicate that the beta cells are working overtime to maintain homeostasis.</w:t>
      </w:r>
    </w:p>
    <w:p>
      <w:pPr>
        <w:keepNext/>
        <w:spacing w:before="240" w:after="120"/>
        <w:jc w:val="left"/>
      </w:pPr>
      <w:r>
        <w:rPr>
          <w:rFonts w:ascii="Arial" w:hAnsi="Arial" w:cs="Arial"/>
          <w:b/>
          <w:sz w:val="26"/>
        </w:rPr>
        <w:t>HOMA-IR: A Clinical Tool for Early Detection</w:t>
      </w:r>
    </w:p>
    <w:p>
      <w:pPr>
        <w:spacing w:after="120" w:before="0" w:line="276" w:lineRule="auto"/>
        <w:jc w:val="both"/>
      </w:pPr>
      <w:r>
        <w:rPr>
          <w:rFonts w:ascii="Times New Roman" w:hAnsi="Times New Roman" w:cs="Times New Roman"/>
          <w:b w:val="0"/>
          <w:i w:val="0"/>
          <w:sz w:val="22"/>
        </w:rPr>
        <w:t>To quantify the degree of insulin resistance in a clinical setting, the Homeostatic Model Assessment for Insulin Resistance (HOMA-IR) is the most practical and validated tool. Originally developed as a mathematical model of the glucose-insulin feedback loop, it provides a robust surrogate for the gold-standard hyperinsulinaemic-euglycaemic clamp described by DeFronzo [5].</w:t>
      </w:r>
    </w:p>
    <w:p>
      <w:pPr>
        <w:spacing w:after="120" w:before="0" w:line="276" w:lineRule="auto"/>
        <w:jc w:val="both"/>
      </w:pPr>
      <w:r>
        <w:rPr>
          <w:rFonts w:ascii="Times New Roman" w:hAnsi="Times New Roman" w:cs="Times New Roman"/>
          <w:b w:val="0"/>
          <w:i w:val="0"/>
          <w:sz w:val="22"/>
        </w:rPr>
        <w:t>The HOMA-IR is calculated using the following formula:</w:t>
        <w:br/>
        <w:t>HOMA-IR = (Fasting Plasma Glucose in mg/dL × Fasting Insulin in mIU/L) / 405</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4.2 ]</w:t>
      </w:r>
    </w:p>
    <w:p>
      <w:pPr>
        <w:spacing w:before="40" w:after="200"/>
        <w:jc w:val="center"/>
      </w:pPr>
      <w:r>
        <w:rPr>
          <w:rFonts w:ascii="Times New Roman" w:hAnsi="Times New Roman" w:cs="Times New Roman"/>
          <w:b w:val="0"/>
          <w:i/>
          <w:sz w:val="18"/>
        </w:rPr>
        <w:t>Figure 4.2 — HOMA-IR staging — the five-stage Indian classification from compensatory resistance to hyperinsulinaemic exhaustion.</w:t>
      </w:r>
    </w:p>
    <w:p>
      <w:pPr>
        <w:spacing w:after="120" w:before="0" w:line="276" w:lineRule="auto"/>
        <w:jc w:val="both"/>
      </w:pPr>
      <w:r>
        <w:rPr>
          <w:rFonts w:ascii="Times New Roman" w:hAnsi="Times New Roman" w:cs="Times New Roman"/>
          <w:b w:val="0"/>
          <w:i w:val="0"/>
          <w:sz w:val="22"/>
        </w:rPr>
        <w:t>In the Dr. Nehru Method, we propose a population-specific operational threshold for the Indian phenotype. Based on our validated published data from a tertiary metabolic clinic in urban India, a HOMA-IR value above 2.3 is considered indicative of significant insulin resistance [6]. While we acknowledge that other Indian studies may report different values, the cutoff of 2.3 has been validated in our cohorts as a highly sensitive marker for identifying central obesity-linked dyslipidemia.</w:t>
      </w:r>
    </w:p>
    <w:p>
      <w:pPr>
        <w:keepNext/>
        <w:spacing w:before="240" w:after="120"/>
        <w:jc w:val="left"/>
      </w:pPr>
      <w:r>
        <w:rPr>
          <w:rFonts w:ascii="Arial" w:hAnsi="Arial" w:cs="Arial"/>
          <w:b/>
          <w:sz w:val="26"/>
        </w:rPr>
        <w:t>The Pathogenic Consequences of Hyperinsulinaemia</w:t>
      </w:r>
    </w:p>
    <w:p>
      <w:pPr>
        <w:spacing w:after="120" w:before="0" w:line="276" w:lineRule="auto"/>
        <w:jc w:val="both"/>
      </w:pPr>
      <w:r>
        <w:rPr>
          <w:rFonts w:ascii="Times New Roman" w:hAnsi="Times New Roman" w:cs="Times New Roman"/>
          <w:b w:val="0"/>
          <w:i w:val="0"/>
          <w:sz w:val="22"/>
        </w:rPr>
        <w:t>The proposition that hyperinsulinaemia is a central driver of disease, rather than just a marker, is supported by a robust body of evidence linking high insulin levels to diverse systemic pathologies.</w:t>
      </w:r>
    </w:p>
    <w:p>
      <w:pPr>
        <w:keepNext/>
        <w:spacing w:before="240" w:after="120"/>
        <w:jc w:val="left"/>
      </w:pPr>
      <w:r>
        <w:rPr>
          <w:rFonts w:ascii="Arial" w:hAnsi="Arial" w:cs="Arial"/>
          <w:b/>
          <w:sz w:val="26"/>
        </w:rPr>
        <w:t>Visceral Adiposity, NAFLD, and PCOS</w:t>
      </w:r>
    </w:p>
    <w:p>
      <w:pPr>
        <w:spacing w:after="120" w:before="0" w:line="276" w:lineRule="auto"/>
        <w:jc w:val="both"/>
      </w:pPr>
      <w:r>
        <w:rPr>
          <w:rFonts w:ascii="Times New Roman" w:hAnsi="Times New Roman" w:cs="Times New Roman"/>
          <w:b w:val="0"/>
          <w:i w:val="0"/>
          <w:sz w:val="22"/>
        </w:rPr>
        <w:t>Insulin is a potent anabolic hormone. Chronic hyperinsulinaemia actively promotes lipogenesis and inhibits lipolysis, particularly in the visceral adipose depot. This creates a vicious cycle: expanding visceral fat releases free fatty acids and adipocytokines that further worsen peripheral insulin resistance, demanding even more insulin secretion.</w:t>
      </w:r>
    </w:p>
    <w:p>
      <w:pPr>
        <w:spacing w:after="120" w:before="0" w:line="276" w:lineRule="auto"/>
        <w:jc w:val="both"/>
      </w:pPr>
      <w:r>
        <w:rPr>
          <w:rFonts w:ascii="Times New Roman" w:hAnsi="Times New Roman" w:cs="Times New Roman"/>
          <w:b w:val="0"/>
          <w:i w:val="0"/>
          <w:sz w:val="22"/>
        </w:rPr>
        <w:t>In the liver, hyperinsulinaemia drives de novo lipogenesis, leading to hepatic steatosis or NAFLD. This ectopic fat deposition impairs hepatic insulin clearance, further elevating systemic insulin levels. In the ovaries, hyperinsulinaemia acts synergistically with luteinizing hormone to stimulate androgen production, a core mechanism in the pathogenesis of Polycystic Ovary Syndrome (PCOS).</w:t>
      </w:r>
    </w:p>
    <w:p>
      <w:pPr>
        <w:keepNext/>
        <w:spacing w:before="240" w:after="120"/>
        <w:jc w:val="left"/>
      </w:pPr>
      <w:r>
        <w:rPr>
          <w:rFonts w:ascii="Arial" w:hAnsi="Arial" w:cs="Arial"/>
          <w:b/>
          <w:sz w:val="26"/>
        </w:rPr>
        <w:t>Cardiovascular Disease: An Independent Risk Factor</w:t>
      </w:r>
    </w:p>
    <w:p>
      <w:pPr>
        <w:spacing w:after="120" w:before="0" w:line="276" w:lineRule="auto"/>
        <w:jc w:val="both"/>
      </w:pPr>
      <w:r>
        <w:rPr>
          <w:rFonts w:ascii="Times New Roman" w:hAnsi="Times New Roman" w:cs="Times New Roman"/>
          <w:b w:val="0"/>
          <w:i w:val="0"/>
          <w:sz w:val="22"/>
        </w:rPr>
        <w:t>The relationship between hyperinsulinaemia and cardiovascular disease (CVD) is well established. Early reviews by Stout highlighted the atherogenic potential of insulin, demonstrating its ability to stimulate smooth muscle cell proliferation and lipid synthesis within the arterial wall [7].</w:t>
      </w:r>
    </w:p>
    <w:p>
      <w:pPr>
        <w:spacing w:after="120" w:before="0" w:line="276" w:lineRule="auto"/>
        <w:jc w:val="both"/>
      </w:pPr>
      <w:r>
        <w:rPr>
          <w:rFonts w:ascii="Times New Roman" w:hAnsi="Times New Roman" w:cs="Times New Roman"/>
          <w:b w:val="0"/>
          <w:i w:val="0"/>
          <w:sz w:val="22"/>
        </w:rPr>
        <w:t>Crucially, hyperinsulinaemia is an independent risk factor for ischaemic heart disease, separate from its association with obesity or dyslipidaemia. The landmark Québec Cardiovascular Study demonstrated that high fasting insulin levels prospectively predicted ischaemic heart disease in men, establishing insulin itself as an atherogenic driver [8]. Furthermore, as demonstrated in our own clinical research, waist-integrated indices of insulin resistance (such as TyG-WC) strongly correlate with atherogenic dyslipidaemia (elevated triglycerides and low HDL-C) in the Indian population [9]. The Dr. Nehru Method emphasizes a locked cutoff of TyG-WC (natural log &gt; 8.82) as an indicator of this risk.</w:t>
      </w:r>
    </w:p>
    <w:p>
      <w:pPr>
        <w:keepNext/>
        <w:spacing w:before="240" w:after="120"/>
        <w:jc w:val="left"/>
      </w:pPr>
      <w:r>
        <w:rPr>
          <w:rFonts w:ascii="Arial" w:hAnsi="Arial" w:cs="Arial"/>
          <w:b/>
          <w:sz w:val="26"/>
        </w:rPr>
        <w:t>The IGF-1 Axis and Cancer Risk</w:t>
      </w:r>
    </w:p>
    <w:p>
      <w:pPr>
        <w:spacing w:after="120" w:before="0" w:line="276" w:lineRule="auto"/>
        <w:jc w:val="both"/>
      </w:pPr>
      <w:r>
        <w:rPr>
          <w:rFonts w:ascii="Times New Roman" w:hAnsi="Times New Roman" w:cs="Times New Roman"/>
          <w:b w:val="0"/>
          <w:i w:val="0"/>
          <w:sz w:val="22"/>
        </w:rPr>
        <w:t>Beyond metabolic and cardiovascular consequences, hyperinsulinaemia is increasingly recognized as a driver of oncogenesis. Insulin and insulin-like growth factor-1 (IGF-1) share significant structural homology. Chronic hyperinsulinaemia decreases the hepatic production of IGF-binding proteins, leading to increased levels of free, bioactive IGF-1 [10].</w:t>
      </w:r>
    </w:p>
    <w:p>
      <w:pPr>
        <w:spacing w:after="120" w:before="0" w:line="276" w:lineRule="auto"/>
        <w:jc w:val="both"/>
      </w:pPr>
      <w:r>
        <w:rPr>
          <w:rFonts w:ascii="Times New Roman" w:hAnsi="Times New Roman" w:cs="Times New Roman"/>
          <w:b w:val="0"/>
          <w:i w:val="0"/>
          <w:sz w:val="22"/>
        </w:rPr>
        <w:t>This hyperactivation of the IGF-1 axis may stimulate cellular proliferation and inhibit apoptosis. Large prospective cohorts, such as the American Cancer Society study by Calle et al., have established an epidemiological association between obesity and increased mortality from multiple cancers, including breast, colon, and prostate [11]. It is important to emphasize that this represents an epidemiological association consistent with a biologically plausible mechanism, rather than proven direct causation.</w:t>
      </w:r>
    </w:p>
    <w:p>
      <w:pPr>
        <w:keepNext/>
        <w:spacing w:before="240" w:after="120"/>
        <w:jc w:val="left"/>
      </w:pPr>
      <w:r>
        <w:rPr>
          <w:rFonts w:ascii="Arial" w:hAnsi="Arial" w:cs="Arial"/>
          <w:b/>
          <w:sz w:val="26"/>
        </w:rPr>
        <w:t>Beta Cell Stress and the Proinsulin Ratio</w:t>
      </w:r>
    </w:p>
    <w:p>
      <w:pPr>
        <w:spacing w:after="120" w:before="0" w:line="276" w:lineRule="auto"/>
        <w:jc w:val="both"/>
      </w:pPr>
      <w:r>
        <w:rPr>
          <w:rFonts w:ascii="Times New Roman" w:hAnsi="Times New Roman" w:cs="Times New Roman"/>
          <w:b w:val="0"/>
          <w:i w:val="0"/>
          <w:sz w:val="22"/>
        </w:rPr>
        <w:t>As insulin resistance progresses and the demand for insulin escalates, the beta cells undergo significant stress. Initially, this manifests as compensatory hyperplasia and hypersecretion. However, over time, the beta cell machinery becomes overwhelmed.</w:t>
      </w:r>
    </w:p>
    <w:p>
      <w:pPr>
        <w:spacing w:after="120" w:before="0" w:line="276" w:lineRule="auto"/>
        <w:jc w:val="both"/>
      </w:pPr>
      <w:r>
        <w:rPr>
          <w:rFonts w:ascii="Times New Roman" w:hAnsi="Times New Roman" w:cs="Times New Roman"/>
          <w:b w:val="0"/>
          <w:i w:val="0"/>
          <w:sz w:val="22"/>
        </w:rPr>
        <w:t>A key marker of this stress is an alteration in proinsulin processing. Proinsulin is the precursor molecule cleaved into equimolar amounts of mature insulin and C-peptide. Under conditions of chronic hyperstimulation, the beta cells prematurely release disproportionate amounts of unprocessed or partially processed proinsulin into the circulation. An elevated ratio of fasting proinsulin to mature insulin is a sensitive indicator of beta cell dysfunction and impending failure [12].</w:t>
      </w:r>
    </w:p>
    <w:p>
      <w:pPr>
        <w:spacing w:after="120" w:before="0" w:line="276" w:lineRule="auto"/>
        <w:jc w:val="both"/>
      </w:pPr>
      <w:r>
        <w:rPr>
          <w:rFonts w:ascii="Times New Roman" w:hAnsi="Times New Roman" w:cs="Times New Roman"/>
          <w:b w:val="0"/>
          <w:i w:val="0"/>
          <w:sz w:val="22"/>
        </w:rPr>
        <w:t>Furthermore, measuring C-peptide provides a reliable assessment of endogenous insulin secretion and residual beta cell function, as it is co-secreted with insulin but not subject to the same rapid hepatic clearance.</w:t>
      </w:r>
    </w:p>
    <w:p>
      <w:pPr>
        <w:keepNext/>
        <w:spacing w:before="240" w:after="120"/>
        <w:jc w:val="left"/>
      </w:pPr>
      <w:r>
        <w:rPr>
          <w:rFonts w:ascii="Arial" w:hAnsi="Arial" w:cs="Arial"/>
          <w:b/>
          <w:sz w:val="26"/>
        </w:rPr>
        <w:t>Elaborating on the Mechanisms of Insulin-Driven Pathology</w:t>
      </w:r>
    </w:p>
    <w:p>
      <w:pPr>
        <w:spacing w:after="120" w:before="0" w:line="276" w:lineRule="auto"/>
        <w:jc w:val="both"/>
      </w:pPr>
      <w:r>
        <w:rPr>
          <w:rFonts w:ascii="Times New Roman" w:hAnsi="Times New Roman" w:cs="Times New Roman"/>
          <w:b w:val="0"/>
          <w:i w:val="0"/>
          <w:sz w:val="22"/>
        </w:rPr>
        <w:t>To fully appreciate why the Dr. Nehru Method places such profound emphasis on early hyperinsulinaemia, it is essential to delve deeper into the specific molecular and physiological mechanisms by which excess insulin inflicts silent damage over this prolonged pre-clinical window. The transition from a state of physiological compensation to one of pathological alteration is gradual, multifaceted, and insidious.</w:t>
      </w:r>
    </w:p>
    <w:p>
      <w:pPr>
        <w:keepNext/>
        <w:spacing w:before="240" w:after="120"/>
        <w:jc w:val="left"/>
      </w:pPr>
      <w:r>
        <w:rPr>
          <w:rFonts w:ascii="Arial" w:hAnsi="Arial" w:cs="Arial"/>
          <w:b/>
          <w:sz w:val="26"/>
        </w:rPr>
        <w:t>The Endothelial Dysfunction Cascade</w:t>
      </w:r>
    </w:p>
    <w:p>
      <w:pPr>
        <w:spacing w:after="120" w:before="0" w:line="276" w:lineRule="auto"/>
        <w:jc w:val="both"/>
      </w:pPr>
      <w:r>
        <w:rPr>
          <w:rFonts w:ascii="Times New Roman" w:hAnsi="Times New Roman" w:cs="Times New Roman"/>
          <w:b w:val="0"/>
          <w:i w:val="0"/>
          <w:sz w:val="22"/>
        </w:rPr>
        <w:t>The vascular endothelium is not merely an inert barrier; it is a highly active endocrine organ responsible for maintaining vascular tone, regulating inflammation, and preventing thrombosis. In a healthy state, insulin acts on the endothelium to stimulate the production of nitric oxide (NO) via the PI3K/Akt pathway, promoting vasodilation and enhancing blood flow to skeletal muscle, which in turn facilitates glucose disposal.</w:t>
      </w:r>
    </w:p>
    <w:p>
      <w:pPr>
        <w:spacing w:after="120" w:before="0" w:line="276" w:lineRule="auto"/>
        <w:jc w:val="both"/>
      </w:pPr>
      <w:r>
        <w:rPr>
          <w:rFonts w:ascii="Times New Roman" w:hAnsi="Times New Roman" w:cs="Times New Roman"/>
          <w:b w:val="0"/>
          <w:i w:val="0"/>
          <w:sz w:val="22"/>
        </w:rPr>
        <w:t>However, in the setting of insulin resistance and compensatory hyperinsulinaemia, a critical pathway divergence occurs. The PI3K/Akt pathway becomes blunted due to the accumulation of intracellular lipid metabolites (such as diacylglycerols and ceramides) and inflammatory cytokines. Conversely, the MAPK (mitogen-activated protein kinase) pathway, which mediates insulin's growth-promoting and mitogenic effects, remains sensitive or even becomes hyperactive.</w:t>
      </w:r>
    </w:p>
    <w:p>
      <w:pPr>
        <w:spacing w:after="120" w:before="0" w:line="276" w:lineRule="auto"/>
        <w:jc w:val="both"/>
      </w:pPr>
      <w:r>
        <w:rPr>
          <w:rFonts w:ascii="Times New Roman" w:hAnsi="Times New Roman" w:cs="Times New Roman"/>
          <w:b w:val="0"/>
          <w:i w:val="0"/>
          <w:sz w:val="22"/>
        </w:rPr>
        <w:t>This selective insulin resistance means that while the vasodilatory and protective effects of insulin are lost, its pro-atherogenic effects are amplified. The hyperactive MAPK pathway stimulates the proliferation and migration of vascular smooth muscle cells, increases the expression of vascular cell adhesion molecules (VCAM-1), and promotes the secretion of pro-coagulant factors like Plasminogen Activator Inhibitor-1 (PAI-1). The net result is a shift toward a pro-inflammatory, pro-thrombotic, and vasoconstrictive endothelial phenotype, and early vascular risk may begin during this pre-clinical phase, often years before clinical diabetes is diagnosed.</w:t>
      </w:r>
    </w:p>
    <w:p>
      <w:pPr>
        <w:keepNext/>
        <w:spacing w:before="240" w:after="120"/>
        <w:jc w:val="left"/>
      </w:pPr>
      <w:r>
        <w:rPr>
          <w:rFonts w:ascii="Arial" w:hAnsi="Arial" w:cs="Arial"/>
          <w:b/>
          <w:sz w:val="26"/>
        </w:rPr>
        <w:t>The Hepatic Burden: De Novo Lipogenesis and VLDL Secretion</w:t>
      </w:r>
    </w:p>
    <w:p>
      <w:pPr>
        <w:spacing w:after="120" w:before="0" w:line="276" w:lineRule="auto"/>
        <w:jc w:val="both"/>
      </w:pPr>
      <w:r>
        <w:rPr>
          <w:rFonts w:ascii="Times New Roman" w:hAnsi="Times New Roman" w:cs="Times New Roman"/>
          <w:b w:val="0"/>
          <w:i w:val="0"/>
          <w:sz w:val="22"/>
        </w:rPr>
        <w:t>The liver is central to the metabolic derangements driven by hyperinsulinaemia. In the fasting state, a healthy liver suppresses glucose production (gluconeogenesis) in response to basal insulin levels. In the insulin-resistant state, the liver becomes "deaf" to insulin's suppressive signal on gluconeogenesis, contributing to fasting hyperglycaemia in later stages.</w:t>
      </w:r>
    </w:p>
    <w:p>
      <w:pPr>
        <w:spacing w:after="120" w:before="0" w:line="276" w:lineRule="auto"/>
        <w:jc w:val="both"/>
      </w:pPr>
      <w:r>
        <w:rPr>
          <w:rFonts w:ascii="Times New Roman" w:hAnsi="Times New Roman" w:cs="Times New Roman"/>
          <w:b w:val="0"/>
          <w:i w:val="0"/>
          <w:sz w:val="22"/>
        </w:rPr>
        <w:t>However, paradoxically, the liver remains highly sensitive to insulin's lipogenic signals. The transcription factor Sterol Regulatory Element-Binding Protein 1c (SREBP-1c), which drives de novo lipogenesis (the conversion of excess carbohydrates into fatty acids), is potently upregulated by hyperinsulinaemia. This results in a massive influx of newly synthesized fatty acids into the hepatic parenchyma.</w:t>
      </w:r>
    </w:p>
    <w:p>
      <w:pPr>
        <w:spacing w:after="120" w:before="0" w:line="276" w:lineRule="auto"/>
        <w:jc w:val="both"/>
      </w:pPr>
      <w:r>
        <w:rPr>
          <w:rFonts w:ascii="Times New Roman" w:hAnsi="Times New Roman" w:cs="Times New Roman"/>
          <w:b w:val="0"/>
          <w:i w:val="0"/>
          <w:sz w:val="22"/>
        </w:rPr>
        <w:t>To manage this lipid burden, the liver packages these fatty acids into Very Low-Density Lipoproteins (VLDL) and secretes them into the circulation. This overproduction of VLDL is the primary driver of hypertriglyceridaemia, the hallmark of atherogenic dyslipidaemia. Furthermore, the excess VLDL particles exchange their triglycerides for cholesterol esters with High-Density Lipoproteins (HDL) and Low-Density Lipoproteins (LDL), mediated by Cholesteryl Ester Transfer Protein (CETP). This exchange results in the formation of small, dense LDL particles (which are highly atherogenic) and triglyceride-enriched HDL particles (which are rapidly cleared by the kidneys, leading to low HDL-C levels). This complex interplay perfectly explains the strong correlation we observed in our clinic between the TyG-WC index and the TG/HDL-C ratio.</w:t>
      </w:r>
    </w:p>
    <w:p>
      <w:pPr>
        <w:keepNext/>
        <w:spacing w:before="240" w:after="120"/>
        <w:jc w:val="left"/>
      </w:pPr>
      <w:r>
        <w:rPr>
          <w:rFonts w:ascii="Arial" w:hAnsi="Arial" w:cs="Arial"/>
          <w:b/>
          <w:sz w:val="26"/>
        </w:rPr>
        <w:t>Adipose Tissue Dysfunction: The Ectopic Fat Overflow</w:t>
      </w:r>
    </w:p>
    <w:p>
      <w:pPr>
        <w:spacing w:after="120" w:before="0" w:line="276" w:lineRule="auto"/>
        <w:jc w:val="both"/>
      </w:pPr>
      <w:r>
        <w:rPr>
          <w:rFonts w:ascii="Times New Roman" w:hAnsi="Times New Roman" w:cs="Times New Roman"/>
          <w:b w:val="0"/>
          <w:i w:val="0"/>
          <w:sz w:val="22"/>
        </w:rPr>
        <w:t>Adipose tissue is the primary storage site for excess energy. Under normal conditions, insulin suppresses lipolysis (the breakdown of stored fat) and promotes triglyceride synthesis. However, as visceral adipose tissue expands and becomes inflamed (often infiltrated by macrophages forming "crown-like structures"), it becomes severely insulin resistant.</w:t>
      </w:r>
    </w:p>
    <w:p>
      <w:pPr>
        <w:spacing w:after="120" w:before="0" w:line="276" w:lineRule="auto"/>
        <w:jc w:val="both"/>
      </w:pPr>
      <w:r>
        <w:rPr>
          <w:rFonts w:ascii="Times New Roman" w:hAnsi="Times New Roman" w:cs="Times New Roman"/>
          <w:b w:val="0"/>
          <w:i w:val="0"/>
          <w:sz w:val="22"/>
        </w:rPr>
        <w:t>The failure of insulin to suppress lipolysis in visceral fat leads to a continuous, uncontrolled release of Non-Esterified Fatty Acids (NEFAs) directly into the portal circulation, inundating the liver. This portal "fat flux" exacerbates hepatic insulin resistance and drives further VLDL production.</w:t>
      </w:r>
    </w:p>
    <w:p>
      <w:pPr>
        <w:spacing w:after="120" w:before="0" w:line="276" w:lineRule="auto"/>
        <w:jc w:val="both"/>
      </w:pPr>
      <w:r>
        <w:rPr>
          <w:rFonts w:ascii="Times New Roman" w:hAnsi="Times New Roman" w:cs="Times New Roman"/>
          <w:b w:val="0"/>
          <w:i w:val="0"/>
          <w:sz w:val="22"/>
        </w:rPr>
        <w:t>Moreover, when the subcutaneous adipose tissue reaches its maximal expansibility limit—a threshold that is notably lower in the South Asian "thin-fat" phenotype—the excess energy spills over into ectopic sites, including the liver, skeletal muscle, and the pancreas itself. The accumulation of fat within the pancreatic islets (pancreatic steatosis) directly impairs beta cell function, accelerating the progression from Stage 3 (Beta Cell Stress) to Stage 4 (Beta Cell Exhaustion) in the Dr. Nehru Method HOMA-IR staging system.</w:t>
      </w:r>
    </w:p>
    <w:p>
      <w:pPr>
        <w:keepNext/>
        <w:spacing w:before="240" w:after="120"/>
        <w:jc w:val="left"/>
      </w:pPr>
      <w:r>
        <w:rPr>
          <w:rFonts w:ascii="Arial" w:hAnsi="Arial" w:cs="Arial"/>
          <w:b/>
          <w:sz w:val="26"/>
        </w:rPr>
        <w:t>The Neurological Implications and the Role of Methylcobalamin</w:t>
      </w:r>
    </w:p>
    <w:p>
      <w:pPr>
        <w:spacing w:after="120" w:before="0" w:line="276" w:lineRule="auto"/>
        <w:jc w:val="both"/>
      </w:pPr>
      <w:r>
        <w:rPr>
          <w:rFonts w:ascii="Times New Roman" w:hAnsi="Times New Roman" w:cs="Times New Roman"/>
          <w:b w:val="0"/>
          <w:i w:val="0"/>
          <w:sz w:val="22"/>
        </w:rPr>
        <w:t>While the cardiovascular and hepatic consequences of hyperinsulinaemia are well-documented, the neurological impact of this prolonged pre-clinical phase is increasingly recognized. Chronic hyperinsulinaemia and the accompanying microvascular endothelial dysfunction contribute to early nerve damage, often presenting as subclinical peripheral neuropathy long before overt hyperglycaemia.</w:t>
      </w:r>
    </w:p>
    <w:p>
      <w:pPr>
        <w:spacing w:after="120" w:before="0" w:line="276" w:lineRule="auto"/>
        <w:jc w:val="both"/>
      </w:pPr>
      <w:r>
        <w:rPr>
          <w:rFonts w:ascii="Times New Roman" w:hAnsi="Times New Roman" w:cs="Times New Roman"/>
          <w:b w:val="0"/>
          <w:i w:val="0"/>
          <w:sz w:val="22"/>
        </w:rPr>
        <w:t>In managing these early neuropathic changes, particularly in patients who may later require metformin therapy (which is known to interfere with Vitamin B12 absorption), proactive nutritional support is essential. Within the Dr. Nehru Method, we emphasize that methylcobalamin is the preferred form of Vitamin B12 supplementation. As the active, bioavailable form, methylcobalamin bypasses the need for enzymatic conversion in the liver, making it more effective for neurological repair. While cyanocobalamin is not universally contraindicated, it is not preferred due to its requirement for metabolic activation and the trace release of cyanide during its conversion.</w:t>
      </w:r>
    </w:p>
    <w:p>
      <w:pPr>
        <w:keepNext/>
        <w:spacing w:before="240" w:after="120"/>
        <w:jc w:val="left"/>
      </w:pPr>
      <w:r>
        <w:rPr>
          <w:rFonts w:ascii="Arial" w:hAnsi="Arial" w:cs="Arial"/>
          <w:b/>
          <w:sz w:val="26"/>
        </w:rPr>
        <w:t>The Dr. Nehru Method: HOMA-IR Staging</w:t>
      </w:r>
    </w:p>
    <w:p>
      <w:pPr>
        <w:spacing w:after="120" w:before="0" w:line="276" w:lineRule="auto"/>
        <w:jc w:val="both"/>
      </w:pPr>
      <w:r>
        <w:rPr>
          <w:rFonts w:ascii="Times New Roman" w:hAnsi="Times New Roman" w:cs="Times New Roman"/>
          <w:b w:val="0"/>
          <w:i w:val="0"/>
          <w:sz w:val="22"/>
        </w:rPr>
        <w:t>To operationalize the management of insulin resistance, the Dr. Nehru Method proposes a clinical staging system based on HOMA-IR. This framework allows for targeted interventions before irreversible beta cell dysfunction occurs.</w:t>
      </w:r>
    </w:p>
    <w:p>
      <w:pPr>
        <w:spacing w:after="120" w:before="0" w:line="276" w:lineRule="auto"/>
        <w:jc w:val="both"/>
      </w:pPr>
      <w:r>
        <w:rPr>
          <w:rFonts w:ascii="Times New Roman" w:hAnsi="Times New Roman" w:cs="Times New Roman"/>
          <w:b w:val="0"/>
          <w:i w:val="0"/>
          <w:sz w:val="22"/>
        </w:rPr>
        <w:t>Stage 0 (Optimal Sensitivity): HOMA-IR &lt; 1.5. Normal beta cell function, no significant metabolic risk.</w:t>
      </w:r>
    </w:p>
    <w:p>
      <w:pPr>
        <w:spacing w:after="120" w:before="0" w:line="276" w:lineRule="auto"/>
        <w:jc w:val="both"/>
      </w:pPr>
      <w:r>
        <w:rPr>
          <w:rFonts w:ascii="Times New Roman" w:hAnsi="Times New Roman" w:cs="Times New Roman"/>
          <w:b w:val="0"/>
          <w:i w:val="0"/>
          <w:sz w:val="22"/>
        </w:rPr>
        <w:t>Stage 1 (Early Resistance): HOMA-IR 1.5 – 2.3. Onset of compensatory hyperinsulinaemia. Fasting insulin may be elevated (&gt;12 mIU/L) with normal glucose.</w:t>
      </w:r>
    </w:p>
    <w:p>
      <w:pPr>
        <w:spacing w:after="120" w:before="0" w:line="276" w:lineRule="auto"/>
        <w:jc w:val="both"/>
      </w:pPr>
      <w:r>
        <w:rPr>
          <w:rFonts w:ascii="Times New Roman" w:hAnsi="Times New Roman" w:cs="Times New Roman"/>
          <w:b w:val="0"/>
          <w:i w:val="0"/>
          <w:sz w:val="22"/>
        </w:rPr>
        <w:t>Stage 2 (Established Resistance): HOMA-IR 2.3 – 3.5. Exceeds the validated Indian cutoff [6]. Often accompanied by central obesity, early NAFLD, or dyslipidaemia.</w:t>
      </w:r>
    </w:p>
    <w:p>
      <w:pPr>
        <w:spacing w:after="120" w:before="0" w:line="276" w:lineRule="auto"/>
        <w:jc w:val="both"/>
      </w:pPr>
      <w:r>
        <w:rPr>
          <w:rFonts w:ascii="Times New Roman" w:hAnsi="Times New Roman" w:cs="Times New Roman"/>
          <w:b w:val="0"/>
          <w:i w:val="0"/>
          <w:sz w:val="22"/>
        </w:rPr>
        <w:t>Stage 3 (Beta Cell Stress): HOMA-IR 3.5 – 5.0. Impaired glucose tolerance may emerge. Elevated proinsulin ratio.</w:t>
      </w:r>
    </w:p>
    <w:p>
      <w:pPr>
        <w:spacing w:after="120" w:before="0" w:line="276" w:lineRule="auto"/>
        <w:jc w:val="both"/>
      </w:pPr>
      <w:r>
        <w:rPr>
          <w:rFonts w:ascii="Times New Roman" w:hAnsi="Times New Roman" w:cs="Times New Roman"/>
          <w:b w:val="0"/>
          <w:i w:val="0"/>
          <w:sz w:val="22"/>
        </w:rPr>
        <w:t>Stage 4 (Beta Cell Exhaustion): HOMA-IR &gt; 5.0. Progressive beta cell dysfunction which may become difficult to reverse at advanced stages. Clinical diabetes is often present.</w:t>
      </w:r>
    </w:p>
    <w:p>
      <w:pPr>
        <w:spacing w:after="120" w:before="0" w:line="276" w:lineRule="auto"/>
        <w:jc w:val="both"/>
      </w:pPr>
      <w:r>
        <w:rPr>
          <w:rFonts w:ascii="Times New Roman" w:hAnsi="Times New Roman" w:cs="Times New Roman"/>
          <w:b w:val="0"/>
          <w:i w:val="0"/>
          <w:sz w:val="22"/>
        </w:rPr>
        <w:t>Stage 5 (Beta Cell Failure): Declining HOMA-IR and C-peptide despite hyperglycaemia, indicating profound loss of secretory capacity requiring exogenous insulin.</w:t>
      </w:r>
    </w:p>
    <w:p>
      <w:pPr>
        <w:keepNext/>
        <w:spacing w:before="240" w:after="120"/>
        <w:jc w:val="left"/>
      </w:pPr>
      <w:r>
        <w:rPr>
          <w:rFonts w:ascii="Arial" w:hAnsi="Arial" w:cs="Arial"/>
          <w:b/>
          <w:sz w:val="26"/>
        </w:rPr>
        <w:t>Conclusion</w:t>
      </w:r>
    </w:p>
    <w:p>
      <w:pPr>
        <w:spacing w:after="120" w:before="0" w:line="276" w:lineRule="auto"/>
        <w:jc w:val="both"/>
      </w:pPr>
      <w:r>
        <w:rPr>
          <w:rFonts w:ascii="Times New Roman" w:hAnsi="Times New Roman" w:cs="Times New Roman"/>
          <w:b w:val="0"/>
          <w:i w:val="0"/>
          <w:sz w:val="22"/>
        </w:rPr>
        <w:t>Hyperinsulinaemia is the invisible engine driving the modern epidemic of cardiometabolic disease. By shifting our clinical focus from late-stage hyperglycaemia to early-stage hyperinsulinaemia, we can identify patients during this prolonged pre-clinical window. Through the routine use of fasting insulin, the application of HOMA-IR staging, and the recognition of insulin's direct pathogenic role in vascular and cellular biology, we can intervene early, during the phase when metabolic risk is still potentially modifiable.</w:t>
      </w:r>
    </w:p>
    <w:p>
      <w:pPr>
        <w:keepNext/>
        <w:spacing w:before="240" w:after="120"/>
        <w:jc w:val="left"/>
      </w:pPr>
      <w:r>
        <w:rPr>
          <w:rFonts w:ascii="Arial" w:hAnsi="Arial" w:cs="Arial"/>
          <w:b/>
          <w:sz w:val="26"/>
        </w:rPr>
        <w:t>Multiple Choice Questions</w:t>
      </w:r>
    </w:p>
    <w:p>
      <w:pPr>
        <w:spacing w:after="40"/>
      </w:pPr>
      <w:r>
        <w:rPr>
          <w:rFonts w:ascii="Times New Roman" w:hAnsi="Times New Roman" w:cs="Times New Roman"/>
          <w:sz w:val="22"/>
        </w:rPr>
        <w:t>1. According to the Dr. Nehru Method, what is the proposed operational threshold for HOMA-IR indicative of insulin resistance in the Indian phenotype?</w:t>
      </w:r>
    </w:p>
    <w:p>
      <w:pPr>
        <w:spacing w:after="20"/>
        <w:ind w:left="432"/>
      </w:pPr>
      <w:r>
        <w:rPr>
          <w:rFonts w:ascii="Times New Roman" w:hAnsi="Times New Roman" w:cs="Times New Roman"/>
          <w:sz w:val="22"/>
        </w:rPr>
        <w:t>A. 1.5</w:t>
      </w:r>
    </w:p>
    <w:p>
      <w:pPr>
        <w:spacing w:after="20"/>
        <w:ind w:left="432"/>
      </w:pPr>
      <w:r>
        <w:rPr>
          <w:rFonts w:ascii="Times New Roman" w:hAnsi="Times New Roman" w:cs="Times New Roman"/>
          <w:sz w:val="22"/>
        </w:rPr>
        <w:t>B. 2.3</w:t>
      </w:r>
    </w:p>
    <w:p>
      <w:pPr>
        <w:spacing w:after="20"/>
        <w:ind w:left="432"/>
      </w:pPr>
      <w:r>
        <w:rPr>
          <w:rFonts w:ascii="Times New Roman" w:hAnsi="Times New Roman" w:cs="Times New Roman"/>
          <w:sz w:val="22"/>
        </w:rPr>
        <w:t>C. 3.5</w:t>
      </w:r>
    </w:p>
    <w:p>
      <w:pPr>
        <w:spacing w:after="20"/>
        <w:ind w:left="432"/>
      </w:pPr>
      <w:r>
        <w:rPr>
          <w:rFonts w:ascii="Times New Roman" w:hAnsi="Times New Roman" w:cs="Times New Roman"/>
          <w:sz w:val="22"/>
        </w:rPr>
        <w:t>D. 5.0</w:t>
      </w:r>
    </w:p>
    <w:p>
      <w:pPr>
        <w:spacing w:after="40"/>
      </w:pPr>
      <w:r>
        <w:rPr>
          <w:rFonts w:ascii="Times New Roman" w:hAnsi="Times New Roman" w:cs="Times New Roman"/>
          <w:sz w:val="22"/>
        </w:rPr>
        <w:t>2. Which of the following is a primary reason fasting insulin is not routinely ordered in primary care?</w:t>
      </w:r>
    </w:p>
    <w:p>
      <w:pPr>
        <w:spacing w:after="20"/>
        <w:ind w:left="432"/>
      </w:pPr>
      <w:r>
        <w:rPr>
          <w:rFonts w:ascii="Times New Roman" w:hAnsi="Times New Roman" w:cs="Times New Roman"/>
          <w:sz w:val="22"/>
        </w:rPr>
        <w:t>A. It is less sensitive than HbA1c for diagnosing diabetes.</w:t>
      </w:r>
    </w:p>
    <w:p>
      <w:pPr>
        <w:spacing w:after="20"/>
        <w:ind w:left="432"/>
      </w:pPr>
      <w:r>
        <w:rPr>
          <w:rFonts w:ascii="Times New Roman" w:hAnsi="Times New Roman" w:cs="Times New Roman"/>
          <w:sz w:val="22"/>
        </w:rPr>
        <w:t>B. Commercial reasons and lack of universal standardization.</w:t>
      </w:r>
    </w:p>
    <w:p>
      <w:pPr>
        <w:spacing w:after="20"/>
        <w:ind w:left="432"/>
      </w:pPr>
      <w:r>
        <w:rPr>
          <w:rFonts w:ascii="Times New Roman" w:hAnsi="Times New Roman" w:cs="Times New Roman"/>
          <w:sz w:val="22"/>
        </w:rPr>
        <w:t>C. It cannot be measured accurately in obese patients.</w:t>
      </w:r>
    </w:p>
    <w:p>
      <w:pPr>
        <w:spacing w:after="20"/>
        <w:ind w:left="432"/>
      </w:pPr>
      <w:r>
        <w:rPr>
          <w:rFonts w:ascii="Times New Roman" w:hAnsi="Times New Roman" w:cs="Times New Roman"/>
          <w:sz w:val="22"/>
        </w:rPr>
        <w:t>D. It fluctuates too rapidly to provide useful clinical data.</w:t>
      </w:r>
    </w:p>
    <w:p>
      <w:pPr>
        <w:spacing w:after="40"/>
      </w:pPr>
      <w:r>
        <w:rPr>
          <w:rFonts w:ascii="Times New Roman" w:hAnsi="Times New Roman" w:cs="Times New Roman"/>
          <w:sz w:val="22"/>
        </w:rPr>
        <w:t>3. The landmark Québec Cardiovascular Study (Després et al., 1996) demonstrated that hyperinsulinaemia is an independent risk factor for which condition?</w:t>
      </w:r>
    </w:p>
    <w:p>
      <w:pPr>
        <w:spacing w:after="20"/>
        <w:ind w:left="432"/>
      </w:pPr>
      <w:r>
        <w:rPr>
          <w:rFonts w:ascii="Times New Roman" w:hAnsi="Times New Roman" w:cs="Times New Roman"/>
          <w:sz w:val="22"/>
        </w:rPr>
        <w:t>A. Ischaemic heart disease</w:t>
      </w:r>
    </w:p>
    <w:p>
      <w:pPr>
        <w:spacing w:after="20"/>
        <w:ind w:left="432"/>
      </w:pPr>
      <w:r>
        <w:rPr>
          <w:rFonts w:ascii="Times New Roman" w:hAnsi="Times New Roman" w:cs="Times New Roman"/>
          <w:sz w:val="22"/>
        </w:rPr>
        <w:t>B. Colon cancer</w:t>
      </w:r>
    </w:p>
    <w:p>
      <w:pPr>
        <w:spacing w:after="20"/>
        <w:ind w:left="432"/>
      </w:pPr>
      <w:r>
        <w:rPr>
          <w:rFonts w:ascii="Times New Roman" w:hAnsi="Times New Roman" w:cs="Times New Roman"/>
          <w:sz w:val="22"/>
        </w:rPr>
        <w:t>C. Polycystic Ovary Syndrome</w:t>
      </w:r>
    </w:p>
    <w:p>
      <w:pPr>
        <w:spacing w:after="20"/>
        <w:ind w:left="432"/>
      </w:pPr>
      <w:r>
        <w:rPr>
          <w:rFonts w:ascii="Times New Roman" w:hAnsi="Times New Roman" w:cs="Times New Roman"/>
          <w:sz w:val="22"/>
        </w:rPr>
        <w:t>D. Non-alcoholic fatty liver disease</w:t>
      </w:r>
    </w:p>
    <w:p>
      <w:pPr>
        <w:spacing w:after="40"/>
      </w:pPr>
      <w:r>
        <w:rPr>
          <w:rFonts w:ascii="Times New Roman" w:hAnsi="Times New Roman" w:cs="Times New Roman"/>
          <w:sz w:val="22"/>
        </w:rPr>
        <w:t>4. An elevated ratio of fasting proinsulin to mature insulin primarily indicates:</w:t>
      </w:r>
    </w:p>
    <w:p>
      <w:pPr>
        <w:spacing w:after="20"/>
        <w:ind w:left="432"/>
      </w:pPr>
      <w:r>
        <w:rPr>
          <w:rFonts w:ascii="Times New Roman" w:hAnsi="Times New Roman" w:cs="Times New Roman"/>
          <w:sz w:val="22"/>
        </w:rPr>
        <w:t>A. Enhanced hepatic insulin clearance</w:t>
      </w:r>
    </w:p>
    <w:p>
      <w:pPr>
        <w:spacing w:after="20"/>
        <w:ind w:left="432"/>
      </w:pPr>
      <w:r>
        <w:rPr>
          <w:rFonts w:ascii="Times New Roman" w:hAnsi="Times New Roman" w:cs="Times New Roman"/>
          <w:sz w:val="22"/>
        </w:rPr>
        <w:t>B. Optimal beta cell function</w:t>
      </w:r>
    </w:p>
    <w:p>
      <w:pPr>
        <w:spacing w:after="20"/>
        <w:ind w:left="432"/>
      </w:pPr>
      <w:r>
        <w:rPr>
          <w:rFonts w:ascii="Times New Roman" w:hAnsi="Times New Roman" w:cs="Times New Roman"/>
          <w:sz w:val="22"/>
        </w:rPr>
        <w:t>C. Beta cell stress and dysfunction</w:t>
      </w:r>
    </w:p>
    <w:p>
      <w:pPr>
        <w:spacing w:after="20"/>
        <w:ind w:left="432"/>
      </w:pPr>
      <w:r>
        <w:rPr>
          <w:rFonts w:ascii="Times New Roman" w:hAnsi="Times New Roman" w:cs="Times New Roman"/>
          <w:sz w:val="22"/>
        </w:rPr>
        <w:t>D. Severe hypoglycaemia</w:t>
      </w:r>
    </w:p>
    <w:p>
      <w:pPr>
        <w:spacing w:after="40"/>
      </w:pPr>
      <w:r>
        <w:rPr>
          <w:rFonts w:ascii="Times New Roman" w:hAnsi="Times New Roman" w:cs="Times New Roman"/>
          <w:sz w:val="22"/>
        </w:rPr>
        <w:t>5. How does chronic hyperinsulinaemia influence cancer risk?</w:t>
      </w:r>
    </w:p>
    <w:p>
      <w:pPr>
        <w:spacing w:after="20"/>
        <w:ind w:left="432"/>
      </w:pPr>
      <w:r>
        <w:rPr>
          <w:rFonts w:ascii="Times New Roman" w:hAnsi="Times New Roman" w:cs="Times New Roman"/>
          <w:sz w:val="22"/>
        </w:rPr>
        <w:t>A. By directly mutating cellular DNA</w:t>
      </w:r>
    </w:p>
    <w:p>
      <w:pPr>
        <w:spacing w:after="20"/>
        <w:ind w:left="432"/>
      </w:pPr>
      <w:r>
        <w:rPr>
          <w:rFonts w:ascii="Times New Roman" w:hAnsi="Times New Roman" w:cs="Times New Roman"/>
          <w:sz w:val="22"/>
        </w:rPr>
        <w:t>B. By decreasing the production of IGF-binding proteins, leading to increased free IGF-1</w:t>
      </w:r>
    </w:p>
    <w:p>
      <w:pPr>
        <w:spacing w:after="20"/>
        <w:ind w:left="432"/>
      </w:pPr>
      <w:r>
        <w:rPr>
          <w:rFonts w:ascii="Times New Roman" w:hAnsi="Times New Roman" w:cs="Times New Roman"/>
          <w:sz w:val="22"/>
        </w:rPr>
        <w:t>C. By suppressing the immune system's ability to detect tumors</w:t>
      </w:r>
    </w:p>
    <w:p>
      <w:pPr>
        <w:spacing w:after="20"/>
        <w:ind w:left="432"/>
      </w:pPr>
      <w:r>
        <w:rPr>
          <w:rFonts w:ascii="Times New Roman" w:hAnsi="Times New Roman" w:cs="Times New Roman"/>
          <w:sz w:val="22"/>
        </w:rPr>
        <w:t>D. By increasing the rate of cellular apoptosis</w:t>
      </w:r>
    </w:p>
    <w:p>
      <w:pPr>
        <w:spacing w:before="160"/>
      </w:pPr>
      <w:r>
        <w:rPr>
          <w:rFonts w:ascii="Times New Roman" w:hAnsi="Times New Roman" w:cs="Times New Roman"/>
          <w:b/>
          <w:sz w:val="20"/>
        </w:rPr>
        <w:t xml:space="preserve">Answers: </w:t>
      </w:r>
      <w:r>
        <w:rPr>
          <w:rFonts w:ascii="Times New Roman" w:hAnsi="Times New Roman" w:cs="Times New Roman"/>
          <w:sz w:val="20"/>
        </w:rPr>
        <w:t>1. B  2. B  3. A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Reaven GM. Banting lecture 1988. Role of insulin resistance in human disease. Diabetes. 1988;37(12):1595-1607.</w:t>
        <w:br/>
        <w:t>[2] DeFronzo RA, Tobin JD, Andres R. Glucose clamp technique: a method for quantifying insulin secretion and resistance.Am J Physiol. 1979;237(3):E214-E223.</w:t>
        <w:br/>
        <w:t>[3] Tabák AG, Jokela M, Akbaraly TN, Brunner EJ, Kivimäki M, Witte DR. Trajectories of glycaemia, insulin sensitivity, and insulin secretion before diagnosis of type 2 diabetes: an analysis from the Whitehall II study.Lancet. 2009;373(9682):2215-2221.</w:t>
        <w:br/>
        <w:t>[4] Stout RW. The role of insulin in atherosclerosis in diabetics and nondiabetics: a review.Diabetes. 1981;30(Suppl 2):54-57.</w:t>
        <w:br/>
        <w:t>[5] Kaaks R, Lukanova A. Energy balance and cancer: the role of insulin and insulin-like growth factor-I.Proc Nutr Soc. 2001;60(1):91-106.</w:t>
        <w:br/>
        <w:t>[6] Nehru MS, et al. HOMA-IR cutoffs in the Indian population.Int J Med. 2026;8(2):977-983.</w:t>
        <w:br/>
        <w:t>[7] Calle EE, Rodriguez C, Walker-Thurmond K, Thun MJ. Overweight, obesity, and mortality from cancer in a prospectively studied cohort of U.S. adults.N Engl J Med. 2003;348(17):1625-1638.</w:t>
        <w:br/>
        <w:t>[8] Després JP, Lamarche B, Mauriège P, et al. Hyperinsulinemia as an independent risk factor for ischemic heart disease.N Engl J Med. 1996;334(15):952-957.</w:t>
        <w:br/>
        <w:t>[9] Nehru MS, et al. Waist Circumference-Triglyceride-Glucose Index as a Predictor of Central Obesity-Linked Dyslipidemia and Insulin Resistance: A Clinical Study of 50 Patients in Urban India.Int J Curr Pharm Rev Res. 2026;18(2):826-833.</w:t>
        <w:br/>
        <w:t>[10] Reaven GM. Insulin resistance and compensatory hyperinsulinemia: role in hypertension, dyslipidemia, and coronary heart disease.Am Heart J. 1991;121(4 Pt 2):1283-1288.</w:t>
        <w:br/>
        <w:t>[11] Stout RW. Insulin and atheroma. 20-yr perspective.Diabetes Care. 1990;13(6):631-654.</w:t>
        <w:br/>
        <w:t>[12] Kahn SE. The relative contributions of insulin resistance and beta-cell dysfunction to the pathophysiology of Type 2 diabetes.Diabetologia. 2003;46(1):3-19.</w:t>
      </w:r>
    </w:p>
    <w:p>
      <w:r>
        <w:br w:type="page"/>
      </w:r>
    </w:p>
    <w:p>
      <w:r>
        <w:rPr>
          <w:rFonts w:ascii="Arial" w:hAnsi="Arial" w:cs="Arial"/>
          <w:b/>
          <w:sz w:val="26"/>
        </w:rPr>
        <w:t>CHAPTER 5</w:t>
      </w:r>
    </w:p>
    <w:p>
      <w:pPr>
        <w:keepNext/>
        <w:spacing w:before="360" w:after="120"/>
        <w:jc w:val="left"/>
      </w:pPr>
      <w:r>
        <w:rPr>
          <w:rFonts w:ascii="Arial" w:hAnsi="Arial" w:cs="Arial"/>
          <w:b/>
          <w:sz w:val="32"/>
        </w:rPr>
        <w:t>Visceral Obesity, TOFI, and the Indian Paradox</w:t>
      </w:r>
    </w:p>
    <w:p>
      <w:pPr>
        <w:keepNext/>
        <w:spacing w:before="240" w:after="120"/>
        <w:jc w:val="left"/>
      </w:pPr>
      <w:r>
        <w:rPr>
          <w:rFonts w:ascii="Arial" w:hAnsi="Arial" w:cs="Arial"/>
          <w:b/>
          <w:sz w:val="26"/>
        </w:rPr>
        <w:t>Why BMI Fails the Indian Patient</w:t>
      </w:r>
    </w:p>
    <w:p>
      <w:pPr>
        <w:spacing w:after="120" w:before="0" w:line="276" w:lineRule="auto"/>
        <w:jc w:val="both"/>
      </w:pPr>
      <w:r>
        <w:rPr>
          <w:rFonts w:ascii="Times New Roman" w:hAnsi="Times New Roman" w:cs="Times New Roman"/>
          <w:b w:val="0"/>
          <w:i w:val="0"/>
          <w:sz w:val="22"/>
        </w:rPr>
        <w:t>For decades, the global medical community has relied upon the Body Mass Index (BMI) as the primary anthropometric tool to screen for obesity and assess cardiometabolic risk. Derived from the simple ratio of weight to height squared, BMI offers an easily calculable metric for large-scale epidemiological studies. However, when applied to the Indian population, BMI is not merely imprecise—it is fundamentally misleading.</w:t>
      </w:r>
    </w:p>
    <w:p>
      <w:pPr>
        <w:spacing w:after="120" w:before="0" w:line="276" w:lineRule="auto"/>
        <w:jc w:val="both"/>
      </w:pPr>
      <w:r>
        <w:rPr>
          <w:rFonts w:ascii="Times New Roman" w:hAnsi="Times New Roman" w:cs="Times New Roman"/>
          <w:b w:val="0"/>
          <w:i w:val="0"/>
          <w:sz w:val="22"/>
        </w:rPr>
        <w:t>The Indian patient presents a unique metabolic challenge, often characterized by severe insulin resistance, atherogenic dyslipidaemia, and a high risk of cardiovascular disease despite having a BMI that falls within the “normal” range by Western standards. This phenomenon, often referred to as the Indian Paradox, necessitates a radical departure from BMI-centric screening. The Dr. Nehru Method advocates for a deeper understanding of body composition, specifically the critical distinction between subcutaneous and visceral adipose tissue, to accurately stratify and manage cardiometabolic risk.</w:t>
      </w:r>
    </w:p>
    <w:p>
      <w:pPr>
        <w:keepNext/>
        <w:spacing w:before="240" w:after="120"/>
        <w:jc w:val="left"/>
      </w:pPr>
      <w:r>
        <w:rPr>
          <w:rFonts w:ascii="Arial" w:hAnsi="Arial" w:cs="Arial"/>
          <w:b/>
          <w:sz w:val="26"/>
        </w:rPr>
        <w:t>The Inadequacy of BMI for the Indian Population</w:t>
      </w:r>
    </w:p>
    <w:p>
      <w:pPr>
        <w:spacing w:after="120" w:before="0" w:line="276" w:lineRule="auto"/>
        <w:jc w:val="both"/>
      </w:pPr>
      <w:r>
        <w:rPr>
          <w:rFonts w:ascii="Times New Roman" w:hAnsi="Times New Roman" w:cs="Times New Roman"/>
          <w:b w:val="0"/>
          <w:i w:val="0"/>
          <w:sz w:val="22"/>
        </w:rPr>
        <w:t>The standard World Health Organization (WHO) BMI classifications—defining overweight as a BMI of 25 kg/m² or higher, and obesity as 30 kg/m² or higher—were derived predominantly from Caucasian populations. These cutoffs assume a universal relationship between total body weight, adiposity, and disease risk.</w:t>
      </w:r>
    </w:p>
    <w:p>
      <w:pPr>
        <w:spacing w:after="120" w:before="0" w:line="276" w:lineRule="auto"/>
        <w:jc w:val="both"/>
      </w:pPr>
      <w:r>
        <w:rPr>
          <w:rFonts w:ascii="Times New Roman" w:hAnsi="Times New Roman" w:cs="Times New Roman"/>
          <w:b w:val="0"/>
          <w:i w:val="0"/>
          <w:sz w:val="22"/>
        </w:rPr>
        <w:t>However, South Asians possess a distinct body composition. At any given BMI, an Indian individual typically has a significantly higher percentage of total body fat, less lean muscle mass, and a greater concentration of fat deposited in the abdominal region compared to a Caucasian individual [1]. This was famously illustrated by the “Y-Y paradox,” comparing Dr. Chittaranjan Yajnik to his British colleague Dr. John Yudkin. Despite having an identical BMI of 22.3 kg/m², dual-energy X-ray absorptiometry (DEXA) scans revealed that Dr. Yajnik had nearly double the body fat percentage (21.2% vs. 9.1%) [1].</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5.1 ]</w:t>
      </w:r>
    </w:p>
    <w:p>
      <w:pPr>
        <w:spacing w:before="40" w:after="200"/>
        <w:jc w:val="center"/>
      </w:pPr>
      <w:r>
        <w:rPr>
          <w:rFonts w:ascii="Times New Roman" w:hAnsi="Times New Roman" w:cs="Times New Roman"/>
          <w:b w:val="0"/>
          <w:i/>
          <w:sz w:val="18"/>
        </w:rPr>
        <w:t>Figure 5.1 — The Y-Y Paradox — identical BMI, divergent body fat percentage (Yajnik vs Yudkin).</w:t>
      </w:r>
    </w:p>
    <w:p>
      <w:pPr>
        <w:spacing w:after="120" w:before="0" w:line="276" w:lineRule="auto"/>
        <w:jc w:val="both"/>
      </w:pPr>
      <w:r>
        <w:rPr>
          <w:rFonts w:ascii="Times New Roman" w:hAnsi="Times New Roman" w:cs="Times New Roman"/>
          <w:b w:val="0"/>
          <w:i w:val="0"/>
          <w:sz w:val="22"/>
        </w:rPr>
        <w:t>Recognizing this disparity, a WHO expert consultation proposed lowered BMI action points for Asian populations, identifying increased risk beginning at a BMI of 23 kg/m² and high risk at 27.5 kg/m² [2]. Subsequent Indian consensus guidelines, led by experts such as Misra et al., further refined these recommendations, defining overweight in Asian Indians as a BMI of 23–24.9 kg/m² and obesity as a BMI ≥ 25 kg/m² [3]. Despite these lowered thresholds, BMI remains an incomplete metric because it cannot distinguish between muscle and fat, nor can it identify where the fat is stored.</w:t>
      </w:r>
    </w:p>
    <w:p>
      <w:pPr>
        <w:keepNext/>
        <w:spacing w:before="240" w:after="120"/>
        <w:jc w:val="left"/>
      </w:pPr>
      <w:r>
        <w:rPr>
          <w:rFonts w:ascii="Arial" w:hAnsi="Arial" w:cs="Arial"/>
          <w:b/>
          <w:sz w:val="26"/>
        </w:rPr>
        <w:t>The TOFI Phenotype: Thin Outside, Fat Inside</w:t>
      </w:r>
    </w:p>
    <w:p>
      <w:pPr>
        <w:spacing w:after="120" w:before="0" w:line="276" w:lineRule="auto"/>
        <w:jc w:val="both"/>
      </w:pPr>
      <w:r>
        <w:rPr>
          <w:rFonts w:ascii="Times New Roman" w:hAnsi="Times New Roman" w:cs="Times New Roman"/>
          <w:b w:val="0"/>
          <w:i w:val="0"/>
          <w:sz w:val="22"/>
        </w:rPr>
        <w:t>The failure of BMI to capture true metabolic risk is most evident in the TOFI phenotype: “Thin Outside, Fat Inside.” A TOFI individual appears lean or normal-weight outwardly, possessing a BMI within the acceptable range, yet harbors a dangerous accumulation of visceral adipose tissue (VAT) internally.</w:t>
      </w:r>
    </w:p>
    <w:p>
      <w:pPr>
        <w:spacing w:after="120" w:before="0" w:line="276" w:lineRule="auto"/>
        <w:jc w:val="both"/>
      </w:pPr>
      <w:r>
        <w:rPr>
          <w:rFonts w:ascii="Times New Roman" w:hAnsi="Times New Roman" w:cs="Times New Roman"/>
          <w:b w:val="0"/>
          <w:i w:val="0"/>
          <w:sz w:val="22"/>
        </w:rPr>
        <w:t>In the Dr. Nehru Method, we emphasize that TOFI is not merely a cosmetic curiosity; it is a state of profound clinical importance. The TOFI patient is often lulled into a false sense of security by their “normal” weight, and primary care physicians relying solely on the weighing scale may miss the opportunity for early intervention. These individuals frequently present with Normal Weight Central Obesity (NWCO), exhibiting the classic metabolic derangements of the metabolic syndrome—insulin resistance, hypertriglyceridaemia, and low HDL cholesterol—long before they develop overt hyperglycaemia.</w:t>
      </w:r>
    </w:p>
    <w:p>
      <w:pPr>
        <w:keepNext/>
        <w:spacing w:before="240" w:after="120"/>
        <w:jc w:val="left"/>
      </w:pPr>
      <w:r>
        <w:rPr>
          <w:rFonts w:ascii="Arial" w:hAnsi="Arial" w:cs="Arial"/>
          <w:b/>
          <w:sz w:val="26"/>
        </w:rPr>
        <w:t>The Personal Fat Threshold</w:t>
      </w:r>
    </w:p>
    <w:p>
      <w:pPr>
        <w:spacing w:after="120" w:before="0" w:line="276" w:lineRule="auto"/>
        <w:jc w:val="both"/>
      </w:pPr>
      <w:r>
        <w:rPr>
          <w:rFonts w:ascii="Times New Roman" w:hAnsi="Times New Roman" w:cs="Times New Roman"/>
          <w:b w:val="0"/>
          <w:i w:val="0"/>
          <w:sz w:val="22"/>
        </w:rPr>
        <w:t>To understand why a lean-appearing Indian patient develops type 2 diabetes while a heavily obese Caucasian patient may remain metabolically healthy, we must look to the “Personal Fat Threshold” hypothesis proposed by Taylor and Holman, building on foundational metabolic concepts [4].</w:t>
      </w:r>
    </w:p>
    <w:p>
      <w:pPr>
        <w:spacing w:after="120" w:before="0" w:line="276" w:lineRule="auto"/>
        <w:jc w:val="both"/>
      </w:pPr>
      <w:r>
        <w:rPr>
          <w:rFonts w:ascii="Times New Roman" w:hAnsi="Times New Roman" w:cs="Times New Roman"/>
          <w:b w:val="0"/>
          <w:i w:val="0"/>
          <w:sz w:val="22"/>
        </w:rPr>
        <w:t>This hypothesis posits that every individual has a genetically and phenotypically determined capacity to store fat safely in subcutaneous adipose depots. The subcutaneous fat acts as a metabolic “sink,” safely sequestering excess energy. However, once this personal threshold is exceeded, the subcutaneous depot can no longer expand. The excess energy must go somewhere, and it spills over into ectopic sites—primarily the visceral cavity, the liver, the skeletal muscle, and the pancreas.</w:t>
      </w:r>
    </w:p>
    <w:p>
      <w:pPr>
        <w:spacing w:after="120" w:before="0" w:line="276" w:lineRule="auto"/>
        <w:jc w:val="both"/>
      </w:pPr>
      <w:r>
        <w:rPr>
          <w:rFonts w:ascii="Times New Roman" w:hAnsi="Times New Roman" w:cs="Times New Roman"/>
          <w:b w:val="0"/>
          <w:i w:val="0"/>
          <w:sz w:val="22"/>
        </w:rPr>
        <w:t>Crucially, the personal fat threshold for the Indian population is remarkably low. Due to evolutionary, genetic, and epigenetic factors, the South Asian subcutaneous adipose tissue loses its expansibility much earlier than in other ethnicities. Consequently, the overflow of fat into visceral and ectopic depots occurs at much lower total body weights, explaining the high prevalence of metabolic disease in non-obese Indians.</w:t>
      </w:r>
    </w:p>
    <w:p>
      <w:pPr>
        <w:keepNext/>
        <w:spacing w:before="240" w:after="120"/>
        <w:jc w:val="left"/>
      </w:pPr>
      <w:r>
        <w:rPr>
          <w:rFonts w:ascii="Arial" w:hAnsi="Arial" w:cs="Arial"/>
          <w:b/>
          <w:sz w:val="26"/>
        </w:rPr>
        <w:t>Subcutaneous vs. Visceral Fat: A Metabolic Difference</w:t>
      </w:r>
    </w:p>
    <w:p>
      <w:pPr>
        <w:spacing w:after="120" w:before="0" w:line="276" w:lineRule="auto"/>
        <w:jc w:val="both"/>
      </w:pPr>
      <w:r>
        <w:rPr>
          <w:rFonts w:ascii="Times New Roman" w:hAnsi="Times New Roman" w:cs="Times New Roman"/>
          <w:b w:val="0"/>
          <w:i w:val="0"/>
          <w:sz w:val="22"/>
        </w:rPr>
        <w:t>Not all fat is created equal. The anatomical location of adipose tissue dictates its physiological behavior and its impact on systemic metabolism.</w:t>
      </w:r>
    </w:p>
    <w:p>
      <w:pPr>
        <w:spacing w:after="120" w:before="0" w:line="276" w:lineRule="auto"/>
        <w:jc w:val="both"/>
      </w:pPr>
      <w:r>
        <w:rPr>
          <w:rFonts w:ascii="Times New Roman" w:hAnsi="Times New Roman" w:cs="Times New Roman"/>
          <w:b w:val="0"/>
          <w:i w:val="0"/>
          <w:sz w:val="22"/>
        </w:rPr>
        <w:t>Subcutaneous adipose tissue (SAT), located just beneath the skin, is relatively benign when functioning normally. It is highly sensitive to insulin, effectively suppresses lipolysis, and secretes beneficial adipokines such as adiponectin, which enhances peripheral insulin sensitivity and exerts anti-inflammatory effects.</w:t>
      </w:r>
    </w:p>
    <w:p>
      <w:pPr>
        <w:spacing w:after="120" w:before="0" w:line="276" w:lineRule="auto"/>
        <w:jc w:val="both"/>
      </w:pPr>
      <w:r>
        <w:rPr>
          <w:rFonts w:ascii="Times New Roman" w:hAnsi="Times New Roman" w:cs="Times New Roman"/>
          <w:b w:val="0"/>
          <w:i w:val="0"/>
          <w:sz w:val="22"/>
        </w:rPr>
        <w:t>Visceral adipose tissue (VAT), located deep within the abdominal cavity and surrounding the internal organs, is a highly active, pathogenic endocrine organ. VAT is metabolically rigid and severely insulin resistant. It is characterized by a high rate of basal lipolysis, constantly releasing non-esterified fatty acids (NEFAs) directly into the portal vein, inundating the liver.</w:t>
      </w:r>
    </w:p>
    <w:p>
      <w:pPr>
        <w:spacing w:after="120" w:before="0" w:line="276" w:lineRule="auto"/>
        <w:jc w:val="both"/>
      </w:pPr>
      <w:r>
        <w:rPr>
          <w:rFonts w:ascii="Times New Roman" w:hAnsi="Times New Roman" w:cs="Times New Roman"/>
          <w:b w:val="0"/>
          <w:i w:val="0"/>
          <w:sz w:val="22"/>
        </w:rPr>
        <w:t>Furthermore, expanded VAT becomes heavily infiltrated by macrophages, transforming into a chronic source of systemic inflammation. It secretes a host of pathogenic adipokines and cytokines, including resistin, tumor necrosis factor-alpha (TNF-alpha), and interleukin-6 (IL-6), while simultaneously downregulating the production of protective adiponectin [5]. This inflammatory, lipotoxic milieu is the primary driver of systemic insulin resistance.</w:t>
      </w:r>
    </w:p>
    <w:p>
      <w:pPr>
        <w:keepNext/>
        <w:spacing w:before="240" w:after="120"/>
        <w:jc w:val="left"/>
      </w:pPr>
      <w:r>
        <w:rPr>
          <w:rFonts w:ascii="Arial" w:hAnsi="Arial" w:cs="Arial"/>
          <w:b/>
          <w:sz w:val="26"/>
        </w:rPr>
        <w:t>The Ectopic Fat Overflow: Liver, Muscle, and Pancreas</w:t>
      </w:r>
    </w:p>
    <w:p>
      <w:pPr>
        <w:spacing w:after="120" w:before="0" w:line="276" w:lineRule="auto"/>
        <w:jc w:val="both"/>
      </w:pPr>
      <w:r>
        <w:rPr>
          <w:rFonts w:ascii="Times New Roman" w:hAnsi="Times New Roman" w:cs="Times New Roman"/>
          <w:b w:val="0"/>
          <w:i w:val="0"/>
          <w:sz w:val="22"/>
        </w:rPr>
        <w:t>When the visceral depot expands, the resulting portal “fat flux” directly impacts the liver. Hepatic steatosis (fatty liver) develops, impairing the liver's ability to suppress glucose production and promoting the overproduction of Very Low-Density Lipoproteins (VLDL), leading to atherogenic dyslipidaemia.</w:t>
      </w:r>
    </w:p>
    <w:p>
      <w:pPr>
        <w:spacing w:after="120" w:before="0" w:line="276" w:lineRule="auto"/>
        <w:jc w:val="both"/>
      </w:pPr>
      <w:r>
        <w:rPr>
          <w:rFonts w:ascii="Times New Roman" w:hAnsi="Times New Roman" w:cs="Times New Roman"/>
          <w:b w:val="0"/>
          <w:i w:val="0"/>
          <w:sz w:val="22"/>
        </w:rPr>
        <w:t>Ectopic fat also accumulates in skeletal muscle (intramyocellular lipids), interfering with the insulin signaling cascade (specifically the PI3K/Akt pathway) and blunting glucose uptake. Fat deposition around the heart (epicardial and pericardial fat) exerts direct lipotoxic and inflammatory effects on the myocardium and coronary arteries, independently increasing cardiovascular risk.</w:t>
      </w:r>
    </w:p>
    <w:p>
      <w:pPr>
        <w:spacing w:after="120" w:before="0" w:line="276" w:lineRule="auto"/>
        <w:jc w:val="both"/>
      </w:pPr>
      <w:r>
        <w:rPr>
          <w:rFonts w:ascii="Times New Roman" w:hAnsi="Times New Roman" w:cs="Times New Roman"/>
          <w:b w:val="0"/>
          <w:i w:val="0"/>
          <w:sz w:val="22"/>
        </w:rPr>
        <w:t>Perhaps most critically for the pathogenesis of type 2 diabetes is the accumulation of fat within the pancreas itself. Pancreatic steatosis exposes the delicate beta cells to high local concentrations of free fatty acids and inflammatory cytokines. This beta cell lipotoxicity impairs insulin secretion, accelerates beta cell apoptosis, and drives the progression from compensatory hyperinsulinaemia to absolute insulin deficiency.</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5.2 ]</w:t>
      </w:r>
    </w:p>
    <w:p>
      <w:pPr>
        <w:spacing w:before="40" w:after="200"/>
        <w:jc w:val="center"/>
      </w:pPr>
      <w:r>
        <w:rPr>
          <w:rFonts w:ascii="Times New Roman" w:hAnsi="Times New Roman" w:cs="Times New Roman"/>
          <w:b w:val="0"/>
          <w:i/>
          <w:sz w:val="18"/>
        </w:rPr>
        <w:t>Figure 5.2 — Ectopic fat overflow into liver, muscle, heart, and pancreas (TOFI).</w:t>
      </w:r>
    </w:p>
    <w:p>
      <w:pPr>
        <w:keepNext/>
        <w:spacing w:before="240" w:after="120"/>
        <w:jc w:val="left"/>
      </w:pPr>
      <w:r>
        <w:rPr>
          <w:rFonts w:ascii="Arial" w:hAnsi="Arial" w:cs="Arial"/>
          <w:b/>
          <w:sz w:val="26"/>
        </w:rPr>
        <w:t>Measuring the Invisible: Waist Circumference and Beyond</w:t>
      </w:r>
    </w:p>
    <w:p>
      <w:pPr>
        <w:spacing w:after="120" w:before="0" w:line="276" w:lineRule="auto"/>
        <w:jc w:val="both"/>
      </w:pPr>
      <w:r>
        <w:rPr>
          <w:rFonts w:ascii="Times New Roman" w:hAnsi="Times New Roman" w:cs="Times New Roman"/>
          <w:b w:val="0"/>
          <w:i w:val="0"/>
          <w:sz w:val="22"/>
        </w:rPr>
        <w:t>Given the pathogenic nature of visceral fat, clinical assessment must move beyond the weighing scale. Waist circumference (WC) is the most practical, cost-effective surrogate marker for visceral adiposity in a routine clinical setting. Landmark work by Lean et al. established waist circumference as a powerful predictor of cardiovascular risk, independent of BMI [6].</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5.3 ]</w:t>
      </w:r>
    </w:p>
    <w:p>
      <w:pPr>
        <w:spacing w:before="40" w:after="200"/>
        <w:jc w:val="center"/>
      </w:pPr>
      <w:r>
        <w:rPr>
          <w:rFonts w:ascii="Times New Roman" w:hAnsi="Times New Roman" w:cs="Times New Roman"/>
          <w:b w:val="0"/>
          <w:i/>
          <w:sz w:val="18"/>
        </w:rPr>
        <w:t>Figure 5.3 — Waist circumference measurement — the Asian Indian cutoffs (&gt;90 cm men, &gt;80 cm women).</w:t>
      </w:r>
    </w:p>
    <w:p>
      <w:pPr>
        <w:spacing w:after="120" w:before="0" w:line="276" w:lineRule="auto"/>
        <w:jc w:val="both"/>
      </w:pPr>
      <w:r>
        <w:rPr>
          <w:rFonts w:ascii="Times New Roman" w:hAnsi="Times New Roman" w:cs="Times New Roman"/>
          <w:b w:val="0"/>
          <w:i w:val="0"/>
          <w:sz w:val="22"/>
        </w:rPr>
        <w:t>For the Asian Indian population, the cutoffs for central obesity are significantly lower than international standards. Based on consensus guidelines, central obesity is defined as a waist circumference greater than 90 cm in men and greater than 80 cm in women [3]. These measurements should be a mandatory vital sign in every clinical encounter.</w:t>
      </w:r>
    </w:p>
    <w:p>
      <w:pPr>
        <w:spacing w:after="120" w:before="0" w:line="276" w:lineRule="auto"/>
        <w:jc w:val="both"/>
      </w:pPr>
      <w:r>
        <w:rPr>
          <w:rFonts w:ascii="Times New Roman" w:hAnsi="Times New Roman" w:cs="Times New Roman"/>
          <w:b w:val="0"/>
          <w:i w:val="0"/>
          <w:sz w:val="22"/>
        </w:rPr>
        <w:t>For a more precise assessment of body composition, advanced modalities such as Dual-Energy X-ray Absorptiometry (DEXA) and Bioelectrical Impedance Analysis (BIA) are increasingly utilized in specialized metabolic clinics. While not yet universally standardized for all populations, some BIA reference ranges propose that a Visceral Adipose Tissue (VAT) area exceeding 100 cm² indicates a significantly elevated risk of metabolic complications. We present this &gt;100 cm² threshold as a useful clinical reference point, though we acknowledge it is not a universal consensus guideline.</w:t>
      </w:r>
    </w:p>
    <w:p>
      <w:pPr>
        <w:keepNext/>
        <w:spacing w:before="240" w:after="120"/>
        <w:jc w:val="left"/>
      </w:pPr>
      <w:r>
        <w:rPr>
          <w:rFonts w:ascii="Arial" w:hAnsi="Arial" w:cs="Arial"/>
          <w:b/>
          <w:sz w:val="26"/>
        </w:rPr>
        <w:t>The Indian Reality: The ICMR-INDIAB Data</w:t>
      </w:r>
    </w:p>
    <w:p>
      <w:pPr>
        <w:spacing w:after="120" w:before="0" w:line="276" w:lineRule="auto"/>
        <w:jc w:val="both"/>
      </w:pPr>
      <w:r>
        <w:rPr>
          <w:rFonts w:ascii="Times New Roman" w:hAnsi="Times New Roman" w:cs="Times New Roman"/>
          <w:b w:val="0"/>
          <w:i w:val="0"/>
          <w:sz w:val="22"/>
        </w:rPr>
        <w:t>The urgency of shifting our focus to visceral obesity is underscored by national epidemiological data. The landmark ICMR-INDIAB study revealed a staggering prevalence of central obesity across India [7]. The study demonstrated that while generalized obesity (measured by BMI) was prevalent, the rates of abdominal obesity (measured by waist circumference) were substantially higher, affecting over half of the urban population and a significant proportion of the rural population.</w:t>
      </w:r>
    </w:p>
    <w:p>
      <w:pPr>
        <w:spacing w:after="120" w:before="0" w:line="276" w:lineRule="auto"/>
        <w:jc w:val="both"/>
      </w:pPr>
      <w:r>
        <w:rPr>
          <w:rFonts w:ascii="Times New Roman" w:hAnsi="Times New Roman" w:cs="Times New Roman"/>
          <w:b w:val="0"/>
          <w:i w:val="0"/>
          <w:sz w:val="22"/>
        </w:rPr>
        <w:t>This high prevalence of central obesity directly correlates with the rising tide of insulin resistance and dyslipidaemia in the country. The metabolic consequences of this visceral adiposity are profound, and they are best quantified using integrated indices.</w:t>
      </w:r>
    </w:p>
    <w:p>
      <w:pPr>
        <w:keepNext/>
        <w:spacing w:before="240" w:after="120"/>
        <w:jc w:val="left"/>
      </w:pPr>
      <w:r>
        <w:rPr>
          <w:rFonts w:ascii="Arial" w:hAnsi="Arial" w:cs="Arial"/>
          <w:b/>
          <w:sz w:val="26"/>
        </w:rPr>
        <w:t>The Dr. Nehru Method: Integrating Anthropometry and Biochemistry</w:t>
      </w:r>
    </w:p>
    <w:p>
      <w:pPr>
        <w:spacing w:after="120" w:before="0" w:line="276" w:lineRule="auto"/>
        <w:jc w:val="both"/>
      </w:pPr>
      <w:r>
        <w:rPr>
          <w:rFonts w:ascii="Times New Roman" w:hAnsi="Times New Roman" w:cs="Times New Roman"/>
          <w:b w:val="0"/>
          <w:i w:val="0"/>
          <w:sz w:val="22"/>
        </w:rPr>
        <w:t>In the Dr. Nehru Method, we bridge the gap between anthropometry (where the fat is) and biochemistry (what the fat is doing). Visceral obesity is the anatomical driver; insulin resistance and atherogenic dyslipidaemia are the biochemical consequences.</w:t>
      </w:r>
    </w:p>
    <w:p>
      <w:pPr>
        <w:spacing w:after="120" w:before="0" w:line="276" w:lineRule="auto"/>
        <w:jc w:val="both"/>
      </w:pPr>
      <w:r>
        <w:rPr>
          <w:rFonts w:ascii="Times New Roman" w:hAnsi="Times New Roman" w:cs="Times New Roman"/>
          <w:b w:val="0"/>
          <w:i w:val="0"/>
          <w:sz w:val="22"/>
        </w:rPr>
        <w:t>To capture this relationship, we utilize the Homeostatic Model Assessment for Insulin Resistance (HOMA-IR) and the Triglyceride-Glucose (TyG) index. As established in our published clinical cohorts, we propose population-specific thresholds for the Indian phenotype: a HOMA-IR above 2.3 and a TyG index (natural log) above 8.82 [8] [9]. These metrics, particularly when integrated with waist circumference (as in the TyG-WC index), provide a highly sensitive, low-cost method for identifying the high-risk, centrally obese patient long before clinical diabetes ensues.</w:t>
      </w:r>
    </w:p>
    <w:p>
      <w:pPr>
        <w:spacing w:after="120" w:before="0" w:line="276" w:lineRule="auto"/>
        <w:jc w:val="both"/>
      </w:pPr>
      <w:r>
        <w:rPr>
          <w:rFonts w:ascii="Times New Roman" w:hAnsi="Times New Roman" w:cs="Times New Roman"/>
          <w:b w:val="0"/>
          <w:i w:val="0"/>
          <w:sz w:val="22"/>
        </w:rPr>
        <w:t>(Note regarding B12 supplementation: When addressing the metabolic and neurological needs of these patients, methylcobalamin is preferred in the Dr. Nehru Method as the active bioavailable form; cyanocobalamin is not universally contraindicated but is not preferred.)</w:t>
      </w:r>
    </w:p>
    <w:p>
      <w:pPr>
        <w:keepNext/>
        <w:spacing w:before="240" w:after="120"/>
        <w:jc w:val="left"/>
      </w:pPr>
      <w:r>
        <w:rPr>
          <w:rFonts w:ascii="Arial" w:hAnsi="Arial" w:cs="Arial"/>
          <w:b/>
          <w:sz w:val="26"/>
        </w:rPr>
        <w:t>Elaborating on the Clinical Implications of TOFI</w:t>
      </w:r>
    </w:p>
    <w:p>
      <w:pPr>
        <w:spacing w:after="120" w:before="0" w:line="276" w:lineRule="auto"/>
        <w:jc w:val="both"/>
      </w:pPr>
      <w:r>
        <w:rPr>
          <w:rFonts w:ascii="Times New Roman" w:hAnsi="Times New Roman" w:cs="Times New Roman"/>
          <w:b w:val="0"/>
          <w:i w:val="0"/>
          <w:sz w:val="22"/>
        </w:rPr>
        <w:t>The “Thin Outside, Fat Inside” (TOFI) phenotype is not merely a descriptive classification; it represents a significant clinical blind spot in standard medical practice. When a patient presents with a normal BMI, the clinical index of suspicion for metabolic disease drops precipitously. Routine lipid panels or fasting glucose tests may be delayed or omitted entirely, under the false assumption that the patient's weight protects them from cardiometabolic risk.</w:t>
      </w:r>
    </w:p>
    <w:p>
      <w:pPr>
        <w:spacing w:after="120" w:before="0" w:line="276" w:lineRule="auto"/>
        <w:jc w:val="both"/>
      </w:pPr>
      <w:r>
        <w:rPr>
          <w:rFonts w:ascii="Times New Roman" w:hAnsi="Times New Roman" w:cs="Times New Roman"/>
          <w:b w:val="0"/>
          <w:i w:val="0"/>
          <w:sz w:val="22"/>
        </w:rPr>
        <w:t>However, the TOFI patient is actively undergoing the same pathogenic processes as the visibly obese patient. The visceral fat is actively secreting inflammatory cytokines and non-esterified fatty acids, driving hepatic insulin resistance and beta cell lipotoxicity. Because these patients lack the subcutaneous “sink” to store excess energy safely, their metabolic deterioration can be surprisingly rapid. By the time fasting glucose levels rise enough to trigger a diabetes diagnosis, the TOFI patient may already have advanced endothelial dysfunction, established atherogenic dyslipidaemia, and significant beta cell loss.</w:t>
      </w:r>
    </w:p>
    <w:p>
      <w:pPr>
        <w:spacing w:after="120" w:before="0" w:line="276" w:lineRule="auto"/>
        <w:jc w:val="both"/>
      </w:pPr>
      <w:r>
        <w:rPr>
          <w:rFonts w:ascii="Times New Roman" w:hAnsi="Times New Roman" w:cs="Times New Roman"/>
          <w:b w:val="0"/>
          <w:i w:val="0"/>
          <w:sz w:val="22"/>
        </w:rPr>
        <w:t>Therefore, the Dr. Nehru Method insists that clinical vigilance must not be dictated by the weighing scale. A normal BMI should never be a reason to withhold a waist circumference measurement or a thorough metabolic evaluation, particularly in the South Asian population where the TOFI phenotype is highly prevalent.</w:t>
      </w:r>
    </w:p>
    <w:p>
      <w:pPr>
        <w:keepNext/>
        <w:spacing w:before="240" w:after="120"/>
        <w:jc w:val="left"/>
      </w:pPr>
      <w:r>
        <w:rPr>
          <w:rFonts w:ascii="Arial" w:hAnsi="Arial" w:cs="Arial"/>
          <w:b/>
          <w:sz w:val="26"/>
        </w:rPr>
        <w:t>Deep Dive into the ICMR-INDIAB Findings</w:t>
      </w:r>
    </w:p>
    <w:p>
      <w:pPr>
        <w:spacing w:after="120" w:before="0" w:line="276" w:lineRule="auto"/>
        <w:jc w:val="both"/>
      </w:pPr>
      <w:r>
        <w:rPr>
          <w:rFonts w:ascii="Times New Roman" w:hAnsi="Times New Roman" w:cs="Times New Roman"/>
          <w:b w:val="0"/>
          <w:i w:val="0"/>
          <w:sz w:val="22"/>
        </w:rPr>
        <w:t>The ICMR-INDIAB study is one of the most comprehensive epidemiological efforts to map the metabolic health of the Indian subcontinent, and its findings regarding abdominal obesity are sobering. The data revealed that the prevalence of abdominal obesity was not only alarmingly high in urban centers but was also rapidly penetrating rural populations, blurring the traditional urban-rural divide in metabolic risk.</w:t>
      </w:r>
    </w:p>
    <w:p>
      <w:pPr>
        <w:spacing w:after="120" w:before="0" w:line="276" w:lineRule="auto"/>
        <w:jc w:val="both"/>
      </w:pPr>
      <w:r>
        <w:rPr>
          <w:rFonts w:ascii="Times New Roman" w:hAnsi="Times New Roman" w:cs="Times New Roman"/>
          <w:b w:val="0"/>
          <w:i w:val="0"/>
          <w:sz w:val="22"/>
        </w:rPr>
        <w:t>Specifically, the study highlighted a stark contrast between generalized obesity (measured by BMI) and abdominal obesity (measured by waist circumference). In many regions, the prevalence of abdominal obesity was more than double that of generalized obesity. This means that for every Indian patient identified as obese by BMI, there is at least one other patient—and often more—who is entirely missed by BMI screening but carries a dangerous burden of visceral fat.</w:t>
      </w:r>
    </w:p>
    <w:p>
      <w:pPr>
        <w:spacing w:after="120" w:before="0" w:line="276" w:lineRule="auto"/>
        <w:jc w:val="both"/>
      </w:pPr>
      <w:r>
        <w:rPr>
          <w:rFonts w:ascii="Times New Roman" w:hAnsi="Times New Roman" w:cs="Times New Roman"/>
          <w:b w:val="0"/>
          <w:i w:val="0"/>
          <w:sz w:val="22"/>
        </w:rPr>
        <w:t>Furthermore, the ICMR-INDIAB data demonstrated a strong, independent correlation between abdominal obesity and the prevalence of both pre-diabetes and overt type 2 diabetes. This large-scale, population-level evidence firmly validates the core premise of the Dr. Nehru Method: visceral adiposity, not total body weight, is the primary driver of the Indian metabolic epidemic. The study serves as a clarion call for a paradigm shift in public health screening, emphasizing waist circumference and advanced metabolic indices over simple height-weight ratios.</w:t>
      </w:r>
    </w:p>
    <w:p>
      <w:pPr>
        <w:keepNext/>
        <w:spacing w:before="240" w:after="120"/>
        <w:jc w:val="left"/>
      </w:pPr>
      <w:r>
        <w:rPr>
          <w:rFonts w:ascii="Arial" w:hAnsi="Arial" w:cs="Arial"/>
          <w:b/>
          <w:sz w:val="26"/>
        </w:rPr>
        <w:t>The Path Forward: A Call for Precision Anthropometry</w:t>
      </w:r>
    </w:p>
    <w:p>
      <w:pPr>
        <w:spacing w:after="120" w:before="0" w:line="276" w:lineRule="auto"/>
        <w:jc w:val="both"/>
      </w:pPr>
      <w:r>
        <w:rPr>
          <w:rFonts w:ascii="Times New Roman" w:hAnsi="Times New Roman" w:cs="Times New Roman"/>
          <w:b w:val="0"/>
          <w:i w:val="0"/>
          <w:sz w:val="22"/>
        </w:rPr>
        <w:t>To effectively combat the rising tide of cardiometabolic disease in India, we must adopt a more precise approach to anthropometry and risk stratification. The reliance on BMI as a standalone screening tool must be abandoned. Instead, clinical practice must incorporate a multi-tiered assessment strategy.</w:t>
      </w:r>
    </w:p>
    <w:p>
      <w:pPr>
        <w:spacing w:after="120" w:before="0" w:line="276" w:lineRule="auto"/>
        <w:jc w:val="both"/>
      </w:pPr>
      <w:r>
        <w:rPr>
          <w:rFonts w:ascii="Times New Roman" w:hAnsi="Times New Roman" w:cs="Times New Roman"/>
          <w:b w:val="0"/>
          <w:i w:val="0"/>
          <w:sz w:val="22"/>
        </w:rPr>
        <w:t>First, waist circumference must become a mandatory measurement for every adult patient, regardless of their BMI. The Asian Indian cutoffs (&gt;90 cm for men, &gt;80 cm for women) should trigger immediate metabolic evaluation, including fasting insulin, lipid profile, and HOMA-IR calculation.</w:t>
      </w:r>
    </w:p>
    <w:p>
      <w:pPr>
        <w:spacing w:after="120" w:before="0" w:line="276" w:lineRule="auto"/>
        <w:jc w:val="both"/>
      </w:pPr>
      <w:r>
        <w:rPr>
          <w:rFonts w:ascii="Times New Roman" w:hAnsi="Times New Roman" w:cs="Times New Roman"/>
          <w:b w:val="0"/>
          <w:i w:val="0"/>
          <w:sz w:val="22"/>
        </w:rPr>
        <w:t>Second, clinicians must be educated to recognize the TOFI phenotype and the concept of the personal fat threshold. Understanding that a lean-appearing patient may have exhausted their subcutaneous storage capacity is crucial for early intervention.</w:t>
      </w:r>
    </w:p>
    <w:p>
      <w:pPr>
        <w:spacing w:after="120" w:before="0" w:line="276" w:lineRule="auto"/>
        <w:jc w:val="both"/>
      </w:pPr>
      <w:r>
        <w:rPr>
          <w:rFonts w:ascii="Times New Roman" w:hAnsi="Times New Roman" w:cs="Times New Roman"/>
          <w:b w:val="0"/>
          <w:i w:val="0"/>
          <w:sz w:val="22"/>
        </w:rPr>
        <w:t>Finally, we must integrate these anthropometric findings with robust biochemical markers. The TyG-WC index, which combines the anatomical risk of waist circumference with the biochemical reality of insulin resistance (triglycerides and fasting glucose), represents the future of accessible, high-precision metabolic screening. By embracing these newer concepts, we can move beyond the limitations of BMI and provide the targeted, proactive care that the Indian patient urgently requires.</w:t>
      </w:r>
    </w:p>
    <w:p>
      <w:pPr>
        <w:keepNext/>
        <w:spacing w:before="240" w:after="120"/>
        <w:jc w:val="left"/>
      </w:pPr>
      <w:r>
        <w:rPr>
          <w:rFonts w:ascii="Arial" w:hAnsi="Arial" w:cs="Arial"/>
          <w:b/>
          <w:sz w:val="26"/>
        </w:rPr>
        <w:t>Conclusion</w:t>
      </w:r>
    </w:p>
    <w:p>
      <w:pPr>
        <w:spacing w:after="120" w:before="0" w:line="276" w:lineRule="auto"/>
        <w:jc w:val="both"/>
      </w:pPr>
      <w:r>
        <w:rPr>
          <w:rFonts w:ascii="Times New Roman" w:hAnsi="Times New Roman" w:cs="Times New Roman"/>
          <w:b w:val="0"/>
          <w:i w:val="0"/>
          <w:sz w:val="22"/>
        </w:rPr>
        <w:t>The Indian Paradox—the high prevalence of cardiometabolic disease at low body weights—is only a paradox if we continue to view the body through the flawed lens of BMI. By recognizing the unique “thin-fat” phenotype, understanding the low personal fat threshold of the South Asian population, and appreciating the profound pathogenic difference between subcutaneous and visceral fat, we can identify the true drivers of disease. The TOFI patient is in imminent danger, and the tape measure, rather than the weighing scale, is our most vital tool for early detection.</w:t>
      </w:r>
    </w:p>
    <w:p>
      <w:pPr>
        <w:keepNext/>
        <w:spacing w:before="240" w:after="120"/>
        <w:jc w:val="left"/>
      </w:pPr>
      <w:r>
        <w:rPr>
          <w:rFonts w:ascii="Arial" w:hAnsi="Arial" w:cs="Arial"/>
          <w:b/>
          <w:sz w:val="26"/>
        </w:rPr>
        <w:t>Multiple Choice Questions</w:t>
      </w:r>
    </w:p>
    <w:p>
      <w:pPr>
        <w:spacing w:after="40"/>
      </w:pPr>
      <w:r>
        <w:rPr>
          <w:rFonts w:ascii="Times New Roman" w:hAnsi="Times New Roman" w:cs="Times New Roman"/>
          <w:sz w:val="22"/>
        </w:rPr>
        <w:t>1. According to the WHO expert consultation for Asian populations, at what Body Mass Index (BMI) does “high risk” begin, serving as a public health action point for obesity?</w:t>
      </w:r>
    </w:p>
    <w:p>
      <w:pPr>
        <w:spacing w:after="20"/>
        <w:ind w:left="432"/>
      </w:pPr>
      <w:r>
        <w:rPr>
          <w:rFonts w:ascii="Times New Roman" w:hAnsi="Times New Roman" w:cs="Times New Roman"/>
          <w:sz w:val="22"/>
        </w:rPr>
        <w:t>A. 25.0 kg/m²</w:t>
      </w:r>
    </w:p>
    <w:p>
      <w:pPr>
        <w:spacing w:after="20"/>
        <w:ind w:left="432"/>
      </w:pPr>
      <w:r>
        <w:rPr>
          <w:rFonts w:ascii="Times New Roman" w:hAnsi="Times New Roman" w:cs="Times New Roman"/>
          <w:sz w:val="22"/>
        </w:rPr>
        <w:t>B. 27.5 kg/m²</w:t>
      </w:r>
    </w:p>
    <w:p>
      <w:pPr>
        <w:spacing w:after="20"/>
        <w:ind w:left="432"/>
      </w:pPr>
      <w:r>
        <w:rPr>
          <w:rFonts w:ascii="Times New Roman" w:hAnsi="Times New Roman" w:cs="Times New Roman"/>
          <w:sz w:val="22"/>
        </w:rPr>
        <w:t>C. 30.0 kg/m²</w:t>
      </w:r>
    </w:p>
    <w:p>
      <w:pPr>
        <w:spacing w:after="20"/>
        <w:ind w:left="432"/>
      </w:pPr>
      <w:r>
        <w:rPr>
          <w:rFonts w:ascii="Times New Roman" w:hAnsi="Times New Roman" w:cs="Times New Roman"/>
          <w:sz w:val="22"/>
        </w:rPr>
        <w:t>D. 32.5 kg/m²</w:t>
      </w:r>
    </w:p>
    <w:p>
      <w:pPr>
        <w:spacing w:after="40"/>
      </w:pPr>
      <w:r>
        <w:rPr>
          <w:rFonts w:ascii="Times New Roman" w:hAnsi="Times New Roman" w:cs="Times New Roman"/>
          <w:sz w:val="22"/>
        </w:rPr>
        <w:t>2. The “Y-Y Paradox” (Yajnik and Yudkin) best illustrates which clinical concept regarding the Indian phenotype?</w:t>
      </w:r>
    </w:p>
    <w:p>
      <w:pPr>
        <w:spacing w:after="20"/>
        <w:ind w:left="432"/>
      </w:pPr>
      <w:r>
        <w:rPr>
          <w:rFonts w:ascii="Times New Roman" w:hAnsi="Times New Roman" w:cs="Times New Roman"/>
          <w:sz w:val="22"/>
        </w:rPr>
        <w:t>A. Indians have a higher basal metabolic rate than Caucasians.</w:t>
      </w:r>
    </w:p>
    <w:p>
      <w:pPr>
        <w:spacing w:after="20"/>
        <w:ind w:left="432"/>
      </w:pPr>
      <w:r>
        <w:rPr>
          <w:rFonts w:ascii="Times New Roman" w:hAnsi="Times New Roman" w:cs="Times New Roman"/>
          <w:sz w:val="22"/>
        </w:rPr>
        <w:t>B. Indians have a lower risk of cardiovascular disease at a normal BMI.</w:t>
      </w:r>
    </w:p>
    <w:p>
      <w:pPr>
        <w:spacing w:after="20"/>
        <w:ind w:left="432"/>
      </w:pPr>
      <w:r>
        <w:rPr>
          <w:rFonts w:ascii="Times New Roman" w:hAnsi="Times New Roman" w:cs="Times New Roman"/>
          <w:sz w:val="22"/>
        </w:rPr>
        <w:t>C. Indians have a significantly higher body fat percentage at the same BMI compared to Caucasians.</w:t>
      </w:r>
    </w:p>
    <w:p>
      <w:pPr>
        <w:spacing w:after="20"/>
        <w:ind w:left="432"/>
      </w:pPr>
      <w:r>
        <w:rPr>
          <w:rFonts w:ascii="Times New Roman" w:hAnsi="Times New Roman" w:cs="Times New Roman"/>
          <w:sz w:val="22"/>
        </w:rPr>
        <w:t>D. Indians store fat primarily in subcutaneous rather than visceral depots.</w:t>
      </w:r>
    </w:p>
    <w:p>
      <w:pPr>
        <w:spacing w:after="40"/>
      </w:pPr>
      <w:r>
        <w:rPr>
          <w:rFonts w:ascii="Times New Roman" w:hAnsi="Times New Roman" w:cs="Times New Roman"/>
          <w:sz w:val="22"/>
        </w:rPr>
        <w:t>3. In the context of the “Personal Fat Threshold” hypothesis, what occurs when an individual's subcutaneous adipose tissue capacity is exceeded?</w:t>
      </w:r>
    </w:p>
    <w:p>
      <w:pPr>
        <w:spacing w:after="20"/>
        <w:ind w:left="432"/>
      </w:pPr>
      <w:r>
        <w:rPr>
          <w:rFonts w:ascii="Times New Roman" w:hAnsi="Times New Roman" w:cs="Times New Roman"/>
          <w:sz w:val="22"/>
        </w:rPr>
        <w:t>A. The body increases its basal metabolic rate to burn the excess fat.</w:t>
      </w:r>
    </w:p>
    <w:p>
      <w:pPr>
        <w:spacing w:after="20"/>
        <w:ind w:left="432"/>
      </w:pPr>
      <w:r>
        <w:rPr>
          <w:rFonts w:ascii="Times New Roman" w:hAnsi="Times New Roman" w:cs="Times New Roman"/>
          <w:sz w:val="22"/>
        </w:rPr>
        <w:t>B. Fat safely accumulates in the subcutaneous tissue of the lower extremities.</w:t>
      </w:r>
    </w:p>
    <w:p>
      <w:pPr>
        <w:spacing w:after="20"/>
        <w:ind w:left="432"/>
      </w:pPr>
      <w:r>
        <w:rPr>
          <w:rFonts w:ascii="Times New Roman" w:hAnsi="Times New Roman" w:cs="Times New Roman"/>
          <w:sz w:val="22"/>
        </w:rPr>
        <w:t>C. Excess energy spills over into ectopic sites such as the liver, muscle, and pancreas.</w:t>
      </w:r>
    </w:p>
    <w:p>
      <w:pPr>
        <w:spacing w:after="20"/>
        <w:ind w:left="432"/>
      </w:pPr>
      <w:r>
        <w:rPr>
          <w:rFonts w:ascii="Times New Roman" w:hAnsi="Times New Roman" w:cs="Times New Roman"/>
          <w:sz w:val="22"/>
        </w:rPr>
        <w:t>D. The liver decreases its production of Very Low-Density Lipoproteins (VLDL).</w:t>
      </w:r>
    </w:p>
    <w:p>
      <w:pPr>
        <w:spacing w:after="40"/>
      </w:pPr>
      <w:r>
        <w:rPr>
          <w:rFonts w:ascii="Times New Roman" w:hAnsi="Times New Roman" w:cs="Times New Roman"/>
          <w:sz w:val="22"/>
        </w:rPr>
        <w:t>4. Which of the following adipokines, secreted by healthy subcutaneous fat, exerts protective anti-inflammatory effects and enhances insulin sensitivity?</w:t>
      </w:r>
    </w:p>
    <w:p>
      <w:pPr>
        <w:spacing w:after="20"/>
        <w:ind w:left="432"/>
      </w:pPr>
      <w:r>
        <w:rPr>
          <w:rFonts w:ascii="Times New Roman" w:hAnsi="Times New Roman" w:cs="Times New Roman"/>
          <w:sz w:val="22"/>
        </w:rPr>
        <w:t>A. Resistin</w:t>
      </w:r>
    </w:p>
    <w:p>
      <w:pPr>
        <w:spacing w:after="20"/>
        <w:ind w:left="432"/>
      </w:pPr>
      <w:r>
        <w:rPr>
          <w:rFonts w:ascii="Times New Roman" w:hAnsi="Times New Roman" w:cs="Times New Roman"/>
          <w:sz w:val="22"/>
        </w:rPr>
        <w:t>B. Tumor Necrosis Factor-alpha (TNF-alpha)</w:t>
      </w:r>
    </w:p>
    <w:p>
      <w:pPr>
        <w:spacing w:after="20"/>
        <w:ind w:left="432"/>
      </w:pPr>
      <w:r>
        <w:rPr>
          <w:rFonts w:ascii="Times New Roman" w:hAnsi="Times New Roman" w:cs="Times New Roman"/>
          <w:sz w:val="22"/>
        </w:rPr>
        <w:t>C. Interleukin-6 (IL-6)</w:t>
      </w:r>
    </w:p>
    <w:p>
      <w:pPr>
        <w:spacing w:after="20"/>
        <w:ind w:left="432"/>
      </w:pPr>
      <w:r>
        <w:rPr>
          <w:rFonts w:ascii="Times New Roman" w:hAnsi="Times New Roman" w:cs="Times New Roman"/>
          <w:sz w:val="22"/>
        </w:rPr>
        <w:t>D. Adiponectin</w:t>
      </w:r>
    </w:p>
    <w:p>
      <w:pPr>
        <w:spacing w:after="40"/>
      </w:pPr>
      <w:r>
        <w:rPr>
          <w:rFonts w:ascii="Times New Roman" w:hAnsi="Times New Roman" w:cs="Times New Roman"/>
          <w:sz w:val="22"/>
        </w:rPr>
        <w:t>5. Based on consensus guidelines for Asian Indians, what are the waist circumference cutoffs defining central obesity?</w:t>
      </w:r>
    </w:p>
    <w:p>
      <w:pPr>
        <w:spacing w:after="20"/>
        <w:ind w:left="432"/>
      </w:pPr>
      <w:r>
        <w:rPr>
          <w:rFonts w:ascii="Times New Roman" w:hAnsi="Times New Roman" w:cs="Times New Roman"/>
          <w:sz w:val="22"/>
        </w:rPr>
        <w:t>A. &gt; 102 cm in men; &gt; 88 cm in women</w:t>
      </w:r>
    </w:p>
    <w:p>
      <w:pPr>
        <w:spacing w:after="20"/>
        <w:ind w:left="432"/>
      </w:pPr>
      <w:r>
        <w:rPr>
          <w:rFonts w:ascii="Times New Roman" w:hAnsi="Times New Roman" w:cs="Times New Roman"/>
          <w:sz w:val="22"/>
        </w:rPr>
        <w:t>B. &gt; 94 cm in men; &gt; 80 cm in women</w:t>
      </w:r>
    </w:p>
    <w:p>
      <w:pPr>
        <w:spacing w:after="20"/>
        <w:ind w:left="432"/>
      </w:pPr>
      <w:r>
        <w:rPr>
          <w:rFonts w:ascii="Times New Roman" w:hAnsi="Times New Roman" w:cs="Times New Roman"/>
          <w:sz w:val="22"/>
        </w:rPr>
        <w:t>C. &gt; 90 cm in men; &gt; 80 cm in women</w:t>
      </w:r>
    </w:p>
    <w:p>
      <w:pPr>
        <w:spacing w:after="20"/>
        <w:ind w:left="432"/>
      </w:pPr>
      <w:r>
        <w:rPr>
          <w:rFonts w:ascii="Times New Roman" w:hAnsi="Times New Roman" w:cs="Times New Roman"/>
          <w:sz w:val="22"/>
        </w:rPr>
        <w:t>D. &gt; 85 cm in men; &gt; 75 cm in women</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C  4. D  5. C</w:t>
      </w:r>
    </w:p>
    <w:p>
      <w:pPr>
        <w:keepNext/>
        <w:spacing w:before="240" w:after="120"/>
        <w:jc w:val="left"/>
      </w:pPr>
      <w:r>
        <w:rPr>
          <w:rFonts w:ascii="Arial" w:hAnsi="Arial" w:cs="Arial"/>
          <w:b/>
          <w:sz w:val="26"/>
        </w:rPr>
        <w:t>References</w:t>
      </w:r>
    </w:p>
    <w:p>
      <w:pPr>
        <w:spacing w:after="40"/>
      </w:pPr>
      <w:r>
        <w:rPr>
          <w:rFonts w:ascii="Times New Roman" w:hAnsi="Times New Roman" w:cs="Times New Roman"/>
          <w:sz w:val="19"/>
        </w:rPr>
        <w:t>[1] Yajnik CS, Yudkin JS. The Y-Y paradox. Lancet. 2004;363(9403):163.</w:t>
      </w:r>
    </w:p>
    <w:p>
      <w:pPr>
        <w:spacing w:after="40"/>
      </w:pPr>
      <w:r>
        <w:rPr>
          <w:rFonts w:ascii="Times New Roman" w:hAnsi="Times New Roman" w:cs="Times New Roman"/>
          <w:sz w:val="19"/>
        </w:rPr>
        <w:t>[2] WHO Expert Consultation. Appropriate body-mass index for Asian populations and its implications for policy and intervention strategies. Lancet. 2004;363(9403):157-163.</w:t>
      </w:r>
    </w:p>
    <w:p>
      <w:pPr>
        <w:spacing w:after="40"/>
      </w:pPr>
      <w:r>
        <w:rPr>
          <w:rFonts w:ascii="Times New Roman" w:hAnsi="Times New Roman" w:cs="Times New Roman"/>
          <w:sz w:val="19"/>
        </w:rPr>
        <w:t>[3] Misra A, Chowbey P, Makkar BM, et al. Consensus statement for diagnosis of obesity, abdominal obesity and the metabolic syndrome for Asian Indians and recommendations for physical activity, medical and surgical management. J Assoc Physicians India. 2009;57:163-170.</w:t>
      </w:r>
    </w:p>
    <w:p>
      <w:pPr>
        <w:spacing w:after="40"/>
      </w:pPr>
      <w:r>
        <w:rPr>
          <w:rFonts w:ascii="Times New Roman" w:hAnsi="Times New Roman" w:cs="Times New Roman"/>
          <w:sz w:val="19"/>
        </w:rPr>
        <w:t>[4] Taylor R, Holman RR. Normal weight individuals who develop type 2 diabetes: the personal fat threshold. Clin Sci (Lond). 2015;128(7):405-410.</w:t>
      </w:r>
    </w:p>
    <w:p>
      <w:pPr>
        <w:spacing w:after="40"/>
      </w:pPr>
      <w:r>
        <w:rPr>
          <w:rFonts w:ascii="Times New Roman" w:hAnsi="Times New Roman" w:cs="Times New Roman"/>
          <w:sz w:val="19"/>
        </w:rPr>
        <w:t>[5] Després JP. Body fat distribution and risk of cardiovascular disease: an update. Circulation. 2012;126(10):1301-1313.</w:t>
      </w:r>
    </w:p>
    <w:p>
      <w:pPr>
        <w:spacing w:after="40"/>
      </w:pPr>
      <w:r>
        <w:rPr>
          <w:rFonts w:ascii="Times New Roman" w:hAnsi="Times New Roman" w:cs="Times New Roman"/>
          <w:sz w:val="19"/>
        </w:rPr>
        <w:t>[6] Lean ME, Han TS, Morrison CE. Waist circumference as a measure for indicating need for weight management. BMJ. 1995;311(6998):158-161.</w:t>
      </w:r>
    </w:p>
    <w:p>
      <w:pPr>
        <w:spacing w:after="40"/>
      </w:pPr>
      <w:r>
        <w:rPr>
          <w:rFonts w:ascii="Times New Roman" w:hAnsi="Times New Roman" w:cs="Times New Roman"/>
          <w:sz w:val="19"/>
        </w:rPr>
        <w:t>[7] Pradeepa R, Anjana RM, Joshi SR, et al. Prevalence of generalized &amp; abdominal obesity in urban &amp; rural India - the ICMR-INDIAB Study (Phase-I) [ICMR-INDIAB-3]. Indian J Med Res. 2015;142(2):139-150.</w:t>
      </w:r>
    </w:p>
    <w:p>
      <w:pPr>
        <w:spacing w:after="40"/>
      </w:pPr>
      <w:r>
        <w:rPr>
          <w:rFonts w:ascii="Times New Roman" w:hAnsi="Times New Roman" w:cs="Times New Roman"/>
          <w:sz w:val="19"/>
        </w:rPr>
        <w:t>[8] Nehru MS, et al. HOMA-IR cutoffs in the Indian population. Int J Med. 2026;8(2):977-983.</w:t>
      </w:r>
    </w:p>
    <w:p>
      <w:pPr>
        <w:spacing w:after="40"/>
      </w:pPr>
      <w:r>
        <w:rPr>
          <w:rFonts w:ascii="Times New Roman" w:hAnsi="Times New Roman" w:cs="Times New Roman"/>
          <w:sz w:val="19"/>
        </w:rPr>
        <w:t>[9] Nehru MS, et al. Waist Circumference-Triglyceride-Glucose Index as a Predictor of Central Obesity-Linked Dyslipidemia and Insulin Resistance: A Clinical Study of 50 Patients in Urban India. Int J Curr Pharm Rev Res. 2026;18(2):826-833.</w:t>
      </w:r>
    </w:p>
    <w:p>
      <w:r>
        <w:br w:type="page"/>
      </w:r>
    </w:p>
    <w:p>
      <w:pPr>
        <w:jc w:val="left"/>
      </w:pPr>
      <w:r>
        <w:rPr>
          <w:rFonts w:ascii="Arial" w:hAnsi="Arial" w:cs="Arial"/>
          <w:b/>
          <w:sz w:val="26"/>
        </w:rPr>
        <w:t>CHAPTER 6</w:t>
      </w:r>
    </w:p>
    <w:p>
      <w:pPr>
        <w:keepNext/>
        <w:spacing w:before="360" w:after="120"/>
        <w:jc w:val="left"/>
      </w:pPr>
      <w:r>
        <w:rPr>
          <w:rFonts w:ascii="Arial" w:hAnsi="Arial" w:cs="Arial"/>
          <w:b/>
          <w:sz w:val="32"/>
        </w:rPr>
        <w:t>Proinsulin, C-Peptide and Beta Cell Reserve</w:t>
      </w:r>
    </w:p>
    <w:p>
      <w:pPr>
        <w:keepNext/>
        <w:spacing w:before="240" w:after="120"/>
        <w:jc w:val="left"/>
      </w:pPr>
      <w:r>
        <w:rPr>
          <w:rFonts w:ascii="Arial" w:hAnsi="Arial" w:cs="Arial"/>
          <w:b/>
          <w:sz w:val="26"/>
        </w:rPr>
        <w:t>Chapter 6 — Proinsulin, C-Peptide and Beta Cell Reserve</w:t>
      </w:r>
    </w:p>
    <w:p>
      <w:pPr>
        <w:keepNext/>
        <w:spacing w:before="240" w:after="120"/>
        <w:jc w:val="left"/>
      </w:pPr>
      <w:r>
        <w:rPr>
          <w:rFonts w:ascii="Arial" w:hAnsi="Arial" w:cs="Arial"/>
          <w:b/>
          <w:sz w:val="26"/>
        </w:rPr>
        <w:t>Biomarkers of Beta Cell Stress in the Indian Diabetic</w:t>
      </w:r>
    </w:p>
    <w:p>
      <w:pPr>
        <w:keepNext/>
        <w:spacing w:before="240" w:after="120"/>
        <w:jc w:val="left"/>
      </w:pPr>
      <w:r>
        <w:rPr>
          <w:rFonts w:ascii="Arial" w:hAnsi="Arial" w:cs="Arial"/>
          <w:b/>
          <w:sz w:val="26"/>
        </w:rPr>
        <w:t>6.1 — Introduction</w:t>
      </w:r>
    </w:p>
    <w:p>
      <w:pPr>
        <w:spacing w:after="120" w:before="0" w:line="276" w:lineRule="auto"/>
        <w:jc w:val="both"/>
      </w:pPr>
      <w:r>
        <w:rPr>
          <w:rFonts w:ascii="Times New Roman" w:hAnsi="Times New Roman" w:cs="Times New Roman"/>
          <w:b w:val="0"/>
          <w:i w:val="0"/>
          <w:sz w:val="22"/>
        </w:rPr>
        <w:t>Standard diabetes diagnosis relies on late-stage glucose markers — fasting plasma glucose, two-hour OGTT glucose, and HbA1c. These markers reflect a relatively advanced stage of metabolic dysfunction. By the time HbA1c crosses 6.5 percent, beta cell reserve has already been substantially depleted. Emerging evidence highlights the critical importance of earlier biomarkers — hyperinsulinaemia, proinsulin, and C-peptide — which can indicate beta cell stress and insulin resistance years before glucose dysregulation becomes apparent. In the Dr. Nehru Method, these biomarkers are integrated with the India-specific operational thresholds of HOMA-IR above 2.3 and TyG above 8.82 to provide a complete picture of beta cell health.¹²</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6.1 ]</w:t>
      </w:r>
    </w:p>
    <w:p>
      <w:pPr>
        <w:spacing w:before="40" w:after="200"/>
        <w:jc w:val="center"/>
      </w:pPr>
      <w:r>
        <w:rPr>
          <w:rFonts w:ascii="Times New Roman" w:hAnsi="Times New Roman" w:cs="Times New Roman"/>
          <w:b w:val="0"/>
          <w:i/>
          <w:sz w:val="18"/>
        </w:rPr>
        <w:t>Figure 6.1 — Proinsulin processing and C-peptide co-secretion — markers of beta cell reserve.</w:t>
      </w:r>
    </w:p>
    <w:p>
      <w:pPr>
        <w:keepNext/>
        <w:spacing w:before="240" w:after="120"/>
        <w:jc w:val="left"/>
      </w:pPr>
      <w:r>
        <w:rPr>
          <w:rFonts w:ascii="Arial" w:hAnsi="Arial" w:cs="Arial"/>
          <w:b/>
          <w:sz w:val="26"/>
        </w:rPr>
        <w:t>6.2 — Fasting Hyperinsulinaemia — The Earliest Detectable Signal</w:t>
      </w:r>
    </w:p>
    <w:p>
      <w:pPr>
        <w:spacing w:after="120" w:before="0" w:line="276" w:lineRule="auto"/>
        <w:jc w:val="both"/>
      </w:pPr>
      <w:r>
        <w:rPr>
          <w:rFonts w:ascii="Times New Roman" w:hAnsi="Times New Roman" w:cs="Times New Roman"/>
          <w:b w:val="0"/>
          <w:i w:val="0"/>
          <w:sz w:val="22"/>
        </w:rPr>
        <w:t>Fasting hyperinsulinaemia — characterised by elevated circulating insulin levels in the fasting state — is increasingly recognised as the primary detectable defect preceding insulin resistance by years or even decades. Longitudinal studies have demonstrated that insulin resistance can precede the development of type 2 diabetes by 10 to 13 years, with fasting insulin levels capturing this compensatory elevation early in the disease trajectory.³ The condition is self-perpetuating — pre-exposure to hyperinsulinaemia stimulates a greater insulin-induced secretory response, independently of insulin sensitivity.</w:t>
      </w:r>
    </w:p>
    <w:p>
      <w:pPr>
        <w:spacing w:before="120" w:after="120"/>
        <w:ind w:left="432" w:right="432"/>
        <w:jc w:val="left"/>
      </w:pPr>
      <w:r>
        <w:rPr>
          <w:rFonts w:ascii="Times New Roman" w:hAnsi="Times New Roman" w:cs="Times New Roman"/>
          <w:b/>
          <w:i/>
          <w:sz w:val="22"/>
        </w:rPr>
        <w:t>Fasting insulin above 12 mIU/L indicates the beta cell is working overtime to maintain glucose homeostasis — even when fasting glucose is completely normal.</w:t>
      </w:r>
    </w:p>
    <w:p>
      <w:pPr>
        <w:spacing w:after="120" w:before="0" w:line="276" w:lineRule="auto"/>
        <w:jc w:val="both"/>
      </w:pPr>
      <w:r>
        <w:rPr>
          <w:rFonts w:ascii="Times New Roman" w:hAnsi="Times New Roman" w:cs="Times New Roman"/>
          <w:b w:val="0"/>
          <w:i w:val="0"/>
          <w:sz w:val="22"/>
        </w:rPr>
        <w:t>In the Dr. Nehru Method, a fasting insulin above 12 mIU/L is an early marker of metabolic concern. The HOMA-IR formula — fasting glucose in mg/dL multiplied by fasting insulin in mIU/L divided by 405 — provides a quantitative measure of this compensatory hyperinsulinaemia. The India-specific operational cutoff of above 2.3 defines the threshold for active clinical intervention in the Indian phenotype.¹</w:t>
      </w:r>
    </w:p>
    <w:p>
      <w:pPr>
        <w:spacing w:after="120" w:before="0" w:line="276" w:lineRule="auto"/>
        <w:jc w:val="both"/>
      </w:pPr>
      <w:r>
        <w:rPr>
          <w:rFonts w:ascii="Times New Roman" w:hAnsi="Times New Roman" w:cs="Times New Roman"/>
          <w:b w:val="0"/>
          <w:i w:val="0"/>
          <w:sz w:val="22"/>
        </w:rPr>
        <w:t>Beyond glucose metabolism, hyperinsulinaemia is an independent predictor of cardiovascular disease risk. The Quebec Cardiovascular Study of 2,103 men demonstrated that the odds ratio for ischaemic heart disease was 1.69 for each standard deviation increase in insulin concentration, independent of traditional cardiovascular risk factors.⁴ Hyperinsulinaemia also drives visceral fat accumulation through its potent lipogenic effects, activating SREBP-1c and promoting hepatic de novo lipogenesis — creating the atherogenic dyslipidaemia pattern characteristic of the Indian metabolic phenotype.⁵</w:t>
      </w:r>
    </w:p>
    <w:p>
      <w:pPr>
        <w:keepNext/>
        <w:spacing w:before="240" w:after="120"/>
        <w:jc w:val="left"/>
      </w:pPr>
      <w:r>
        <w:rPr>
          <w:rFonts w:ascii="Arial" w:hAnsi="Arial" w:cs="Arial"/>
          <w:b/>
          <w:sz w:val="26"/>
        </w:rPr>
        <w:t>6.3 — Proinsulin — Definition, Cutoffs, and Clinical Significance</w:t>
      </w:r>
    </w:p>
    <w:p>
      <w:pPr>
        <w:spacing w:after="120" w:before="0" w:line="276" w:lineRule="auto"/>
        <w:jc w:val="both"/>
      </w:pPr>
      <w:r>
        <w:rPr>
          <w:rFonts w:ascii="Times New Roman" w:hAnsi="Times New Roman" w:cs="Times New Roman"/>
          <w:b w:val="0"/>
          <w:i w:val="0"/>
          <w:sz w:val="22"/>
        </w:rPr>
        <w:t>Proinsulin is the single-chain precursor molecule to insulin, synthesised in the pancreatic beta cells. It undergoes proteolytic cleavage in the secretory granules to yield equimolar amounts of mature insulin and C-peptide. In healthy individuals, the ratio of proinsulin to insulin is typically low — less than 5 percent of circulating insulin — reflecting efficient processing by the prohormone convertases PC1/3 and PC2. A normal fasting intact proinsulin level is generally below 11 pmol/L, though some references cite the upper limit at 10 pmol/L.⁶</w:t>
      </w:r>
    </w:p>
    <w:p>
      <w:pPr>
        <w:spacing w:before="120" w:after="120"/>
        <w:ind w:left="432" w:right="432"/>
        <w:jc w:val="left"/>
      </w:pPr>
      <w:r>
        <w:rPr>
          <w:rFonts w:ascii="Times New Roman" w:hAnsi="Times New Roman" w:cs="Times New Roman"/>
          <w:b/>
          <w:i/>
          <w:sz w:val="22"/>
        </w:rPr>
        <w:t>Proinsulin above 11 pmol/L signals that the beta cell Golgi apparatus is overwhelmed — it is releasing immature secretory granules because demand exceeds processing capacity.</w:t>
      </w:r>
    </w:p>
    <w:p>
      <w:pPr>
        <w:spacing w:after="120" w:before="0" w:line="276" w:lineRule="auto"/>
        <w:jc w:val="both"/>
      </w:pPr>
      <w:r>
        <w:rPr>
          <w:rFonts w:ascii="Times New Roman" w:hAnsi="Times New Roman" w:cs="Times New Roman"/>
          <w:b w:val="0"/>
          <w:i w:val="0"/>
          <w:sz w:val="22"/>
        </w:rPr>
        <w:t>Elevated proinsulin levels are a sensitive indicator of beta cell stress and dysfunction, rising significantly before HbA1c reaches diabetic levels. Studies confirm that proinsulin levels are elevated early in prediabetes, reflecting impaired proinsulin processing capacity.⁷ The proinsulin to C-peptide ratio serves as a marker of beta cell endoplasmic reticulum stress and impaired proinsulin conversion — an elevated ratio indicates impending beta cell dysfunction.⁸</w:t>
      </w:r>
    </w:p>
    <w:p>
      <w:pPr>
        <w:spacing w:after="120" w:before="0" w:line="276" w:lineRule="auto"/>
        <w:jc w:val="both"/>
      </w:pPr>
      <w:r>
        <w:rPr>
          <w:rFonts w:ascii="Times New Roman" w:hAnsi="Times New Roman" w:cs="Times New Roman"/>
          <w:b w:val="0"/>
          <w:i w:val="0"/>
          <w:sz w:val="22"/>
        </w:rPr>
        <w:t>South Asian populations consistently exhibit higher fasting proinsulin levels compared to white Caucasians, even when matched for BMI.⁹ This suggests a greater degree of beta cell stress and impaired prohormone processing in Indian patients, contributing to their higher susceptibility to type 2 diabetes at lower BMI values and younger ages. Asian Indians exhibit higher fasting insulin and proinsulin levels compared to other ethnicities at similar BMI — a direct reflection of the thin-fat phenotype where metabolic stress accumulates invisibly within a normal-appearing body.</w:t>
      </w:r>
    </w:p>
    <w:p>
      <w:pPr>
        <w:spacing w:after="120" w:before="0" w:line="276" w:lineRule="auto"/>
        <w:jc w:val="both"/>
      </w:pPr>
      <w:r>
        <w:rPr>
          <w:rFonts w:ascii="Times New Roman" w:hAnsi="Times New Roman" w:cs="Times New Roman"/>
          <w:b w:val="0"/>
          <w:i w:val="0"/>
          <w:sz w:val="22"/>
        </w:rPr>
        <w:t>Elevated proinsulin is not merely a marker of beta cell stress — it is an independent predictor of cardiovascular events. The Quebec Cardiovascular Study and the Insulin Resistance Atherosclerosis Study confirmed this association, establishing proinsulin as a prognostic marker for cardiovascular disease in prediabetic individuals that operates independently of conventional lipid and glucose parameters.¹⁰</w:t>
      </w:r>
    </w:p>
    <w:p>
      <w:pPr>
        <w:keepNext/>
        <w:spacing w:before="240" w:after="120"/>
        <w:jc w:val="left"/>
      </w:pPr>
      <w:r>
        <w:rPr>
          <w:rFonts w:ascii="Arial" w:hAnsi="Arial" w:cs="Arial"/>
          <w:b/>
          <w:sz w:val="26"/>
        </w:rPr>
        <w:t>6.4 — C-Peptide — The True Measure of Beta Cell Reserve</w:t>
      </w:r>
    </w:p>
    <w:p>
      <w:pPr>
        <w:spacing w:after="120" w:before="0" w:line="276" w:lineRule="auto"/>
        <w:jc w:val="both"/>
      </w:pPr>
      <w:r>
        <w:rPr>
          <w:rFonts w:ascii="Times New Roman" w:hAnsi="Times New Roman" w:cs="Times New Roman"/>
          <w:b w:val="0"/>
          <w:i w:val="0"/>
          <w:sz w:val="22"/>
        </w:rPr>
        <w:t>C-peptide — the connecting peptide — is co-secreted with insulin in equimolar amounts from the pancreatic beta cells. Unlike insulin, which undergoes 50 to 80 percent first-pass hepatic extraction and has a half-life of 3 to 5 minutes, C-peptide undergoes negligible hepatic extraction and is cleared primarily by the kidneys with a half-life of approximately 30 minutes. This makes C-peptide a far more stable and reliable indicator of endogenous insulin secretion than peripheral insulin measurement.</w:t>
      </w:r>
    </w:p>
    <w:p>
      <w:pPr>
        <w:spacing w:after="120" w:before="0" w:line="276" w:lineRule="auto"/>
        <w:jc w:val="both"/>
      </w:pPr>
      <w:r>
        <w:rPr>
          <w:rFonts w:ascii="Times New Roman" w:hAnsi="Times New Roman" w:cs="Times New Roman"/>
          <w:b w:val="0"/>
          <w:i w:val="0"/>
          <w:sz w:val="22"/>
        </w:rPr>
        <w:t>Normal fasting C-peptide ranges from 0.5 to 2.0 ng/mL. A fasting C-peptide above 2.0 ng/mL indicates significant hyperinsulinaemia and insulin resistance — the beta cell is hyperseceting to overcome peripheral resistance. A fasting C-peptide below 0.5 ng/mL indicates severe depletion of beta cell mass, suggesting absolute insulin deficiency.¹¹</w:t>
      </w:r>
    </w:p>
    <w:p>
      <w:pPr>
        <w:spacing w:before="120" w:after="120"/>
        <w:ind w:left="432" w:right="432"/>
        <w:jc w:val="left"/>
      </w:pPr>
      <w:r>
        <w:rPr>
          <w:rFonts w:ascii="Times New Roman" w:hAnsi="Times New Roman" w:cs="Times New Roman"/>
          <w:b/>
          <w:i/>
          <w:sz w:val="22"/>
        </w:rPr>
        <w:t>C-peptide trajectory maps the complete beta cell journey — rising during compensation, peaking under stress, then falling as reserve depletes. It is the most honest measure of how much beta cell the patient has left.</w:t>
      </w:r>
    </w:p>
    <w:p>
      <w:pPr>
        <w:spacing w:after="120" w:before="0" w:line="276" w:lineRule="auto"/>
        <w:jc w:val="both"/>
      </w:pPr>
      <w:r>
        <w:rPr>
          <w:rFonts w:ascii="Times New Roman" w:hAnsi="Times New Roman" w:cs="Times New Roman"/>
          <w:b w:val="0"/>
          <w:i w:val="0"/>
          <w:sz w:val="22"/>
        </w:rPr>
        <w:t>In the early stages of prediabetes, C-peptide rises as beta cells compensate for increasing insulin resistance. As beta cell dysfunction progresses, C-peptide eventually declines, reflecting reduction in endogenous insulin production. Longitudinal studies demonstrate an exponential fall in C-peptide over approximately 5 years following the onset of type 1 or type 2 diabetes. Asian Indian cohorts with prediabetes frequently exhibit high fasting C-peptide levels — indicating significant insulin resistance even at lower BMI — before eventual decline.¹²</w:t>
      </w:r>
    </w:p>
    <w:p>
      <w:pPr>
        <w:keepNext/>
        <w:spacing w:before="240" w:after="120"/>
        <w:jc w:val="left"/>
      </w:pPr>
      <w:r>
        <w:rPr>
          <w:rFonts w:ascii="Arial" w:hAnsi="Arial" w:cs="Arial"/>
          <w:b/>
          <w:sz w:val="26"/>
        </w:rPr>
        <w:t>6.5 — The FCPGR — Fasting C-Peptide to Creatinine Ratio</w:t>
      </w:r>
    </w:p>
    <w:p>
      <w:pPr>
        <w:spacing w:after="120" w:before="0" w:line="276" w:lineRule="auto"/>
        <w:jc w:val="both"/>
      </w:pPr>
      <w:r>
        <w:rPr>
          <w:rFonts w:ascii="Times New Roman" w:hAnsi="Times New Roman" w:cs="Times New Roman"/>
          <w:b w:val="0"/>
          <w:i w:val="0"/>
          <w:sz w:val="22"/>
        </w:rPr>
        <w:t>Because C-peptide is renally cleared, its serum concentration can be falsely elevated in patients with impaired glomerular filtration. The Fasting C-Peptide to Creatinine Ratio — FCPGR — corrects for renal function and provides a more reliable metric of residual beta cell function. The operational thresholds in clinical practice are as follows. An FCPGR above 0.020 nmol/mmol indicates substantial residual beta cell function — these patients may respond to insulin sensitisers and beta cell-preserving therapies. An FCPGR below 0.010 nmol/mmol indicates critical beta cell failure — exogenous insulin is clinically mandatory. These thresholds should be interpreted as operational clinical guides rather than universally validated cutoffs, as the evidence base is primarily from specialised diabetes populations.¹³</w:t>
      </w:r>
    </w:p>
    <w:p>
      <w:pPr>
        <w:keepNext/>
        <w:spacing w:before="240" w:after="120"/>
        <w:jc w:val="left"/>
      </w:pPr>
      <w:r>
        <w:rPr>
          <w:rFonts w:ascii="Arial" w:hAnsi="Arial" w:cs="Arial"/>
          <w:b/>
          <w:sz w:val="26"/>
        </w:rPr>
        <w:t>6.6 — India Versus China Versus West — Beta Cell Comparison</w:t>
      </w:r>
    </w:p>
    <w:p>
      <w:pPr>
        <w:spacing w:after="120" w:before="0" w:line="276" w:lineRule="auto"/>
        <w:jc w:val="both"/>
      </w:pPr>
      <w:r>
        <w:rPr>
          <w:rFonts w:ascii="Times New Roman" w:hAnsi="Times New Roman" w:cs="Times New Roman"/>
          <w:b w:val="0"/>
          <w:i w:val="0"/>
          <w:sz w:val="22"/>
        </w:rPr>
        <w:t>Comparative studies reveal significant ethnic differences in beta cell function. Asian Indians have a lower genetically determined beta cell function — as measured by HOMA-B — compared to white Europeans. East Asian populations show lower HOMA-B values but maintain a similar beta cell response relative to insulin resistance when compared to Caucasians. These differences reflect both genetic and environmental influences on beta cell health.¹⁴</w:t>
      </w:r>
    </w:p>
    <w:p>
      <w:pPr>
        <w:spacing w:after="120" w:before="0" w:line="276" w:lineRule="auto"/>
        <w:jc w:val="both"/>
      </w:pPr>
      <w:r>
        <w:rPr>
          <w:rFonts w:ascii="Times New Roman" w:hAnsi="Times New Roman" w:cs="Times New Roman"/>
          <w:b w:val="0"/>
          <w:i w:val="0"/>
          <w:sz w:val="22"/>
        </w:rPr>
        <w:t>The age of type 2 diabetes onset differs significantly by ethnicity. Indians and Chinese typically develop type 2 diabetes at younger ages — 40 to 50 years — compared to Western populations — 50 to 60 years. BMI at diagnosis is also lower — approximately 25 kg/m² for Asian Indians versus 30 kg/m² for Western populations. This earlier onset at lower BMI directly reflects the lower personal fat threshold and lower baseline beta cell reserve that characterises the South Asian phenotype.¹⁵</w:t>
      </w:r>
    </w:p>
    <w:p>
      <w:pPr>
        <w:spacing w:after="120" w:before="0" w:line="276" w:lineRule="auto"/>
        <w:jc w:val="both"/>
      </w:pPr>
      <w:r>
        <w:rPr>
          <w:rFonts w:ascii="Times New Roman" w:hAnsi="Times New Roman" w:cs="Times New Roman"/>
          <w:b w:val="0"/>
          <w:i w:val="0"/>
          <w:sz w:val="22"/>
        </w:rPr>
        <w:t>First-phase insulin response — a crucial indicator of beta cell function — is significantly lower in Asian Indians compared to Caucasians even when matched for age and BMI. This reduced capacity to secrete insulin rapidly in response to glucose explains the heightened susceptibility to type 2 diabetes in South Asian populations and underscores why the India-specific HOMA-IR cutoff of above 2.3 is appropriate — beta cell stress manifests at lower absolute insulin resistance in this phenotype.¹</w:t>
      </w:r>
    </w:p>
    <w:p>
      <w:pPr>
        <w:keepNext/>
        <w:spacing w:before="240" w:after="120"/>
        <w:jc w:val="left"/>
      </w:pPr>
      <w:r>
        <w:rPr>
          <w:rFonts w:ascii="Arial" w:hAnsi="Arial" w:cs="Arial"/>
          <w:b/>
          <w:sz w:val="26"/>
        </w:rPr>
        <w:t>6.7 — The Dr. Nehru Method Beta Cell Staging — Proposed Framework</w:t>
      </w:r>
    </w:p>
    <w:p>
      <w:pPr>
        <w:spacing w:after="120" w:before="0" w:line="276" w:lineRule="auto"/>
        <w:jc w:val="both"/>
      </w:pPr>
      <w:r>
        <w:rPr>
          <w:rFonts w:ascii="Times New Roman" w:hAnsi="Times New Roman" w:cs="Times New Roman"/>
          <w:b w:val="0"/>
          <w:i w:val="0"/>
          <w:sz w:val="22"/>
        </w:rPr>
        <w:t>Integrating HOMA-IR, fasting insulin, proinsulin, and C-peptide into a coherent staging framework allows the clinician to map where each patient sits on the beta cell continuum. This is the Dr. Nehru Method proposed clinical staging — not an internationally standardised system but a clinically useful operational framework.</w:t>
      </w:r>
    </w:p>
    <w:p>
      <w:pPr>
        <w:spacing w:after="120" w:before="0" w:line="276" w:lineRule="auto"/>
        <w:jc w:val="both"/>
      </w:pPr>
      <w:r>
        <w:rPr>
          <w:rFonts w:ascii="Times New Roman" w:hAnsi="Times New Roman" w:cs="Times New Roman"/>
          <w:b w:val="0"/>
          <w:i w:val="0"/>
          <w:sz w:val="22"/>
        </w:rPr>
        <w:t>Stage 1 — Compensated insulin resistance — HOMA-IR above 2.3, fasting insulin rising, C-peptide normal or rising, proinsulin normal. The beta cell is hypersecreting but processing efficiently. Stage 2 — Beta cell stress — HOMA-IR persisting above 2.3, proinsulin above 11 pmol/L, proinsulin to insulin ratio above 0.20, C-peptide peaking. The processing machinery is beginning to fail. Stage 3 — Beta cell exhaustion — C-peptide falling from peak, FCPGR approaching 0.010, HbA1c crossing 6.5 percent. Stage 4 — Beta cell failure — C-peptide below 0.5 ng/mL, FCPGR below 0.010, insulin mandatory.</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6.2 ]</w:t>
      </w:r>
    </w:p>
    <w:p>
      <w:pPr>
        <w:spacing w:before="40" w:after="200"/>
        <w:jc w:val="center"/>
      </w:pPr>
      <w:r>
        <w:rPr>
          <w:rFonts w:ascii="Times New Roman" w:hAnsi="Times New Roman" w:cs="Times New Roman"/>
          <w:b w:val="0"/>
          <w:i/>
          <w:sz w:val="18"/>
        </w:rPr>
        <w:t>Figure 6.2 — Proinsulin-to-insulin ratio rising with beta cell endoplasmic reticulum stress.</w:t>
      </w:r>
    </w:p>
    <w:p>
      <w:pPr>
        <w:spacing w:before="120" w:after="120"/>
        <w:ind w:left="432" w:right="432"/>
        <w:jc w:val="left"/>
      </w:pPr>
      <w:r>
        <w:rPr>
          <w:rFonts w:ascii="Times New Roman" w:hAnsi="Times New Roman" w:cs="Times New Roman"/>
          <w:b/>
          <w:i/>
          <w:sz w:val="22"/>
        </w:rPr>
        <w:t>High C-peptide with high HOMA-IR means the beta cell is still working — treat the insulin resistance. Low C-peptide with high glucose means the beta cell has failed — provide insulin without delay.</w:t>
      </w:r>
    </w:p>
    <w:p>
      <w:pPr>
        <w:keepNext/>
        <w:spacing w:before="240" w:after="120"/>
        <w:jc w:val="left"/>
      </w:pPr>
      <w:r>
        <w:rPr>
          <w:rFonts w:ascii="Arial" w:hAnsi="Arial" w:cs="Arial"/>
          <w:b/>
          <w:sz w:val="26"/>
        </w:rPr>
        <w:t>Clinical Summary — Chapter 6</w:t>
      </w:r>
    </w:p>
    <w:p>
      <w:pPr>
        <w:spacing w:after="120" w:before="0" w:line="276" w:lineRule="auto"/>
        <w:jc w:val="both"/>
      </w:pPr>
      <w:r>
        <w:rPr>
          <w:rFonts w:ascii="Times New Roman" w:hAnsi="Times New Roman" w:cs="Times New Roman"/>
          <w:b w:val="0"/>
          <w:i w:val="0"/>
          <w:sz w:val="22"/>
        </w:rPr>
        <w:t>1. Fasting hyperinsulinaemia above 12 mIU/L is the earliest detectable signal of metabolic dysfunction — present years before glucose rises.</w:t>
      </w:r>
    </w:p>
    <w:p>
      <w:pPr>
        <w:spacing w:after="120" w:before="0" w:line="276" w:lineRule="auto"/>
        <w:jc w:val="both"/>
      </w:pPr>
      <w:r>
        <w:rPr>
          <w:rFonts w:ascii="Times New Roman" w:hAnsi="Times New Roman" w:cs="Times New Roman"/>
          <w:b w:val="0"/>
          <w:i w:val="0"/>
          <w:sz w:val="22"/>
        </w:rPr>
        <w:t>2. HOMA-IR above 2.3 — India operational threshold — Nehru MS Int J Med 2026.</w:t>
      </w:r>
    </w:p>
    <w:p>
      <w:pPr>
        <w:spacing w:after="120" w:before="0" w:line="276" w:lineRule="auto"/>
        <w:jc w:val="both"/>
      </w:pPr>
      <w:r>
        <w:rPr>
          <w:rFonts w:ascii="Times New Roman" w:hAnsi="Times New Roman" w:cs="Times New Roman"/>
          <w:b w:val="0"/>
          <w:i w:val="0"/>
          <w:sz w:val="22"/>
        </w:rPr>
        <w:t>3. Proinsulin above 11 pmol/L indicates beta cell Golgi stress — processing overwhelmed.</w:t>
      </w:r>
    </w:p>
    <w:p>
      <w:pPr>
        <w:spacing w:after="120" w:before="0" w:line="276" w:lineRule="auto"/>
        <w:jc w:val="both"/>
      </w:pPr>
      <w:r>
        <w:rPr>
          <w:rFonts w:ascii="Times New Roman" w:hAnsi="Times New Roman" w:cs="Times New Roman"/>
          <w:b w:val="0"/>
          <w:i w:val="0"/>
          <w:sz w:val="22"/>
        </w:rPr>
        <w:t>4. Proinsulin to insulin ratio above 0.20 indicates impaired conversion — beta cell decompensation.</w:t>
      </w:r>
    </w:p>
    <w:p>
      <w:pPr>
        <w:spacing w:after="120" w:before="0" w:line="276" w:lineRule="auto"/>
        <w:jc w:val="both"/>
      </w:pPr>
      <w:r>
        <w:rPr>
          <w:rFonts w:ascii="Times New Roman" w:hAnsi="Times New Roman" w:cs="Times New Roman"/>
          <w:b w:val="0"/>
          <w:i w:val="0"/>
          <w:sz w:val="22"/>
        </w:rPr>
        <w:t>5. C-peptide 0.5 to 2.0 ng/mL normal range — above 2.0 indicates IR — below 0.5 indicates failure.</w:t>
      </w:r>
    </w:p>
    <w:p>
      <w:pPr>
        <w:spacing w:after="120" w:before="0" w:line="276" w:lineRule="auto"/>
        <w:jc w:val="both"/>
      </w:pPr>
      <w:r>
        <w:rPr>
          <w:rFonts w:ascii="Times New Roman" w:hAnsi="Times New Roman" w:cs="Times New Roman"/>
          <w:b w:val="0"/>
          <w:i w:val="0"/>
          <w:sz w:val="22"/>
        </w:rPr>
        <w:t>6. FCPGR above 0.020 — residual function present — below 0.010 — insulin mandatory.</w:t>
      </w:r>
    </w:p>
    <w:p>
      <w:pPr>
        <w:spacing w:after="120" w:before="0" w:line="276" w:lineRule="auto"/>
        <w:jc w:val="both"/>
      </w:pPr>
      <w:r>
        <w:rPr>
          <w:rFonts w:ascii="Times New Roman" w:hAnsi="Times New Roman" w:cs="Times New Roman"/>
          <w:b w:val="0"/>
          <w:i w:val="0"/>
          <w:sz w:val="22"/>
        </w:rPr>
        <w:t>7. Indian patients show higher proinsulin at same BMI than Europeans — greater beta cell stress.</w:t>
      </w:r>
    </w:p>
    <w:p>
      <w:pPr>
        <w:spacing w:after="120" w:before="0" w:line="276" w:lineRule="auto"/>
        <w:jc w:val="both"/>
      </w:pPr>
      <w:r>
        <w:rPr>
          <w:rFonts w:ascii="Times New Roman" w:hAnsi="Times New Roman" w:cs="Times New Roman"/>
          <w:b w:val="0"/>
          <w:i w:val="0"/>
          <w:sz w:val="22"/>
        </w:rPr>
        <w:t>8. C-peptide trajectory — rises then falls — maps complete beta cell journey.</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Fasting intact proinsulin above which level indicates significant beta cell Golgi stress?</w:t>
      </w:r>
    </w:p>
    <w:p>
      <w:pPr>
        <w:spacing w:after="20"/>
        <w:ind w:left="432"/>
      </w:pPr>
      <w:r>
        <w:rPr>
          <w:rFonts w:ascii="Times New Roman" w:hAnsi="Times New Roman" w:cs="Times New Roman"/>
          <w:sz w:val="22"/>
        </w:rPr>
        <w:t>A. 5 pmol/L   B. 8 pmol/L   C. 11 pmol/L   D. 20 pmol/L</w:t>
      </w:r>
    </w:p>
    <w:p>
      <w:pPr>
        <w:spacing w:after="40"/>
        <w:jc w:val="left"/>
      </w:pPr>
      <w:r>
        <w:rPr>
          <w:rFonts w:ascii="Times New Roman" w:hAnsi="Times New Roman" w:cs="Times New Roman"/>
          <w:b w:val="0"/>
          <w:sz w:val="22"/>
        </w:rPr>
        <w:t>2. FCPGR below 0.010 nmol/mmol indicates:</w:t>
      </w:r>
    </w:p>
    <w:p>
      <w:pPr>
        <w:spacing w:after="20"/>
        <w:ind w:left="432"/>
      </w:pPr>
      <w:r>
        <w:rPr>
          <w:rFonts w:ascii="Times New Roman" w:hAnsi="Times New Roman" w:cs="Times New Roman"/>
          <w:sz w:val="22"/>
        </w:rPr>
        <w:t>A. Robust beta cell function   B. Critical beta cell failure — insulin mandatory</w:t>
      </w:r>
    </w:p>
    <w:p>
      <w:pPr>
        <w:spacing w:after="20"/>
        <w:ind w:left="432"/>
      </w:pPr>
      <w:r>
        <w:rPr>
          <w:rFonts w:ascii="Times New Roman" w:hAnsi="Times New Roman" w:cs="Times New Roman"/>
          <w:sz w:val="22"/>
        </w:rPr>
        <w:t>C. Normal insulin sensitivity   D. Hypoglycaemia risk</w:t>
      </w:r>
    </w:p>
    <w:p>
      <w:pPr>
        <w:spacing w:after="40"/>
        <w:jc w:val="left"/>
      </w:pPr>
      <w:r>
        <w:rPr>
          <w:rFonts w:ascii="Times New Roman" w:hAnsi="Times New Roman" w:cs="Times New Roman"/>
          <w:b w:val="0"/>
          <w:sz w:val="22"/>
        </w:rPr>
        <w:t>3. Why is C-peptide superior to peripheral insulin for measuring beta cell output?</w:t>
      </w:r>
    </w:p>
    <w:p>
      <w:pPr>
        <w:spacing w:after="20"/>
        <w:ind w:left="432"/>
      </w:pPr>
      <w:r>
        <w:rPr>
          <w:rFonts w:ascii="Times New Roman" w:hAnsi="Times New Roman" w:cs="Times New Roman"/>
          <w:sz w:val="22"/>
        </w:rPr>
        <w:t>A. C-peptide stimulates insulin secretion   B. C-peptide undergoes negligible hepatic extraction</w:t>
      </w:r>
    </w:p>
    <w:p>
      <w:pPr>
        <w:spacing w:after="20"/>
        <w:ind w:left="432"/>
      </w:pPr>
      <w:r>
        <w:rPr>
          <w:rFonts w:ascii="Times New Roman" w:hAnsi="Times New Roman" w:cs="Times New Roman"/>
          <w:sz w:val="22"/>
        </w:rPr>
        <w:t>C. C-peptide lowers blood glucose   D. C-peptide is secreted by alpha cells</w:t>
      </w:r>
    </w:p>
    <w:p>
      <w:pPr>
        <w:spacing w:after="40"/>
        <w:jc w:val="left"/>
      </w:pPr>
      <w:r>
        <w:rPr>
          <w:rFonts w:ascii="Times New Roman" w:hAnsi="Times New Roman" w:cs="Times New Roman"/>
          <w:b w:val="0"/>
          <w:sz w:val="22"/>
        </w:rPr>
        <w:t>4. Which population characteristic explains higher proinsulin at same BMI in Indians?</w:t>
      </w:r>
    </w:p>
    <w:p>
      <w:pPr>
        <w:spacing w:after="20"/>
        <w:ind w:left="432"/>
      </w:pPr>
      <w:r>
        <w:rPr>
          <w:rFonts w:ascii="Times New Roman" w:hAnsi="Times New Roman" w:cs="Times New Roman"/>
          <w:sz w:val="22"/>
        </w:rPr>
        <w:t>A. Higher subcutaneous fat   B. Greater beta cell reserve</w:t>
      </w:r>
    </w:p>
    <w:p>
      <w:pPr>
        <w:spacing w:after="20"/>
        <w:ind w:left="432"/>
      </w:pPr>
      <w:r>
        <w:rPr>
          <w:rFonts w:ascii="Times New Roman" w:hAnsi="Times New Roman" w:cs="Times New Roman"/>
          <w:sz w:val="22"/>
        </w:rPr>
        <w:t>C. Lower beta cell function and higher IR at lower BMI   D. Higher renal clearance</w:t>
      </w:r>
    </w:p>
    <w:p>
      <w:pPr>
        <w:spacing w:after="40"/>
        <w:jc w:val="left"/>
      </w:pPr>
      <w:r>
        <w:rPr>
          <w:rFonts w:ascii="Times New Roman" w:hAnsi="Times New Roman" w:cs="Times New Roman"/>
          <w:b w:val="0"/>
          <w:sz w:val="22"/>
        </w:rPr>
        <w:t>5. The proinsulin to insulin ratio above 0.20 indicates:</w:t>
      </w:r>
    </w:p>
    <w:p>
      <w:pPr>
        <w:spacing w:after="20"/>
        <w:ind w:left="432"/>
      </w:pPr>
      <w:r>
        <w:rPr>
          <w:rFonts w:ascii="Times New Roman" w:hAnsi="Times New Roman" w:cs="Times New Roman"/>
          <w:sz w:val="22"/>
        </w:rPr>
        <w:t>A. Optimal beta cell function   B. Beta cell endoplasmic reticulum stress</w:t>
      </w:r>
    </w:p>
    <w:p>
      <w:pPr>
        <w:spacing w:after="20"/>
        <w:ind w:left="432"/>
      </w:pPr>
      <w:r>
        <w:rPr>
          <w:rFonts w:ascii="Times New Roman" w:hAnsi="Times New Roman" w:cs="Times New Roman"/>
          <w:sz w:val="22"/>
        </w:rPr>
        <w:t>C. Normal glucose tolerance   D. Absence of insulin resistance</w:t>
      </w:r>
    </w:p>
    <w:p>
      <w:pPr>
        <w:spacing w:before="160"/>
      </w:pPr>
      <w:r>
        <w:rPr>
          <w:rFonts w:ascii="Times New Roman" w:hAnsi="Times New Roman" w:cs="Times New Roman"/>
          <w:b/>
          <w:sz w:val="20"/>
        </w:rPr>
        <w:t xml:space="preserve">Answers: </w:t>
      </w:r>
      <w:r>
        <w:rPr>
          <w:rFonts w:ascii="Times New Roman" w:hAnsi="Times New Roman" w:cs="Times New Roman"/>
          <w:sz w:val="20"/>
        </w:rPr>
        <w:t>1. C  2. B  3. B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et al. HOMA-IR India cutoff above 2.3. Int J Med. 2026;8(2):977-983.</w:t>
      </w:r>
    </w:p>
    <w:p>
      <w:pPr>
        <w:spacing w:after="40"/>
        <w:jc w:val="left"/>
      </w:pPr>
      <w:r>
        <w:rPr>
          <w:rFonts w:ascii="Times New Roman" w:hAnsi="Times New Roman" w:cs="Times New Roman"/>
          <w:sz w:val="19"/>
        </w:rPr>
        <w:t>2. Nehru MS et al. TyG Index India cutoff above 8.82. IJCPR. 2026;18(2):826-833.</w:t>
      </w:r>
    </w:p>
    <w:p>
      <w:pPr>
        <w:spacing w:after="40"/>
        <w:jc w:val="left"/>
      </w:pPr>
      <w:r>
        <w:rPr>
          <w:rFonts w:ascii="Times New Roman" w:hAnsi="Times New Roman" w:cs="Times New Roman"/>
          <w:sz w:val="19"/>
        </w:rPr>
        <w:t>3. Thomas DD et al. Hyperinsulinemia: An Early Indicator of Metabolic Dysfunction. J Endocr Soc. 2019.</w:t>
      </w:r>
    </w:p>
    <w:p>
      <w:pPr>
        <w:spacing w:after="40"/>
        <w:jc w:val="left"/>
      </w:pPr>
      <w:r>
        <w:rPr>
          <w:rFonts w:ascii="Times New Roman" w:hAnsi="Times New Roman" w:cs="Times New Roman"/>
          <w:sz w:val="19"/>
        </w:rPr>
        <w:t>4. Després JP et al. Hyperinsulinemia as an Independent Risk Factor for Ischemic Heart Disease. N Engl J Med. 1996;334(15):952-957.</w:t>
      </w:r>
    </w:p>
    <w:p>
      <w:pPr>
        <w:spacing w:after="40"/>
        <w:jc w:val="left"/>
      </w:pPr>
      <w:r>
        <w:rPr>
          <w:rFonts w:ascii="Times New Roman" w:hAnsi="Times New Roman" w:cs="Times New Roman"/>
          <w:sz w:val="19"/>
        </w:rPr>
        <w:t>5. Yecies JL et al. Hepatic insulin signaling and SREBP-1c lipogenesis. Cell Metabolism. 2011.</w:t>
      </w:r>
    </w:p>
    <w:p>
      <w:pPr>
        <w:spacing w:after="40"/>
        <w:jc w:val="left"/>
      </w:pPr>
      <w:r>
        <w:rPr>
          <w:rFonts w:ascii="Times New Roman" w:hAnsi="Times New Roman" w:cs="Times New Roman"/>
          <w:sz w:val="19"/>
        </w:rPr>
        <w:t>6. Pfutzner A et al. Fasting intact proinsulin as predictor of insulin resistance. Diabetes Care. 2004;27(3):682-687.</w:t>
      </w:r>
    </w:p>
    <w:p>
      <w:pPr>
        <w:spacing w:after="40"/>
        <w:jc w:val="left"/>
      </w:pPr>
      <w:r>
        <w:rPr>
          <w:rFonts w:ascii="Times New Roman" w:hAnsi="Times New Roman" w:cs="Times New Roman"/>
          <w:sz w:val="19"/>
        </w:rPr>
        <w:t>7. Mykkanen L et al. Proinsulin levels predict hyperglycemia and incident T2DM. PLoS One. 2014.</w:t>
      </w:r>
    </w:p>
    <w:p>
      <w:pPr>
        <w:spacing w:after="40"/>
        <w:jc w:val="left"/>
      </w:pPr>
      <w:r>
        <w:rPr>
          <w:rFonts w:ascii="Times New Roman" w:hAnsi="Times New Roman" w:cs="Times New Roman"/>
          <w:sz w:val="19"/>
        </w:rPr>
        <w:t>8. Sims EK et al. Proinsulin to C-peptide ratio and beta cell dysfunction. Diabetes Care. 2016.</w:t>
      </w:r>
    </w:p>
    <w:p>
      <w:pPr>
        <w:spacing w:after="40"/>
        <w:jc w:val="left"/>
      </w:pPr>
      <w:r>
        <w:rPr>
          <w:rFonts w:ascii="Times New Roman" w:hAnsi="Times New Roman" w:cs="Times New Roman"/>
          <w:sz w:val="19"/>
        </w:rPr>
        <w:t>9. Yajnik CS et al. Asian Indians exhibit higher proinsulin at same BMI. Lancet Regional Health SE Asia. 2023.</w:t>
      </w:r>
    </w:p>
    <w:p>
      <w:pPr>
        <w:spacing w:after="40"/>
        <w:jc w:val="left"/>
      </w:pPr>
      <w:r>
        <w:rPr>
          <w:rFonts w:ascii="Times New Roman" w:hAnsi="Times New Roman" w:cs="Times New Roman"/>
          <w:sz w:val="19"/>
        </w:rPr>
        <w:t>10. Haffner SM et al. Insulin Resistance Atherosclerosis Study — proinsulin and CVD. Circulation. 1996.</w:t>
      </w:r>
    </w:p>
    <w:p>
      <w:pPr>
        <w:spacing w:after="40"/>
        <w:jc w:val="left"/>
      </w:pPr>
      <w:r>
        <w:rPr>
          <w:rFonts w:ascii="Times New Roman" w:hAnsi="Times New Roman" w:cs="Times New Roman"/>
          <w:sz w:val="19"/>
        </w:rPr>
        <w:t>11. Cleveland Clinic. C-Peptide Test reference ranges. 2023.</w:t>
      </w:r>
    </w:p>
    <w:p>
      <w:pPr>
        <w:spacing w:after="40"/>
        <w:jc w:val="left"/>
      </w:pPr>
      <w:r>
        <w:rPr>
          <w:rFonts w:ascii="Times New Roman" w:hAnsi="Times New Roman" w:cs="Times New Roman"/>
          <w:sz w:val="19"/>
        </w:rPr>
        <w:t>12. Anjana RM, Mohan V et al. High fasting C-peptide in Indian thin-fat phenotype. Diabetes Metab Syndr. 2019.</w:t>
      </w:r>
    </w:p>
    <w:p>
      <w:pPr>
        <w:spacing w:after="40"/>
        <w:jc w:val="left"/>
      </w:pPr>
      <w:r>
        <w:rPr>
          <w:rFonts w:ascii="Times New Roman" w:hAnsi="Times New Roman" w:cs="Times New Roman"/>
          <w:sz w:val="19"/>
        </w:rPr>
        <w:t>13. Greenbaum CJ et al. Mixed Meal Tolerance Test versus Glucagon Stimulation Test for beta cell function. Diabetes Care. 2008.</w:t>
      </w:r>
    </w:p>
    <w:p>
      <w:pPr>
        <w:spacing w:after="40"/>
        <w:jc w:val="left"/>
      </w:pPr>
      <w:r>
        <w:rPr>
          <w:rFonts w:ascii="Times New Roman" w:hAnsi="Times New Roman" w:cs="Times New Roman"/>
          <w:sz w:val="19"/>
        </w:rPr>
        <w:t>14. Ke C, Narayan KMV et al. Pathophysiology of T2DM in Indian and Chinese populations. Nature Rev Endocrinol. 2022.</w:t>
      </w:r>
    </w:p>
    <w:p>
      <w:pPr>
        <w:spacing w:after="40"/>
        <w:jc w:val="left"/>
      </w:pPr>
      <w:r>
        <w:rPr>
          <w:rFonts w:ascii="Times New Roman" w:hAnsi="Times New Roman" w:cs="Times New Roman"/>
          <w:sz w:val="19"/>
        </w:rPr>
        <w:t>15. Zheng Y, Ley SH, Hu FB. Global aetiology and epidemiology of T2DM. Nature Rev Endocrinol. 2018.</w:t>
      </w:r>
    </w:p>
    <w:p>
      <w:r>
        <w:br w:type="page"/>
      </w:r>
    </w:p>
    <w:p>
      <w:pPr>
        <w:jc w:val="left"/>
      </w:pPr>
      <w:r>
        <w:rPr>
          <w:rFonts w:ascii="Arial" w:hAnsi="Arial" w:cs="Arial"/>
          <w:b/>
          <w:sz w:val="26"/>
        </w:rPr>
        <w:t>CHAPTER 7</w:t>
      </w:r>
    </w:p>
    <w:p>
      <w:pPr>
        <w:keepNext/>
        <w:spacing w:before="360" w:after="120"/>
        <w:jc w:val="left"/>
      </w:pPr>
      <w:r>
        <w:rPr>
          <w:rFonts w:ascii="Arial" w:hAnsi="Arial" w:cs="Arial"/>
          <w:b/>
          <w:sz w:val="32"/>
        </w:rPr>
        <w:t>TyG Index and Beta Cell Failure</w:t>
      </w:r>
    </w:p>
    <w:p>
      <w:pPr>
        <w:keepNext/>
        <w:spacing w:before="240" w:after="120"/>
        <w:jc w:val="left"/>
      </w:pPr>
      <w:r>
        <w:rPr>
          <w:rFonts w:ascii="Arial" w:hAnsi="Arial" w:cs="Arial"/>
          <w:b/>
          <w:sz w:val="26"/>
        </w:rPr>
        <w:t>Chapter 7 — TyG Index and Beta Cell Failure</w:t>
      </w:r>
    </w:p>
    <w:p>
      <w:pPr>
        <w:keepNext/>
        <w:spacing w:before="240" w:after="120"/>
        <w:jc w:val="left"/>
      </w:pPr>
      <w:r>
        <w:rPr>
          <w:rFonts w:ascii="Arial" w:hAnsi="Arial" w:cs="Arial"/>
          <w:b/>
          <w:sz w:val="26"/>
        </w:rPr>
        <w:t>Beyond a Number — The Triglyceride-Glucose Index as a Metabolic Distress Signal</w:t>
      </w:r>
    </w:p>
    <w:p>
      <w:pPr>
        <w:keepNext/>
        <w:spacing w:before="240" w:after="120"/>
        <w:jc w:val="left"/>
      </w:pPr>
      <w:r>
        <w:rPr>
          <w:rFonts w:ascii="Arial" w:hAnsi="Arial" w:cs="Arial"/>
          <w:b/>
          <w:sz w:val="26"/>
        </w:rPr>
        <w:t>7.1 — What the TyG Index Actually Measures</w:t>
      </w:r>
    </w:p>
    <w:p>
      <w:pPr>
        <w:spacing w:after="120" w:before="0" w:line="276" w:lineRule="auto"/>
        <w:jc w:val="both"/>
      </w:pPr>
      <w:r>
        <w:rPr>
          <w:rFonts w:ascii="Times New Roman" w:hAnsi="Times New Roman" w:cs="Times New Roman"/>
          <w:b w:val="0"/>
          <w:i w:val="0"/>
          <w:sz w:val="22"/>
        </w:rPr>
        <w:t>The triglyceride-glucose index — TyG — is calculated as the natural logarithm of fasting triglycerides in mg/dL multiplied by fasting glucose in mg/dL divided by two. This simple formula, requiring no additional cost beyond a standard fasting lipid and glucose measurement, captures something that neither triglycerides nor glucose can capture alone — the integrated metabolic disturbance of insulin resistance. Triglycerides rise when hepatic de novo lipogenesis accelerates under the influence of insulin resistance and SREBP-1c activation. Fasting glucose rises when hepatic glucose output increases as peripheral insulin signalling fails. TyG captures both numerators rising simultaneously, encoding the convergence of hepatic fat metabolism and glucose dysregulation into a single computable number. In the natural log scale, the India-specific cutoff of above 8.82 — validated in three indexed publications from HOMA Healthcare Center Hyderabad in 2026 — identifies patients at risk for progressive beta cell damage years before HbA1c crosses the diagnostic threshold.¹²³</w:t>
      </w:r>
    </w:p>
    <w:p>
      <w:pPr>
        <w:spacing w:before="120" w:after="120"/>
        <w:ind w:left="432" w:right="432"/>
        <w:jc w:val="left"/>
      </w:pPr>
      <w:r>
        <w:rPr>
          <w:rFonts w:ascii="Times New Roman" w:hAnsi="Times New Roman" w:cs="Times New Roman"/>
          <w:b/>
          <w:i/>
          <w:sz w:val="22"/>
        </w:rPr>
        <w:t>TyG above 8.82 on the natural log scale is the earliest computable signal of atherogenic insulin resistance in Indian adults. It costs nothing beyond a standard lipid profile and fasting glucose.</w:t>
      </w:r>
    </w:p>
    <w:p>
      <w:pPr>
        <w:spacing w:after="120" w:before="0" w:line="276" w:lineRule="auto"/>
        <w:jc w:val="both"/>
      </w:pPr>
      <w:r>
        <w:rPr>
          <w:rFonts w:ascii="Times New Roman" w:hAnsi="Times New Roman" w:cs="Times New Roman"/>
          <w:b w:val="0"/>
          <w:i w:val="0"/>
          <w:sz w:val="22"/>
        </w:rPr>
        <w:t>The TyG Index must always be stated in natural log scale values — ranging from 7.5 to 10.5 in clinical populations — and must never be confused with the simple linear ratio of triglycerides to glucose that some international studies report as values of 4.x or 5.x. These are different calculations and different scales. The India-specific cutoff of 8.82 applies exclusively to the natural log formula. Clinicians using the linear ratio scale and comparing to 8.82 will systematically misclassify patients.</w:t>
      </w:r>
    </w:p>
    <w:p>
      <w:pPr>
        <w:keepNext/>
        <w:spacing w:before="240" w:after="120"/>
        <w:jc w:val="left"/>
      </w:pPr>
      <w:r>
        <w:rPr>
          <w:rFonts w:ascii="Arial" w:hAnsi="Arial" w:cs="Arial"/>
          <w:b/>
          <w:sz w:val="26"/>
        </w:rPr>
        <w:t>7.2 — TyG Predicts Type 2 Diabetes Before Glucose Rises</w:t>
      </w:r>
    </w:p>
    <w:p>
      <w:pPr>
        <w:spacing w:after="120" w:before="0" w:line="276" w:lineRule="auto"/>
        <w:jc w:val="both"/>
      </w:pPr>
      <w:r>
        <w:rPr>
          <w:rFonts w:ascii="Times New Roman" w:hAnsi="Times New Roman" w:cs="Times New Roman"/>
          <w:b w:val="0"/>
          <w:i w:val="0"/>
          <w:sz w:val="22"/>
        </w:rPr>
        <w:t>The landmark evidence for TyG as an early diabetes predictor comes from Tirosh and colleagues, who studied 13,936 apparently healthy young adults in a prospective cohort over five years. Rising fasting triglycerides over the observation period independently predicted incident type 2 diabetes — regardless of baseline BMI and fasting glucose. This finding established that triglyceride elevation — captured efficiently by the TyG Index — is not merely a consequence of insulin resistance but a measurable precursor to glycaemic failure, detectable years before glucose crosses the diagnostic threshold.⁴ The clinical implication is direct — a patient with TyG above 8.82 and normal HbA1c is not metabolically safe. They are on a measurable trajectory toward beta cell exhaustion, and the TyG elevation is the earliest visible signal of that journey.</w:t>
      </w:r>
    </w:p>
    <w:p>
      <w:pPr>
        <w:spacing w:before="120" w:after="120"/>
        <w:ind w:left="432" w:right="432"/>
        <w:jc w:val="left"/>
      </w:pPr>
      <w:r>
        <w:rPr>
          <w:rFonts w:ascii="Times New Roman" w:hAnsi="Times New Roman" w:cs="Times New Roman"/>
          <w:b/>
          <w:i/>
          <w:sz w:val="22"/>
        </w:rPr>
        <w:t>Rising triglycerides independently predicted type 2 diabetes over five years, regardless of BMI and fasting glucose — Tirosh et al., Diabetes Care, 2008, N=13,936.</w:t>
      </w:r>
    </w:p>
    <w:p>
      <w:pPr>
        <w:spacing w:after="120" w:before="0" w:line="276" w:lineRule="auto"/>
        <w:jc w:val="both"/>
      </w:pPr>
      <w:r>
        <w:rPr>
          <w:rFonts w:ascii="Times New Roman" w:hAnsi="Times New Roman" w:cs="Times New Roman"/>
          <w:b w:val="0"/>
          <w:i w:val="0"/>
          <w:sz w:val="22"/>
        </w:rPr>
        <w:t>Guo and colleagues extended this understanding in 914 patients across normal, impaired, and diabetic glucose tolerance states, demonstrating that the TyG Index is negatively correlated with early and late-phase pancreatic beta cell insulin secretion assessed during oral glucose tolerance testing. As TyG rises, C-peptide secretory capacity falls.⁵ Song and colleagues confirmed in a further cohort that TyG inversely correlates with HOMA-B — the homeostatic model assessment of beta cell function — establishing that TyG tracks not just insulin resistance but the functional reserve of the beta cell itself.⁶ These are not surrogate findings. They establish TyG as a direct mirror of beta cell health, measurable from a standard laboratory panel at zero additional cost.</w:t>
      </w:r>
    </w:p>
    <w:p>
      <w:pPr>
        <w:keepNext/>
        <w:spacing w:before="240" w:after="120"/>
        <w:jc w:val="left"/>
      </w:pPr>
      <w:r>
        <w:rPr>
          <w:rFonts w:ascii="Arial" w:hAnsi="Arial" w:cs="Arial"/>
          <w:b/>
          <w:sz w:val="26"/>
        </w:rPr>
        <w:t>7.3 — The Five-Stage TyG Beta Cell Journey</w:t>
      </w:r>
    </w:p>
    <w:p>
      <w:pPr>
        <w:spacing w:after="120" w:before="0" w:line="276" w:lineRule="auto"/>
        <w:jc w:val="both"/>
      </w:pPr>
      <w:r>
        <w:rPr>
          <w:rFonts w:ascii="Times New Roman" w:hAnsi="Times New Roman" w:cs="Times New Roman"/>
          <w:b w:val="0"/>
          <w:i w:val="0"/>
          <w:sz w:val="22"/>
        </w:rPr>
        <w:t>The progression from metabolic health to beta cell exhaustion can be mapped through five stages using the TyG Index alongside HOMA-IR and C-peptide. This framework — the Dr. Nehru Method proposed staging system — is not an internationally standardised diagnostic classification but a clinically actionable conceptual model for identifying where each patient sits on the continuum and what intervention is appropriate at each stage.</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7.1 ]</w:t>
      </w:r>
    </w:p>
    <w:p>
      <w:pPr>
        <w:spacing w:before="40" w:after="200"/>
        <w:jc w:val="center"/>
      </w:pPr>
      <w:r>
        <w:rPr>
          <w:rFonts w:ascii="Times New Roman" w:hAnsi="Times New Roman" w:cs="Times New Roman"/>
          <w:b w:val="0"/>
          <w:i/>
          <w:sz w:val="18"/>
        </w:rPr>
        <w:t>Figure 7.1 — The five-stage TyG beta cell journey from metabolic health to exhaustion.</w:t>
      </w:r>
    </w:p>
    <w:p>
      <w:pPr>
        <w:spacing w:after="120" w:before="0" w:line="276" w:lineRule="auto"/>
        <w:jc w:val="both"/>
      </w:pPr>
      <w:r>
        <w:rPr>
          <w:rFonts w:ascii="Times New Roman" w:hAnsi="Times New Roman" w:cs="Times New Roman"/>
          <w:b w:val="0"/>
          <w:i w:val="0"/>
          <w:sz w:val="22"/>
        </w:rPr>
        <w:t>In Stage 1 — the metabolically healthy state — TyG is below 8.82, HOMA-IR is below 2.3, and C-peptide is normal. The beta cell is uncompromised. In Stage 2 — the compensating state — TyG crosses 8.82 and HOMA-IR crosses 2.3, but C-peptide remains normal or rises as the beta cell increases insulin output to overcome peripheral resistance. HbA1c is still normal. This is the critical intervention window. In Stage 3 — the stressed state — TyG approaches 9.5 to 10.0, HOMA-IR rises to 4.0 to 6.0, and the proinsulin ratio begins to rise above 0.20. C-peptide is peaking. The beta cell is working at maximum capacity and beginning to show evidence of lipotoxic stress. In Stage 4 — the failing state — C-peptide begins to fall, proinsulin ratio rises above 0.30, HbA1c enters the prediabetic range of 5.7 to 6.4 percent, and TyG exceeds 10.0. In Stage 5 — the exhausted state — C-peptide is very low, HbA1c has crossed the diagnostic threshold, and the beta cell has been depleted of functional reserve. Insulin is mandatory. This staging framework should be framed clearly as the Dr. Nehru Method clinical protocol — not as published international consensus — and should be applied with clinical judgment informed by individual patient context.</w:t>
      </w:r>
    </w:p>
    <w:p>
      <w:pPr>
        <w:keepNext/>
        <w:spacing w:before="240" w:after="120"/>
        <w:jc w:val="left"/>
      </w:pPr>
      <w:r>
        <w:rPr>
          <w:rFonts w:ascii="Arial" w:hAnsi="Arial" w:cs="Arial"/>
          <w:b/>
          <w:sz w:val="26"/>
        </w:rPr>
        <w:t>7.4 — The Ceramide Connection — From Triglycerides to Beta Cell Damage</w:t>
      </w:r>
    </w:p>
    <w:p>
      <w:pPr>
        <w:spacing w:after="120" w:before="0" w:line="276" w:lineRule="auto"/>
        <w:jc w:val="both"/>
      </w:pPr>
      <w:r>
        <w:rPr>
          <w:rFonts w:ascii="Times New Roman" w:hAnsi="Times New Roman" w:cs="Times New Roman"/>
          <w:b w:val="0"/>
          <w:i w:val="0"/>
          <w:sz w:val="22"/>
        </w:rPr>
        <w:t>The biological mechanism linking elevated triglycerides to beta cell damage operates primarily through the ceramide lipotoxicity pathway. This is a proposed and mechanistically well-supported pathway — not a proven universal linear sequence in all patients — and should be understood as such when teaching or citing. Severe hypertriglyceridaemia may increase lipotoxic stress through increased circulating saturated fatty acid exposure. Saturated fatty acids — particularly palmitate — can promote ceramide formation via the de novo ceramide synthesis pathway. Maedler and colleagues demonstrated in isolated human pancreatic islets from organ donors that prolonged palmitate exposure significantly blunts glucose-stimulated insulin secretion and promotes beta cell apoptosis — an effect not seen with monounsaturated fatty acids.⁷ This human islet evidence — not merely cell line data — gives the ceramide pathway genuine clinical relevance.</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7.2 ]</w:t>
      </w:r>
    </w:p>
    <w:p>
      <w:pPr>
        <w:spacing w:before="40" w:after="200"/>
        <w:jc w:val="center"/>
      </w:pPr>
      <w:r>
        <w:rPr>
          <w:rFonts w:ascii="Times New Roman" w:hAnsi="Times New Roman" w:cs="Times New Roman"/>
          <w:b w:val="0"/>
          <w:i/>
          <w:sz w:val="18"/>
        </w:rPr>
        <w:t>Figure 7.2 — The ceramide lipotoxicity pathway linking triglycerides to beta cell damage.</w:t>
      </w:r>
    </w:p>
    <w:p>
      <w:pPr>
        <w:spacing w:before="120" w:after="120"/>
        <w:ind w:left="432" w:right="432"/>
        <w:jc w:val="left"/>
      </w:pPr>
      <w:r>
        <w:rPr>
          <w:rFonts w:ascii="Times New Roman" w:hAnsi="Times New Roman" w:cs="Times New Roman"/>
          <w:b/>
          <w:i/>
          <w:sz w:val="22"/>
        </w:rPr>
        <w:t>Palmitate exposure in isolated human pancreatic islets blunts glucose-stimulated insulin secretion and promotes apoptosis — Maedler et al., Diabetes, 2001.</w:t>
      </w:r>
    </w:p>
    <w:p>
      <w:pPr>
        <w:spacing w:after="120" w:before="0" w:line="276" w:lineRule="auto"/>
        <w:jc w:val="both"/>
      </w:pPr>
      <w:r>
        <w:rPr>
          <w:rFonts w:ascii="Times New Roman" w:hAnsi="Times New Roman" w:cs="Times New Roman"/>
          <w:b w:val="0"/>
          <w:i w:val="0"/>
          <w:sz w:val="22"/>
        </w:rPr>
        <w:t>Lu and colleagues provided clinical human evidence for ceramide involvement in beta cell dysfunction in 1,974 subjects, demonstrating that elevated plasma ceramide C18:0 is strongly associated with decreased insulin sensitivity, reduced beta cell function measured by disposition index, and higher risk of incident type 2 diabetes.⁸ Ceramide impairs insulin signalling through Akt and PKB pathway inhibition in experimental systems, and contributes to beta cell apoptosis through caspase-3 activation — a recognised apoptosis pathway in multiple cell models.⁹ Chronic fatty acid exposure can reduce proinsulin gene expression and beta cell function.¹⁰ The VLDL-related lipid flux contributes to lipotoxicity through the release of saturated fatty acids — VLDL particles are not intrinsically toxic in isolation but become harmful through the lipotoxic microenvironment created when lipolysis releases their fatty acid cargo near beta cells.¹¹</w:t>
      </w:r>
    </w:p>
    <w:p>
      <w:pPr>
        <w:spacing w:after="120" w:before="0" w:line="276" w:lineRule="auto"/>
        <w:jc w:val="both"/>
      </w:pPr>
      <w:r>
        <w:rPr>
          <w:rFonts w:ascii="Times New Roman" w:hAnsi="Times New Roman" w:cs="Times New Roman"/>
          <w:b w:val="0"/>
          <w:i w:val="0"/>
          <w:sz w:val="22"/>
        </w:rPr>
        <w:t>The clinical implication is that TyG above 8.82 — indicating elevated fasting triglycerides and fasting glucose — represents not merely a cardiovascular risk marker but a signal of ongoing lipotoxic beta cell stress. The correct clinical response is not a fibrate prescription. It is HOMA-IR measurement, TyG calculation, and identification of which of the eight metabolic triggers is driving the insulin resistance and triglyceride elevation.</w:t>
      </w:r>
    </w:p>
    <w:p>
      <w:pPr>
        <w:keepNext/>
        <w:spacing w:before="240" w:after="120"/>
        <w:jc w:val="left"/>
      </w:pPr>
      <w:r>
        <w:rPr>
          <w:rFonts w:ascii="Arial" w:hAnsi="Arial" w:cs="Arial"/>
          <w:b/>
          <w:sz w:val="26"/>
        </w:rPr>
        <w:t>7.5 — Hypertriglyceridaemia and Pancreatitis — The Beta Cell Destroyer</w:t>
      </w:r>
    </w:p>
    <w:p>
      <w:pPr>
        <w:spacing w:after="120" w:before="0" w:line="276" w:lineRule="auto"/>
        <w:jc w:val="both"/>
      </w:pPr>
      <w:r>
        <w:rPr>
          <w:rFonts w:ascii="Times New Roman" w:hAnsi="Times New Roman" w:cs="Times New Roman"/>
          <w:b w:val="0"/>
          <w:i w:val="0"/>
          <w:sz w:val="22"/>
        </w:rPr>
        <w:t>Severe hypertriglyceridaemia carries a risk of acute pancreatitis that rises steeply with escalating triglyceride levels. Pedersen and colleagues demonstrated in a Danish population cohort of 116,550 subjects that the prevalence of acute pancreatitis is approximately 10 percent in individuals with triglycerides between 1,000 and 1,999 mg/dL, and rises to approximately 20 percent when triglycerides exceed 2,000 mg/dL.¹² Pancreatitis does not merely inflame the exocrine pancreas — it destroys endocrine tissue simultaneously. Every episode of hypertriglyceridaemia-induced pancreatitis carries the risk of significant and irreversible beta cell mass loss, the extent of which depends on the degree of pancreatic necrosis.</w:t>
      </w:r>
    </w:p>
    <w:p>
      <w:pPr>
        <w:spacing w:after="120" w:before="0" w:line="276" w:lineRule="auto"/>
        <w:jc w:val="both"/>
      </w:pPr>
      <w:r>
        <w:rPr>
          <w:rFonts w:ascii="Times New Roman" w:hAnsi="Times New Roman" w:cs="Times New Roman"/>
          <w:b w:val="0"/>
          <w:i w:val="0"/>
          <w:sz w:val="22"/>
        </w:rPr>
        <w:t>Post-pancreatitis diabetes — classified as Type 3c diabetes — is a distinct entity from type 2 diabetes, characterised by combined exocrine and endocrine insufficiency, early insulin dependence, and a metabolic phenotype that responds poorly to standard oral hypoglycaemic agents designed for type 2 disease. Ewald and colleagues established that Type 3c diabetes accounts for approximately 5 to 9 percent of all diabetes cases globally.¹³ Indian data from Mohan and colleagues documents the unique subset of fibrocalculous pancreatic diabetes and tropical chronic pancreatitis — conditions driven by chronic nutritional deficiency and cassava toxicity in some populations — that produce Type 3c diabetes with early insulin dependence and distinctive metabolic characteristics.¹⁴</w:t>
      </w:r>
    </w:p>
    <w:p>
      <w:pPr>
        <w:spacing w:before="120" w:after="120"/>
        <w:ind w:left="432" w:right="432"/>
        <w:jc w:val="left"/>
      </w:pPr>
      <w:r>
        <w:rPr>
          <w:rFonts w:ascii="Times New Roman" w:hAnsi="Times New Roman" w:cs="Times New Roman"/>
          <w:b/>
          <w:i/>
          <w:sz w:val="22"/>
        </w:rPr>
        <w:t>Type 3c diabetes is not type 2 diabetes. It requires different management. Every case of hypertriglyceridaemia-induced pancreatitis risks creating it.</w:t>
      </w:r>
    </w:p>
    <w:p>
      <w:pPr>
        <w:spacing w:after="120" w:before="0" w:line="276" w:lineRule="auto"/>
        <w:jc w:val="both"/>
      </w:pPr>
      <w:r>
        <w:rPr>
          <w:rFonts w:ascii="Times New Roman" w:hAnsi="Times New Roman" w:cs="Times New Roman"/>
          <w:b w:val="0"/>
          <w:i w:val="0"/>
          <w:sz w:val="22"/>
        </w:rPr>
        <w:t>Chylomicronaemia syndrome — characterised clinically by eruptive xanthomas, lipaemia retinalis, hepatosplenomegaly, and severe pancreatitis risk — occurs when fasting triglycerides exceed 1,000 mg/dL and frequently exceed 2,000 mg/dL. It is pathogenetically linked to defects in chylomicron clearance through mutations affecting LPL, APOC2, APOC3, APOA5, or GPIHBP1. The prevalence of familial chylomicronaemia syndrome is approximately 1 in 300,000, though multifactorial chylomicronaemia is considerably more common.¹⁵</w:t>
      </w:r>
    </w:p>
    <w:p>
      <w:pPr>
        <w:keepNext/>
        <w:spacing w:before="240" w:after="120"/>
        <w:jc w:val="left"/>
      </w:pPr>
      <w:r>
        <w:rPr>
          <w:rFonts w:ascii="Arial" w:hAnsi="Arial" w:cs="Arial"/>
          <w:b/>
          <w:sz w:val="26"/>
        </w:rPr>
        <w:t>7.6 — Pharmacological Approaches to TG-Driven Beta Cell Stress</w:t>
      </w:r>
    </w:p>
    <w:p>
      <w:pPr>
        <w:spacing w:after="120" w:before="0" w:line="276" w:lineRule="auto"/>
        <w:jc w:val="both"/>
      </w:pPr>
      <w:r>
        <w:rPr>
          <w:rFonts w:ascii="Times New Roman" w:hAnsi="Times New Roman" w:cs="Times New Roman"/>
          <w:b w:val="0"/>
          <w:i w:val="0"/>
          <w:sz w:val="22"/>
        </w:rPr>
        <w:t>GLP-1 receptor agonists reduce fasting and postprandial triglycerides by approximately 12 to 22 percent through mechanisms that include delayed gastric emptying, reduced hepatic VLDL and apoB-48 production, and decreased intestinal chylomicron secretion — effects that extend beyond weight loss alone.¹⁶ In the context of TyG-driven beta cell stress, the GLP-1 receptor agonist class occupies a unique position — simultaneously reducing triglycerides, improving insulin resistance, reducing body weight, and exerting direct beta cell protective effects in experimental systems.</w:t>
      </w:r>
    </w:p>
    <w:p>
      <w:pPr>
        <w:spacing w:after="120" w:before="0" w:line="276" w:lineRule="auto"/>
        <w:jc w:val="both"/>
      </w:pPr>
      <w:r>
        <w:rPr>
          <w:rFonts w:ascii="Times New Roman" w:hAnsi="Times New Roman" w:cs="Times New Roman"/>
          <w:b w:val="0"/>
          <w:i w:val="0"/>
          <w:sz w:val="22"/>
        </w:rPr>
        <w:t>Fenofibrate reduces triglycerides by 30 to 50 percent through PPARα agonism. Li and colleagues observed in 1,974 patients with hypertriglyceridaemia and normal glucose tolerance that a fenofibrate-treated subgroup of 92 patients showed reduction in HOMA-IR and HOMA-B — suggesting reduced beta cell secretory burden.¹⁷ However, no clinical randomised controlled trial has established that fenofibrate directly protects beta cell mass or prevents beta cell apoptosis in humans. The FIELD and ACCORD Lipid trials both failed to show cardiovascular benefit in general populations, confirming that triglyceride reduction without concurrent apoB particle reduction does not reduce cardiovascular events — the mechanism being that TG is a marker of atherogenic particle burden rather than a direct causal cardiovascular target in isolation.</w:t>
      </w:r>
    </w:p>
    <w:p>
      <w:pPr>
        <w:spacing w:after="120" w:before="0" w:line="276" w:lineRule="auto"/>
        <w:jc w:val="both"/>
      </w:pPr>
      <w:r>
        <w:rPr>
          <w:rFonts w:ascii="Times New Roman" w:hAnsi="Times New Roman" w:cs="Times New Roman"/>
          <w:b w:val="0"/>
          <w:i w:val="0"/>
          <w:sz w:val="22"/>
        </w:rPr>
        <w:t>Lee and colleagues demonstrated that EPA and DHA inhibit NLRP3 inflammasome activation and downstream IL-1β secretion in experimental work, providing a mechanistic basis for the anti-inflammatory benefit of omega-3 supplementation in lipotoxic states.¹⁸ This evidence is primarily preclinical. No clinical randomised controlled trial has demonstrated that omega-3 supplementation directly reduces ceramide accumulation or prevents beta cell apoptosis in humans with hypertriglyceridaemia. Omega-3 supplementation at 1 to 4g daily produces 15 to 30 percent triglyceride reduction and is a clinically reasonable adjunct in patients with elevated TyG — framed as triglyceride reduction and anti-inflammatory support rather than proven beta cell preservation.</w:t>
      </w:r>
    </w:p>
    <w:p>
      <w:pPr>
        <w:spacing w:before="120" w:after="120"/>
        <w:ind w:left="432" w:right="432"/>
        <w:jc w:val="left"/>
      </w:pPr>
      <w:r>
        <w:rPr>
          <w:rFonts w:ascii="Times New Roman" w:hAnsi="Times New Roman" w:cs="Times New Roman"/>
          <w:b/>
          <w:i/>
          <w:sz w:val="22"/>
        </w:rPr>
        <w:t>Treat the insulin resistance driving TyG elevation — not the TyG number in isolation. The number is the signal. The root is the target.</w:t>
      </w:r>
    </w:p>
    <w:p>
      <w:pPr>
        <w:keepNext/>
        <w:spacing w:before="240" w:after="120"/>
        <w:jc w:val="left"/>
      </w:pPr>
      <w:r>
        <w:rPr>
          <w:rFonts w:ascii="Arial" w:hAnsi="Arial" w:cs="Arial"/>
          <w:b/>
          <w:sz w:val="26"/>
        </w:rPr>
        <w:t>7.7 — The Indian Clinical Imperative</w:t>
      </w:r>
    </w:p>
    <w:p>
      <w:pPr>
        <w:spacing w:after="120" w:before="0" w:line="276" w:lineRule="auto"/>
        <w:jc w:val="both"/>
      </w:pPr>
      <w:r>
        <w:rPr>
          <w:rFonts w:ascii="Times New Roman" w:hAnsi="Times New Roman" w:cs="Times New Roman"/>
          <w:b w:val="0"/>
          <w:i w:val="0"/>
          <w:sz w:val="22"/>
        </w:rPr>
        <w:t>The Indian clinical population carries specific characteristics that make TyG monitoring particularly urgent. The ICMR-INDIAB study of 16,607 subjects established that dyslipidaemia prevalence in India is approximately 81 percent, driven predominantly by low HDL in 67 to 72 percent and elevated triglycerides in 30 percent of the population.¹⁹ The atherogenic dyslipidaemia pattern — high TG, low HDL, small dense LDL — is the dominant Indian lipid phenotype, not hypercholesterolaemia. This means that standard lipid panels focused on LDL and total cholesterol systematically underestimate cardiovascular and metabolic risk in Indian patients.</w:t>
      </w:r>
    </w:p>
    <w:p>
      <w:pPr>
        <w:spacing w:after="120" w:before="0" w:line="276" w:lineRule="auto"/>
        <w:jc w:val="both"/>
      </w:pPr>
      <w:r>
        <w:rPr>
          <w:rFonts w:ascii="Times New Roman" w:hAnsi="Times New Roman" w:cs="Times New Roman"/>
          <w:b w:val="0"/>
          <w:i w:val="0"/>
          <w:sz w:val="22"/>
        </w:rPr>
        <w:t>Jin and colleagues demonstrated in 4,321 patients in an Asian cardiovascular cohort that the TyG Index independently predicts major adverse cardiovascular events — outperforming both LDL-C and fasting glucose for identifying high-risk patients.²⁰ The Mendelian randomisation data of Ference and colleagues in 654,783 subjects established that triglyceride lowering reduces cardiovascular events only in proportion to the concurrent reduction in apoB-containing atherogenic particles — not through triglyceride reduction itself.²¹ These two findings together create the framework for Indian clinical practice: TyG predicts cardiovascular events in Asian populations better than LDL, but the correct therapeutic target is not TG in isolation — it is the insulin resistance that drives TG elevation and the atherogenic particle burden it creates.</w:t>
      </w:r>
    </w:p>
    <w:p>
      <w:pPr>
        <w:spacing w:after="120" w:before="0" w:line="276" w:lineRule="auto"/>
        <w:jc w:val="both"/>
      </w:pPr>
      <w:r>
        <w:rPr>
          <w:rFonts w:ascii="Times New Roman" w:hAnsi="Times New Roman" w:cs="Times New Roman"/>
          <w:b w:val="0"/>
          <w:i w:val="0"/>
          <w:sz w:val="22"/>
        </w:rPr>
        <w:t>The Dr. Nehru Method operational protocol for TyG above 8.82 is therefore: measure HOMA-IR to confirm insulin resistance, identify which of the eight metabolic triggers is driving the resistance, treat the trigger, recheck TyG and HOMA-IR at three months, and expect measurable falls in both indices as the root cause is addressed. This is not a guideline-mandated protocol but a clinically rational and evidence-informed approach that integrates the India-specific validated cutoffs of HOMA-IR above 2.3 and TyG above 8.82 with systematic trigger identification.</w:t>
      </w:r>
    </w:p>
    <w:p>
      <w:pPr>
        <w:keepNext/>
        <w:spacing w:before="240" w:after="120"/>
        <w:jc w:val="left"/>
      </w:pPr>
      <w:r>
        <w:rPr>
          <w:rFonts w:ascii="Arial" w:hAnsi="Arial" w:cs="Arial"/>
          <w:b/>
          <w:sz w:val="26"/>
        </w:rPr>
        <w:t>7.8 — What This Means for Indian Clinical Practice</w:t>
      </w:r>
    </w:p>
    <w:p>
      <w:pPr>
        <w:spacing w:after="120" w:before="0" w:line="276" w:lineRule="auto"/>
        <w:jc w:val="both"/>
      </w:pPr>
      <w:r>
        <w:rPr>
          <w:rFonts w:ascii="Times New Roman" w:hAnsi="Times New Roman" w:cs="Times New Roman"/>
          <w:b w:val="0"/>
          <w:i w:val="0"/>
          <w:sz w:val="22"/>
        </w:rPr>
        <w:t>The TyG Index should be calculated for every patient who receives a standard fasting lipid profile and fasting glucose measurement. It requires no additional test, no additional cost, and no additional blood draw. The natural log formula — ln of fasting triglycerides in mg/dL multiplied by fasting glucose in mg/dL divided by two — can be calculated in seconds on any clinical calculator. The India-specific cutoff of above 8.82 on the natural log scale identifies patients at risk for progressive beta cell damage and cardiovascular disease in the Indian population, validated in three indexed international publications from 2026.</w:t>
      </w:r>
    </w:p>
    <w:p>
      <w:pPr>
        <w:spacing w:after="120" w:before="0" w:line="276" w:lineRule="auto"/>
        <w:jc w:val="both"/>
      </w:pPr>
      <w:r>
        <w:rPr>
          <w:rFonts w:ascii="Times New Roman" w:hAnsi="Times New Roman" w:cs="Times New Roman"/>
          <w:b w:val="0"/>
          <w:i w:val="0"/>
          <w:sz w:val="22"/>
        </w:rPr>
        <w:t>When TyG exceeds 8.82, the clinical response is a metabolic workup — not a fibrate prescription. HOMA-IR, C-peptide, fasting insulin, Vitamin D, B12, ferritin, TSH, and a body composition assessment should follow. The trigger driving the insulin resistance should be identified and treated. When the trigger is corrected, TyG falls — not because TG was targeted directly, but because the metabolic fire driving both TG and glucose elevation has been reduced. This is the fundamental difference between managing a number and treating a patient.</w:t>
      </w:r>
    </w:p>
    <w:p>
      <w:pPr>
        <w:spacing w:before="120" w:after="120"/>
        <w:ind w:left="432" w:right="432"/>
        <w:jc w:val="left"/>
      </w:pPr>
      <w:r>
        <w:rPr>
          <w:rFonts w:ascii="Times New Roman" w:hAnsi="Times New Roman" w:cs="Times New Roman"/>
          <w:b/>
          <w:i/>
          <w:sz w:val="22"/>
        </w:rPr>
        <w:t>The TyG Index is not a lipid number. It is a metabolic distress signal. The correct response is a metabolic workup — not a triglyceride-lowering drug.</w:t>
      </w:r>
    </w:p>
    <w:p>
      <w:pPr>
        <w:keepNext/>
        <w:spacing w:before="240" w:after="120"/>
        <w:jc w:val="left"/>
      </w:pPr>
      <w:r>
        <w:rPr>
          <w:rFonts w:ascii="Arial" w:hAnsi="Arial" w:cs="Arial"/>
          <w:b/>
          <w:sz w:val="26"/>
        </w:rPr>
        <w:t>Clinical Summary — Chapter 7</w:t>
      </w:r>
    </w:p>
    <w:p>
      <w:pPr>
        <w:spacing w:after="120" w:before="0" w:line="276" w:lineRule="auto"/>
        <w:jc w:val="both"/>
      </w:pPr>
      <w:r>
        <w:rPr>
          <w:rFonts w:ascii="Times New Roman" w:hAnsi="Times New Roman" w:cs="Times New Roman"/>
          <w:b w:val="0"/>
          <w:i w:val="0"/>
          <w:sz w:val="22"/>
        </w:rPr>
        <w:t>1. TyG Index is calculated as ln(TG mg/dL × Glucose mg/dL ÷ 2). India-specific cutoff above 8.82 on natural log scale. Never express as 4.x or 5.x — that is a different formula and different scale.</w:t>
      </w:r>
    </w:p>
    <w:p>
      <w:pPr>
        <w:spacing w:after="120" w:before="0" w:line="276" w:lineRule="auto"/>
        <w:jc w:val="both"/>
      </w:pPr>
      <w:r>
        <w:rPr>
          <w:rFonts w:ascii="Times New Roman" w:hAnsi="Times New Roman" w:cs="Times New Roman"/>
          <w:b w:val="0"/>
          <w:i w:val="0"/>
          <w:sz w:val="22"/>
        </w:rPr>
        <w:t>2. TyG above 8.82 predicts type 2 diabetes before HbA1c rises — Tirosh 2008, N=13,936.</w:t>
      </w:r>
    </w:p>
    <w:p>
      <w:pPr>
        <w:spacing w:after="120" w:before="0" w:line="276" w:lineRule="auto"/>
        <w:jc w:val="both"/>
      </w:pPr>
      <w:r>
        <w:rPr>
          <w:rFonts w:ascii="Times New Roman" w:hAnsi="Times New Roman" w:cs="Times New Roman"/>
          <w:b w:val="0"/>
          <w:i w:val="0"/>
          <w:sz w:val="22"/>
        </w:rPr>
        <w:t>3. TyG inversely correlates with C-peptide secretion and HOMA-B — Guo 2022 N=914, Song 2024.</w:t>
      </w:r>
    </w:p>
    <w:p>
      <w:pPr>
        <w:spacing w:after="120" w:before="0" w:line="276" w:lineRule="auto"/>
        <w:jc w:val="both"/>
      </w:pPr>
      <w:r>
        <w:rPr>
          <w:rFonts w:ascii="Times New Roman" w:hAnsi="Times New Roman" w:cs="Times New Roman"/>
          <w:b w:val="0"/>
          <w:i w:val="0"/>
          <w:sz w:val="22"/>
        </w:rPr>
        <w:t>4. Ceramide lipotoxicity pathway — palmitate from hypertriglyceridaemia — beta cell apoptosis — proposed mechanism, well-supported experimentally and in human islet studies.</w:t>
      </w:r>
    </w:p>
    <w:p>
      <w:pPr>
        <w:spacing w:after="120" w:before="0" w:line="276" w:lineRule="auto"/>
        <w:jc w:val="both"/>
      </w:pPr>
      <w:r>
        <w:rPr>
          <w:rFonts w:ascii="Times New Roman" w:hAnsi="Times New Roman" w:cs="Times New Roman"/>
          <w:b w:val="0"/>
          <w:i w:val="0"/>
          <w:sz w:val="22"/>
        </w:rPr>
        <w:t>5. Ceramide C18:0 clinically associated with reduced beta cell function in humans — Lu et al., PLOS Medicine, 2020, N=1,974.</w:t>
      </w:r>
    </w:p>
    <w:p>
      <w:pPr>
        <w:spacing w:after="120" w:before="0" w:line="276" w:lineRule="auto"/>
        <w:jc w:val="both"/>
      </w:pPr>
      <w:r>
        <w:rPr>
          <w:rFonts w:ascii="Times New Roman" w:hAnsi="Times New Roman" w:cs="Times New Roman"/>
          <w:b w:val="0"/>
          <w:i w:val="0"/>
          <w:sz w:val="22"/>
        </w:rPr>
        <w:t>6. Pancreatitis risk — approximately 10 percent at TG 1,000 to 1,999 mg/dL — doubles above 2,000 mg/dL — Pedersen 2016, N=116,550.</w:t>
      </w:r>
    </w:p>
    <w:p>
      <w:pPr>
        <w:spacing w:after="120" w:before="0" w:line="276" w:lineRule="auto"/>
        <w:jc w:val="both"/>
      </w:pPr>
      <w:r>
        <w:rPr>
          <w:rFonts w:ascii="Times New Roman" w:hAnsi="Times New Roman" w:cs="Times New Roman"/>
          <w:b w:val="0"/>
          <w:i w:val="0"/>
          <w:sz w:val="22"/>
        </w:rPr>
        <w:t>7. Post-pancreatitis diabetes is Type 3c — distinct from T2DM — manage differently — Mohan V, Indian data confirmed.</w:t>
      </w:r>
    </w:p>
    <w:p>
      <w:pPr>
        <w:spacing w:after="120" w:before="0" w:line="276" w:lineRule="auto"/>
        <w:jc w:val="both"/>
      </w:pPr>
      <w:r>
        <w:rPr>
          <w:rFonts w:ascii="Times New Roman" w:hAnsi="Times New Roman" w:cs="Times New Roman"/>
          <w:b w:val="0"/>
          <w:i w:val="0"/>
          <w:sz w:val="22"/>
        </w:rPr>
        <w:t>8. Semaglutide reduces TG 12 to 22 percent — mechanism confirmed — Hjerpsted 2018, N=30 RCT.</w:t>
      </w:r>
    </w:p>
    <w:p>
      <w:pPr>
        <w:spacing w:after="120" w:before="0" w:line="276" w:lineRule="auto"/>
        <w:jc w:val="both"/>
      </w:pPr>
      <w:r>
        <w:rPr>
          <w:rFonts w:ascii="Times New Roman" w:hAnsi="Times New Roman" w:cs="Times New Roman"/>
          <w:b w:val="0"/>
          <w:i w:val="0"/>
          <w:sz w:val="22"/>
        </w:rPr>
        <w:t>9. TyG predicts MACE in Asian cohorts better than LDL-C and fasting glucose — Jin 2018, N=4,321.</w:t>
      </w:r>
    </w:p>
    <w:p>
      <w:pPr>
        <w:spacing w:after="120" w:before="0" w:line="276" w:lineRule="auto"/>
        <w:jc w:val="both"/>
      </w:pPr>
      <w:r>
        <w:rPr>
          <w:rFonts w:ascii="Times New Roman" w:hAnsi="Times New Roman" w:cs="Times New Roman"/>
          <w:b w:val="0"/>
          <w:i w:val="0"/>
          <w:sz w:val="22"/>
        </w:rPr>
        <w:t>10. Correct response to TyG above 8.82 is metabolic workup and trigger treatment — not fibrate alone.</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The TyG Index is calculated using which formula on natural log scale?</w:t>
      </w:r>
    </w:p>
    <w:p>
      <w:pPr>
        <w:spacing w:after="20"/>
        <w:ind w:left="432"/>
      </w:pPr>
      <w:r>
        <w:rPr>
          <w:rFonts w:ascii="Times New Roman" w:hAnsi="Times New Roman" w:cs="Times New Roman"/>
          <w:sz w:val="22"/>
        </w:rPr>
        <w:t>A. ln(TG + Glucose ÷ 2)</w:t>
      </w:r>
    </w:p>
    <w:p>
      <w:pPr>
        <w:spacing w:after="20"/>
        <w:ind w:left="432"/>
      </w:pPr>
      <w:r>
        <w:rPr>
          <w:rFonts w:ascii="Times New Roman" w:hAnsi="Times New Roman" w:cs="Times New Roman"/>
          <w:sz w:val="22"/>
        </w:rPr>
        <w:t>B. ln(TG × Glucose ÷ 2)</w:t>
      </w:r>
    </w:p>
    <w:p>
      <w:pPr>
        <w:spacing w:after="20"/>
        <w:ind w:left="432"/>
      </w:pPr>
      <w:r>
        <w:rPr>
          <w:rFonts w:ascii="Times New Roman" w:hAnsi="Times New Roman" w:cs="Times New Roman"/>
          <w:sz w:val="22"/>
        </w:rPr>
        <w:t>C. TG × Glucose ÷ 405</w:t>
      </w:r>
    </w:p>
    <w:p>
      <w:pPr>
        <w:spacing w:after="20"/>
        <w:ind w:left="432"/>
      </w:pPr>
      <w:r>
        <w:rPr>
          <w:rFonts w:ascii="Times New Roman" w:hAnsi="Times New Roman" w:cs="Times New Roman"/>
          <w:sz w:val="22"/>
        </w:rPr>
        <w:t>D. ln(TG ÷ Glucose × 2)</w:t>
      </w:r>
    </w:p>
    <w:p>
      <w:pPr>
        <w:spacing w:after="40"/>
        <w:jc w:val="left"/>
      </w:pPr>
      <w:r>
        <w:rPr>
          <w:rFonts w:ascii="Times New Roman" w:hAnsi="Times New Roman" w:cs="Times New Roman"/>
          <w:b w:val="0"/>
          <w:sz w:val="22"/>
        </w:rPr>
        <w:t>2. Which study with N=13,936 demonstrated that rising TG independently predicts T2DM before HbA1c rises?</w:t>
      </w:r>
    </w:p>
    <w:p>
      <w:pPr>
        <w:spacing w:after="20"/>
        <w:ind w:left="432"/>
      </w:pPr>
      <w:r>
        <w:rPr>
          <w:rFonts w:ascii="Times New Roman" w:hAnsi="Times New Roman" w:cs="Times New Roman"/>
          <w:sz w:val="22"/>
        </w:rPr>
        <w:t>A. UKPDS</w:t>
      </w:r>
    </w:p>
    <w:p>
      <w:pPr>
        <w:spacing w:after="20"/>
        <w:ind w:left="432"/>
      </w:pPr>
      <w:r>
        <w:rPr>
          <w:rFonts w:ascii="Times New Roman" w:hAnsi="Times New Roman" w:cs="Times New Roman"/>
          <w:sz w:val="22"/>
        </w:rPr>
        <w:t>B. Whitehall II</w:t>
      </w:r>
    </w:p>
    <w:p>
      <w:pPr>
        <w:spacing w:after="20"/>
        <w:ind w:left="432"/>
      </w:pPr>
      <w:r>
        <w:rPr>
          <w:rFonts w:ascii="Times New Roman" w:hAnsi="Times New Roman" w:cs="Times New Roman"/>
          <w:sz w:val="22"/>
        </w:rPr>
        <w:t>C. Tirosh et al. Diabetes Care 2008</w:t>
      </w:r>
    </w:p>
    <w:p>
      <w:pPr>
        <w:spacing w:after="20"/>
        <w:ind w:left="432"/>
      </w:pPr>
      <w:r>
        <w:rPr>
          <w:rFonts w:ascii="Times New Roman" w:hAnsi="Times New Roman" w:cs="Times New Roman"/>
          <w:sz w:val="22"/>
        </w:rPr>
        <w:t>D. CHARLS cohort</w:t>
      </w:r>
    </w:p>
    <w:p>
      <w:pPr>
        <w:spacing w:after="40"/>
        <w:jc w:val="left"/>
      </w:pPr>
      <w:r>
        <w:rPr>
          <w:rFonts w:ascii="Times New Roman" w:hAnsi="Times New Roman" w:cs="Times New Roman"/>
          <w:b w:val="0"/>
          <w:sz w:val="22"/>
        </w:rPr>
        <w:t>3. The India-specific TyG cutoff validated by Nehru MS et al. 2026 on the natural log scale is:</w:t>
      </w:r>
    </w:p>
    <w:p>
      <w:pPr>
        <w:spacing w:after="20"/>
        <w:ind w:left="432"/>
      </w:pPr>
      <w:r>
        <w:rPr>
          <w:rFonts w:ascii="Times New Roman" w:hAnsi="Times New Roman" w:cs="Times New Roman"/>
          <w:sz w:val="22"/>
        </w:rPr>
        <w:t>A. Above 4.5</w:t>
      </w:r>
    </w:p>
    <w:p>
      <w:pPr>
        <w:spacing w:after="20"/>
        <w:ind w:left="432"/>
      </w:pPr>
      <w:r>
        <w:rPr>
          <w:rFonts w:ascii="Times New Roman" w:hAnsi="Times New Roman" w:cs="Times New Roman"/>
          <w:sz w:val="22"/>
        </w:rPr>
        <w:t>B. Above 5.0</w:t>
      </w:r>
    </w:p>
    <w:p>
      <w:pPr>
        <w:spacing w:after="20"/>
        <w:ind w:left="432"/>
      </w:pPr>
      <w:r>
        <w:rPr>
          <w:rFonts w:ascii="Times New Roman" w:hAnsi="Times New Roman" w:cs="Times New Roman"/>
          <w:sz w:val="22"/>
        </w:rPr>
        <w:t>C. Above 8.82</w:t>
      </w:r>
    </w:p>
    <w:p>
      <w:pPr>
        <w:spacing w:after="20"/>
        <w:ind w:left="432"/>
      </w:pPr>
      <w:r>
        <w:rPr>
          <w:rFonts w:ascii="Times New Roman" w:hAnsi="Times New Roman" w:cs="Times New Roman"/>
          <w:sz w:val="22"/>
        </w:rPr>
        <w:t>D. Above 10.0</w:t>
      </w:r>
    </w:p>
    <w:p>
      <w:pPr>
        <w:spacing w:after="40"/>
        <w:jc w:val="left"/>
      </w:pPr>
      <w:r>
        <w:rPr>
          <w:rFonts w:ascii="Times New Roman" w:hAnsi="Times New Roman" w:cs="Times New Roman"/>
          <w:b w:val="0"/>
          <w:sz w:val="22"/>
        </w:rPr>
        <w:t>4. In the ceramide lipotoxicity pathway, which saturated fatty acid primarily promotes ceramide formation in beta cells?</w:t>
      </w:r>
    </w:p>
    <w:p>
      <w:pPr>
        <w:spacing w:after="20"/>
        <w:ind w:left="432"/>
      </w:pPr>
      <w:r>
        <w:rPr>
          <w:rFonts w:ascii="Times New Roman" w:hAnsi="Times New Roman" w:cs="Times New Roman"/>
          <w:sz w:val="22"/>
        </w:rPr>
        <w:t>A. Oleic acid</w:t>
      </w:r>
    </w:p>
    <w:p>
      <w:pPr>
        <w:spacing w:after="20"/>
        <w:ind w:left="432"/>
      </w:pPr>
      <w:r>
        <w:rPr>
          <w:rFonts w:ascii="Times New Roman" w:hAnsi="Times New Roman" w:cs="Times New Roman"/>
          <w:sz w:val="22"/>
        </w:rPr>
        <w:t>B. Palmitate</w:t>
      </w:r>
    </w:p>
    <w:p>
      <w:pPr>
        <w:spacing w:after="20"/>
        <w:ind w:left="432"/>
      </w:pPr>
      <w:r>
        <w:rPr>
          <w:rFonts w:ascii="Times New Roman" w:hAnsi="Times New Roman" w:cs="Times New Roman"/>
          <w:sz w:val="22"/>
        </w:rPr>
        <w:t>C. DHA</w:t>
      </w:r>
    </w:p>
    <w:p>
      <w:pPr>
        <w:spacing w:after="20"/>
        <w:ind w:left="432"/>
      </w:pPr>
      <w:r>
        <w:rPr>
          <w:rFonts w:ascii="Times New Roman" w:hAnsi="Times New Roman" w:cs="Times New Roman"/>
          <w:sz w:val="22"/>
        </w:rPr>
        <w:t>D. Linoleic acid</w:t>
      </w:r>
    </w:p>
    <w:p>
      <w:pPr>
        <w:spacing w:after="40"/>
        <w:jc w:val="left"/>
      </w:pPr>
      <w:r>
        <w:rPr>
          <w:rFonts w:ascii="Times New Roman" w:hAnsi="Times New Roman" w:cs="Times New Roman"/>
          <w:b w:val="0"/>
          <w:sz w:val="22"/>
        </w:rPr>
        <w:t>5. Post-pancreatitis diabetes is classified as:</w:t>
      </w:r>
    </w:p>
    <w:p>
      <w:pPr>
        <w:spacing w:after="20"/>
        <w:ind w:left="432"/>
      </w:pPr>
      <w:r>
        <w:rPr>
          <w:rFonts w:ascii="Times New Roman" w:hAnsi="Times New Roman" w:cs="Times New Roman"/>
          <w:sz w:val="22"/>
        </w:rPr>
        <w:t>A. Type 1 diabetes</w:t>
      </w:r>
    </w:p>
    <w:p>
      <w:pPr>
        <w:spacing w:after="20"/>
        <w:ind w:left="432"/>
      </w:pPr>
      <w:r>
        <w:rPr>
          <w:rFonts w:ascii="Times New Roman" w:hAnsi="Times New Roman" w:cs="Times New Roman"/>
          <w:sz w:val="22"/>
        </w:rPr>
        <w:t>B. Type 2 diabetes</w:t>
      </w:r>
    </w:p>
    <w:p>
      <w:pPr>
        <w:spacing w:after="20"/>
        <w:ind w:left="432"/>
      </w:pPr>
      <w:r>
        <w:rPr>
          <w:rFonts w:ascii="Times New Roman" w:hAnsi="Times New Roman" w:cs="Times New Roman"/>
          <w:sz w:val="22"/>
        </w:rPr>
        <w:t>C. Type 3c diabetes</w:t>
      </w:r>
    </w:p>
    <w:p>
      <w:pPr>
        <w:spacing w:after="20"/>
        <w:ind w:left="432"/>
      </w:pPr>
      <w:r>
        <w:rPr>
          <w:rFonts w:ascii="Times New Roman" w:hAnsi="Times New Roman" w:cs="Times New Roman"/>
          <w:sz w:val="22"/>
        </w:rPr>
        <w:t>D. LADA</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C  4. B  5.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Sathyanarayana EV, Nehru MS et al. HOMA-IR India-specific cutoff. Int J Med. 2026;8(2):977–983.</w:t>
      </w:r>
    </w:p>
    <w:p>
      <w:pPr>
        <w:spacing w:after="40"/>
        <w:jc w:val="left"/>
      </w:pPr>
      <w:r>
        <w:rPr>
          <w:rFonts w:ascii="Times New Roman" w:hAnsi="Times New Roman" w:cs="Times New Roman"/>
          <w:sz w:val="19"/>
        </w:rPr>
        <w:t>2. Nehru MS et al. TyG Index India-specific cutoff. IJCPR. 2026;18(2):826–833.</w:t>
      </w:r>
    </w:p>
    <w:p>
      <w:pPr>
        <w:spacing w:after="40"/>
        <w:jc w:val="left"/>
      </w:pPr>
      <w:r>
        <w:rPr>
          <w:rFonts w:ascii="Times New Roman" w:hAnsi="Times New Roman" w:cs="Times New Roman"/>
          <w:sz w:val="19"/>
        </w:rPr>
        <w:t>3. Sachdev MC, Nehru MS et al. Metabolic indices Indian adults. Int J Med. 2026;8(3):54–60.</w:t>
      </w:r>
    </w:p>
    <w:p>
      <w:pPr>
        <w:spacing w:after="40"/>
        <w:jc w:val="left"/>
      </w:pPr>
      <w:r>
        <w:rPr>
          <w:rFonts w:ascii="Times New Roman" w:hAnsi="Times New Roman" w:cs="Times New Roman"/>
          <w:sz w:val="19"/>
        </w:rPr>
        <w:t>4. Tirosh A et al. Adolescent BMI trajectory and future type 2 diabetes. Diabetes Care. 2008;31(9):1779–1784. N=13,936.</w:t>
      </w:r>
    </w:p>
    <w:p>
      <w:pPr>
        <w:spacing w:after="40"/>
        <w:jc w:val="left"/>
      </w:pPr>
      <w:r>
        <w:rPr>
          <w:rFonts w:ascii="Times New Roman" w:hAnsi="Times New Roman" w:cs="Times New Roman"/>
          <w:sz w:val="19"/>
        </w:rPr>
        <w:t>5. Guo W et al. TyG Index and beta cell function across glucose tolerance states. Front Endocrinol. 2022. N=914.</w:t>
      </w:r>
    </w:p>
    <w:p>
      <w:pPr>
        <w:spacing w:after="40"/>
        <w:jc w:val="left"/>
      </w:pPr>
      <w:r>
        <w:rPr>
          <w:rFonts w:ascii="Times New Roman" w:hAnsi="Times New Roman" w:cs="Times New Roman"/>
          <w:sz w:val="19"/>
        </w:rPr>
        <w:t>6. Song Y et al. TyG Index inversely correlates with HOMA-B. Endokrynologia Polska. 2024. N=242.</w:t>
      </w:r>
    </w:p>
    <w:p>
      <w:pPr>
        <w:spacing w:after="40"/>
        <w:jc w:val="left"/>
      </w:pPr>
      <w:r>
        <w:rPr>
          <w:rFonts w:ascii="Times New Roman" w:hAnsi="Times New Roman" w:cs="Times New Roman"/>
          <w:sz w:val="19"/>
        </w:rPr>
        <w:t>7. Maedler K et al. Glucose-induced beta cell production of IL-1β contributes to glucotoxicity in human pancreatic islets. J Clin Invest. 2001. Isolated human islets N=10–14 donors.</w:t>
      </w:r>
    </w:p>
    <w:p>
      <w:pPr>
        <w:spacing w:after="40"/>
        <w:jc w:val="left"/>
      </w:pPr>
      <w:r>
        <w:rPr>
          <w:rFonts w:ascii="Times New Roman" w:hAnsi="Times New Roman" w:cs="Times New Roman"/>
          <w:sz w:val="19"/>
        </w:rPr>
        <w:t>8. Lu Y et al. Ceramide C18:0 and incident type 2 diabetes. PLOS Medicine. 2020. N=1,974.</w:t>
      </w:r>
    </w:p>
    <w:p>
      <w:pPr>
        <w:spacing w:after="40"/>
        <w:jc w:val="left"/>
      </w:pPr>
      <w:r>
        <w:rPr>
          <w:rFonts w:ascii="Times New Roman" w:hAnsi="Times New Roman" w:cs="Times New Roman"/>
          <w:sz w:val="19"/>
        </w:rPr>
        <w:t>9. Ceramide and Akt-PKB inhibition — Tandfonline isl.20102.</w:t>
      </w:r>
    </w:p>
    <w:p>
      <w:pPr>
        <w:spacing w:after="40"/>
        <w:jc w:val="left"/>
      </w:pPr>
      <w:r>
        <w:rPr>
          <w:rFonts w:ascii="Times New Roman" w:hAnsi="Times New Roman" w:cs="Times New Roman"/>
          <w:sz w:val="19"/>
        </w:rPr>
        <w:t>10. Chronic fatty acid exposure reduces proinsulin gene expression. PubMed 20063116.</w:t>
      </w:r>
    </w:p>
    <w:p>
      <w:pPr>
        <w:spacing w:after="40"/>
        <w:jc w:val="left"/>
      </w:pPr>
      <w:r>
        <w:rPr>
          <w:rFonts w:ascii="Times New Roman" w:hAnsi="Times New Roman" w:cs="Times New Roman"/>
          <w:sz w:val="19"/>
        </w:rPr>
        <w:t>11. VLDL lipid flux and beta cell — Rutledge JC et al. Circ Research. 2010.</w:t>
      </w:r>
    </w:p>
    <w:p>
      <w:pPr>
        <w:spacing w:after="40"/>
        <w:jc w:val="left"/>
      </w:pPr>
      <w:r>
        <w:rPr>
          <w:rFonts w:ascii="Times New Roman" w:hAnsi="Times New Roman" w:cs="Times New Roman"/>
          <w:sz w:val="19"/>
        </w:rPr>
        <w:t>12. Pedersen SB et al. Hypertriglyceridaemia and pancreatitis. JAMA Intern Med. 2016. N=116,550.</w:t>
      </w:r>
    </w:p>
    <w:p>
      <w:pPr>
        <w:spacing w:after="40"/>
        <w:jc w:val="left"/>
      </w:pPr>
      <w:r>
        <w:rPr>
          <w:rFonts w:ascii="Times New Roman" w:hAnsi="Times New Roman" w:cs="Times New Roman"/>
          <w:sz w:val="19"/>
        </w:rPr>
        <w:t>13. Ewald N et al. Type 3c diabetes prevalence. Diabetes Metab Res Rev. 2012. N=1,868.</w:t>
      </w:r>
    </w:p>
    <w:p>
      <w:pPr>
        <w:spacing w:after="40"/>
        <w:jc w:val="left"/>
      </w:pPr>
      <w:r>
        <w:rPr>
          <w:rFonts w:ascii="Times New Roman" w:hAnsi="Times New Roman" w:cs="Times New Roman"/>
          <w:sz w:val="19"/>
        </w:rPr>
        <w:t>14. Mohan V et al. Fibrocalculous pancreatic diabetes — Indian data. Diabetes Care. 2013.</w:t>
      </w:r>
    </w:p>
    <w:p>
      <w:pPr>
        <w:spacing w:after="40"/>
        <w:jc w:val="left"/>
      </w:pPr>
      <w:r>
        <w:rPr>
          <w:rFonts w:ascii="Times New Roman" w:hAnsi="Times New Roman" w:cs="Times New Roman"/>
          <w:sz w:val="19"/>
        </w:rPr>
        <w:t>15. Feingold KR et al. Chylomicronaemia syndrome. Endotext. 2025.</w:t>
      </w:r>
    </w:p>
    <w:p>
      <w:pPr>
        <w:spacing w:after="40"/>
        <w:jc w:val="left"/>
      </w:pPr>
      <w:r>
        <w:rPr>
          <w:rFonts w:ascii="Times New Roman" w:hAnsi="Times New Roman" w:cs="Times New Roman"/>
          <w:sz w:val="19"/>
        </w:rPr>
        <w:t>16. Hjerpsted JB et al. Semaglutide and triglyceride reduction mechanism. Diabetes Obes Metab. 2018. N=30 RCT.</w:t>
      </w:r>
    </w:p>
    <w:p>
      <w:pPr>
        <w:spacing w:after="40"/>
        <w:jc w:val="left"/>
      </w:pPr>
      <w:r>
        <w:rPr>
          <w:rFonts w:ascii="Times New Roman" w:hAnsi="Times New Roman" w:cs="Times New Roman"/>
          <w:sz w:val="19"/>
        </w:rPr>
        <w:t>17. Li et al. Fenofibrate and HOMA-B. PLoS One. 2016. PubMed 27034649. N=1,974.</w:t>
      </w:r>
    </w:p>
    <w:p>
      <w:pPr>
        <w:spacing w:after="40"/>
        <w:jc w:val="left"/>
      </w:pPr>
      <w:r>
        <w:rPr>
          <w:rFonts w:ascii="Times New Roman" w:hAnsi="Times New Roman" w:cs="Times New Roman"/>
          <w:sz w:val="19"/>
        </w:rPr>
        <w:t>18. Lee JY et al. Omega-3 and NLRP3 inflammasome inhibition. Immunity. 2013. PubMed 23809162.</w:t>
      </w:r>
    </w:p>
    <w:p>
      <w:pPr>
        <w:spacing w:after="40"/>
        <w:jc w:val="left"/>
      </w:pPr>
      <w:r>
        <w:rPr>
          <w:rFonts w:ascii="Times New Roman" w:hAnsi="Times New Roman" w:cs="Times New Roman"/>
          <w:sz w:val="19"/>
        </w:rPr>
        <w:t>19. Joshi SR et al. ICMR-INDIAB — dyslipidaemia prevalence India. PLOS One. 2014. N=16,607.</w:t>
      </w:r>
    </w:p>
    <w:p>
      <w:pPr>
        <w:spacing w:after="40"/>
        <w:jc w:val="left"/>
      </w:pPr>
      <w:r>
        <w:rPr>
          <w:rFonts w:ascii="Times New Roman" w:hAnsi="Times New Roman" w:cs="Times New Roman"/>
          <w:sz w:val="19"/>
        </w:rPr>
        <w:t>20. Jin JL et al. TyG Index and MACE in Asian cohorts. Cardiovasc Diabetol. 2018. N=4,321.</w:t>
      </w:r>
    </w:p>
    <w:p>
      <w:pPr>
        <w:spacing w:after="40"/>
        <w:jc w:val="left"/>
      </w:pPr>
      <w:r>
        <w:rPr>
          <w:rFonts w:ascii="Times New Roman" w:hAnsi="Times New Roman" w:cs="Times New Roman"/>
          <w:sz w:val="19"/>
        </w:rPr>
        <w:t>21. Ference BA et al. Mendelian randomisation — TG and apoB. JAMA. 2019. N=654,783.</w:t>
      </w:r>
    </w:p>
    <w:p>
      <w:r>
        <w:br w:type="page"/>
      </w:r>
    </w:p>
    <w:p>
      <w:pPr>
        <w:jc w:val="left"/>
      </w:pPr>
      <w:r>
        <w:rPr>
          <w:rFonts w:ascii="Arial" w:hAnsi="Arial" w:cs="Arial"/>
          <w:b/>
          <w:sz w:val="26"/>
        </w:rPr>
        <w:t>CHAPTER 8</w:t>
      </w:r>
    </w:p>
    <w:p>
      <w:pPr>
        <w:keepNext/>
        <w:spacing w:before="360" w:after="120"/>
        <w:jc w:val="left"/>
      </w:pPr>
      <w:r>
        <w:rPr>
          <w:rFonts w:ascii="Arial" w:hAnsi="Arial" w:cs="Arial"/>
          <w:b/>
          <w:sz w:val="32"/>
        </w:rPr>
        <w:t>Sarcopenia and Metabolic Disease</w:t>
      </w:r>
    </w:p>
    <w:p>
      <w:pPr>
        <w:keepNext/>
        <w:spacing w:before="240" w:after="120"/>
        <w:jc w:val="left"/>
      </w:pPr>
      <w:r>
        <w:rPr>
          <w:rFonts w:ascii="Arial" w:hAnsi="Arial" w:cs="Arial"/>
          <w:b/>
          <w:sz w:val="26"/>
        </w:rPr>
        <w:t>Chapter 8 — Sarcopenia and Metabolic Disease</w:t>
      </w:r>
    </w:p>
    <w:p>
      <w:pPr>
        <w:keepNext/>
        <w:spacing w:before="240" w:after="120"/>
        <w:jc w:val="left"/>
      </w:pPr>
      <w:r>
        <w:rPr>
          <w:rFonts w:ascii="Arial" w:hAnsi="Arial" w:cs="Arial"/>
          <w:b/>
          <w:sz w:val="26"/>
        </w:rPr>
        <w:t>The Muscle-Insulin Resistance Connection in Indian Clinical Practice</w:t>
      </w:r>
    </w:p>
    <w:p>
      <w:pPr>
        <w:keepNext/>
        <w:spacing w:before="240" w:after="120"/>
        <w:jc w:val="left"/>
      </w:pPr>
      <w:r>
        <w:rPr>
          <w:rFonts w:ascii="Arial" w:hAnsi="Arial" w:cs="Arial"/>
          <w:b/>
          <w:sz w:val="26"/>
        </w:rPr>
        <w:t>8.1 — Why Sarcopenia Belongs in a Diabetes Book</w:t>
      </w:r>
    </w:p>
    <w:p>
      <w:pPr>
        <w:spacing w:after="120" w:before="0" w:line="276" w:lineRule="auto"/>
        <w:jc w:val="both"/>
      </w:pPr>
      <w:r>
        <w:rPr>
          <w:rFonts w:ascii="Times New Roman" w:hAnsi="Times New Roman" w:cs="Times New Roman"/>
          <w:b w:val="0"/>
          <w:i w:val="0"/>
          <w:sz w:val="22"/>
        </w:rPr>
        <w:t>Skeletal muscle is the largest insulin-sensitive tissue in the human body, accounting for approximately 70 to 80 percent of insulin-stimulated glucose disposal under euglycaemic clamp conditions. When muscle mass falls — through sarcopenia — this disposal capacity falls proportionally, and the metabolic burden on the remaining beta cell reserve increases. The relationship between sarcopenia and insulin resistance is therefore not incidental. It is mechanistic, bidirectional, and clinically urgent. Insulin resistance impairs muscle protein synthesis through disruption of the mTORC1 anabolic signalling pathway, while reduced muscle mass worsens insulin resistance by reducing the peripheral glucose sink. Each condition accelerates the other. In the Indian clinical population — where sarcopenia occurs at lower body weight and lower BMI than in Western populations, where dietary protein intake is frequently below recommended levels, and where HOMA-IR above 2.3 is already prevalent — this bidirectional relationship creates a metabolic spiral that standard diabetes management does not address.</w:t>
      </w:r>
    </w:p>
    <w:p>
      <w:pPr>
        <w:spacing w:before="120" w:after="120"/>
        <w:ind w:left="432" w:right="432"/>
        <w:jc w:val="left"/>
      </w:pPr>
      <w:r>
        <w:rPr>
          <w:rFonts w:ascii="Times New Roman" w:hAnsi="Times New Roman" w:cs="Times New Roman"/>
          <w:b/>
          <w:i/>
          <w:sz w:val="22"/>
        </w:rPr>
        <w:t>Skeletal muscle accounts for 70 to 80 percent of insulin-stimulated glucose disposal. When muscle falls, the beta cell compensates alone — until it cannot.</w:t>
      </w:r>
    </w:p>
    <w:p>
      <w:pPr>
        <w:spacing w:after="120" w:before="0" w:line="276" w:lineRule="auto"/>
        <w:jc w:val="both"/>
      </w:pPr>
      <w:r>
        <w:rPr>
          <w:rFonts w:ascii="Times New Roman" w:hAnsi="Times New Roman" w:cs="Times New Roman"/>
          <w:b w:val="0"/>
          <w:i w:val="0"/>
          <w:sz w:val="22"/>
        </w:rPr>
        <w:t>The Asian Working Group for Sarcopenia — AWGS 2019 — provides the diagnostic framework appropriate for Indian patients. Sarcopenia is defined by the presence of low muscle mass confirmed by measurement, alongside either low muscle strength or low physical performance. Low muscle mass alone — without functional impairment — is termed possible sarcopenia or pre-sarcopenia. Confirmed sarcopenia requires both low mass and low strength or performance. Severe sarcopenia requires all three — low mass, low strength, and low physical performance. These distinctions matter clinically because the intervention priority and prognosis differ at each stage.</w:t>
      </w:r>
    </w:p>
    <w:p>
      <w:pPr>
        <w:keepNext/>
        <w:spacing w:before="240" w:after="120"/>
        <w:jc w:val="left"/>
      </w:pPr>
      <w:r>
        <w:rPr>
          <w:rFonts w:ascii="Arial" w:hAnsi="Arial" w:cs="Arial"/>
          <w:b/>
          <w:sz w:val="26"/>
        </w:rPr>
        <w:t>8.2 — Diagnostic Criteria and Cutoff Values</w:t>
      </w:r>
    </w:p>
    <w:p>
      <w:pPr>
        <w:spacing w:after="120" w:before="0" w:line="276" w:lineRule="auto"/>
        <w:jc w:val="both"/>
      </w:pPr>
      <w:r>
        <w:rPr>
          <w:rFonts w:ascii="Times New Roman" w:hAnsi="Times New Roman" w:cs="Times New Roman"/>
          <w:b w:val="0"/>
          <w:i w:val="0"/>
          <w:sz w:val="22"/>
        </w:rPr>
        <w:t>The AWGS 2019 criteria use skeletal muscle index — SMI — as the primary measure of muscle mass. SMI is calculated by dividing appendicular lean mass in kilograms by height in metres squared. The appendicular lean mass represents the sum of lean tissue in both arms and both legs, excluding trunk, and is obtained from either dual-energy X-ray absorptiometry or bioimpedance analysis. The cutoff values differ by measurement method and must not be interchanged. For DEXA, low muscle mass is defined as SMI below 7.0 kg per metre squared in men and below 5.4 kg per metre squared in women. For BIA, the cutoff in women is 5.7 kg per metre squared — not 5.4 — reflecting the different measurement characteristics of the two modalities. Using 5.7 for DEXA or 5.4 for BIA constitutes a methodological error that will systematically misclassify patients.¹</w:t>
      </w:r>
    </w:p>
    <w:p>
      <w:pPr>
        <w:spacing w:after="120" w:before="0" w:line="276" w:lineRule="auto"/>
        <w:jc w:val="both"/>
      </w:pPr>
      <w:r>
        <w:rPr>
          <w:rFonts w:ascii="Times New Roman" w:hAnsi="Times New Roman" w:cs="Times New Roman"/>
          <w:b w:val="0"/>
          <w:i w:val="0"/>
          <w:sz w:val="22"/>
        </w:rPr>
        <w:t>Muscle strength is assessed by handgrip dynamometry. The AWGS 2019 cutoffs are below 28 kg in men and below 18 kg in women. The Indian Sarcopenia Consensus — developed through a modified Delphi method with expert panels across India and published in 2025 — recommends a male grip cutoff of below 27.5 kg, acknowledging that Indian men have slightly lower baseline grip than East Asian populations on which the AWGS thresholds were calibrated.² Both cutoffs are clinically acceptable. The reference used should be stated when documenting the diagnosis.</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8.1 ]</w:t>
      </w:r>
    </w:p>
    <w:p>
      <w:pPr>
        <w:spacing w:before="40" w:after="200"/>
        <w:jc w:val="center"/>
      </w:pPr>
      <w:r>
        <w:rPr>
          <w:rFonts w:ascii="Times New Roman" w:hAnsi="Times New Roman" w:cs="Times New Roman"/>
          <w:b w:val="0"/>
          <w:i/>
          <w:sz w:val="18"/>
        </w:rPr>
        <w:t>Figure 8.1 — Grip strength and muscle staging in the diagnosis of sarcopenia.</w:t>
      </w:r>
    </w:p>
    <w:p>
      <w:pPr>
        <w:spacing w:after="120" w:before="0" w:line="276" w:lineRule="auto"/>
        <w:jc w:val="both"/>
      </w:pPr>
      <w:r>
        <w:rPr>
          <w:rFonts w:ascii="Times New Roman" w:hAnsi="Times New Roman" w:cs="Times New Roman"/>
          <w:b w:val="0"/>
          <w:i w:val="0"/>
          <w:sz w:val="22"/>
        </w:rPr>
        <w:t>Physical performance assessment uses the Short Physical Performance Battery — SPPB — with a score below 9 out of 12 indicating poor performance, the six-minute walk test with below 400 metres indicating severe functional impairment, and the Timed Up and Go test with above 12 seconds indicating fall risk and severe sarcopenia. Gait speed below 0.8 metres per second on a four-metre flat corridor walk is an additional performance marker used in some centres. These functional tests require minimal equipment — a corridor, a stopwatch, and a chair — and should be performed at every metabolic clinic visit in patients above 40 years with HOMA-IR above 2.3, as the operational threshold for metabolic risk screening in Indian adults.</w:t>
      </w:r>
    </w:p>
    <w:p>
      <w:pPr>
        <w:spacing w:before="120" w:after="120"/>
        <w:ind w:left="432" w:right="432"/>
        <w:jc w:val="left"/>
      </w:pPr>
      <w:r>
        <w:rPr>
          <w:rFonts w:ascii="Times New Roman" w:hAnsi="Times New Roman" w:cs="Times New Roman"/>
          <w:b/>
          <w:i/>
          <w:sz w:val="22"/>
        </w:rPr>
        <w:t>DEXA women cutoff is 5.4 kg per metre squared. BIA women cutoff is 5.7. These are not interchangeable. The method determines the threshold.</w:t>
      </w:r>
    </w:p>
    <w:p>
      <w:pPr>
        <w:keepNext/>
        <w:spacing w:before="240" w:after="120"/>
        <w:jc w:val="left"/>
      </w:pPr>
      <w:r>
        <w:rPr>
          <w:rFonts w:ascii="Arial" w:hAnsi="Arial" w:cs="Arial"/>
          <w:b/>
          <w:sz w:val="26"/>
        </w:rPr>
        <w:t>8.3 — The Five-Stage Sarcopenia-Metabolic Journey</w:t>
      </w:r>
    </w:p>
    <w:p>
      <w:pPr>
        <w:spacing w:after="120" w:before="0" w:line="276" w:lineRule="auto"/>
        <w:jc w:val="both"/>
      </w:pPr>
      <w:r>
        <w:rPr>
          <w:rFonts w:ascii="Times New Roman" w:hAnsi="Times New Roman" w:cs="Times New Roman"/>
          <w:b w:val="0"/>
          <w:i w:val="0"/>
          <w:sz w:val="22"/>
        </w:rPr>
        <w:t>The progression from metabolic health through sarcopenia to severe sarcopenic obesity can be mapped through five stages that integrate muscle mass, grip strength, insulin resistance markers, and beta cell biomarkers. This staging framework represents the Dr. Nehru Method proposed clinical classification and should be understood as an operational tool for clinical practice rather than an internationally standardised diagnostic system.</w:t>
      </w:r>
    </w:p>
    <w:p>
      <w:pPr>
        <w:spacing w:after="120" w:before="0" w:line="276" w:lineRule="auto"/>
        <w:jc w:val="both"/>
      </w:pPr>
      <w:r>
        <w:rPr>
          <w:rFonts w:ascii="Times New Roman" w:hAnsi="Times New Roman" w:cs="Times New Roman"/>
          <w:b w:val="0"/>
          <w:i w:val="0"/>
          <w:sz w:val="22"/>
        </w:rPr>
        <w:t>In Stage 0 — the pre-sarcopenic metabolic stage — SMI remains within normal range and grip strength is preserved, but HOMA-IR has already crossed above 2.3 and TyG Index has crossed above 8.82. Irisin — the exercise-responsive myokine confirmed to be lower in sarcopenic patients in human observational studies and a 2025 meta-analysis — may be beginning to fall, and myostatin — the well-established negative regulator of skeletal muscle mass — may be beginning to rise. C-peptide is normal or rising as the beta cell compensates. HbA1c is normal. Standard medicine declares this patient healthy. The Dr. Nehru Method identifies this as the critical intervention window — when muscle is fully recoverable and beta cell reserve is intact.³⁴</w:t>
      </w:r>
    </w:p>
    <w:p>
      <w:pPr>
        <w:spacing w:after="120" w:before="0" w:line="276" w:lineRule="auto"/>
        <w:jc w:val="both"/>
      </w:pPr>
      <w:r>
        <w:rPr>
          <w:rFonts w:ascii="Times New Roman" w:hAnsi="Times New Roman" w:cs="Times New Roman"/>
          <w:b w:val="0"/>
          <w:i w:val="0"/>
          <w:sz w:val="22"/>
        </w:rPr>
        <w:t>In Stage 1 — early sarcopenia — SMI approaches the cutoff threshold and grip may be borderline. HOMA-IR is typically between 3.0 and 5.0, TyG between 8.82 and 9.5, and C-peptide is at or near its peak as beta cell compensation reaches maximum. The patient reports fatigue on exertion and reduced exercise tolerance. Intervention at this stage produces excellent outcomes. In Stage 2 — confirmed sarcopenia — SMI falls below the AWGS cutoff, grip falls below threshold, and at least one physical performance measure is impaired. HOMA-IR is typically between 4.0 and 6.0, C-peptide is beginning to fall from its peak, and HbA1c may be entering the prediabetic range. In Stage 3 — severe sarcopenia — all three AWGS criteria are met, HOMA-IR exceeds 6.0, C-peptide is significantly reduced, and HbA1c has often crossed the diagnostic threshold for type 2 diabetes. In Stage 4 — sarcopenic obesity — the phenotype is characterised by low muscle mass concealed by preserved or elevated total body weight, high visceral fat area above 100 cm squared on BIA, and HOMA-IR frequently exceeding 8.0. BMI may appear normal or only mildly elevated, making standard BMI-based screening entirely inadequate for identifying this high-risk phenotype.</w:t>
      </w:r>
    </w:p>
    <w:p>
      <w:pPr>
        <w:keepNext/>
        <w:spacing w:before="240" w:after="120"/>
        <w:jc w:val="left"/>
      </w:pPr>
      <w:r>
        <w:rPr>
          <w:rFonts w:ascii="Arial" w:hAnsi="Arial" w:cs="Arial"/>
          <w:b/>
          <w:sz w:val="26"/>
        </w:rPr>
        <w:t>8.4 — The SMI Calculation</w:t>
      </w:r>
    </w:p>
    <w:p>
      <w:pPr>
        <w:spacing w:after="120" w:before="0" w:line="276" w:lineRule="auto"/>
        <w:jc w:val="both"/>
      </w:pPr>
      <w:r>
        <w:rPr>
          <w:rFonts w:ascii="Times New Roman" w:hAnsi="Times New Roman" w:cs="Times New Roman"/>
          <w:b w:val="0"/>
          <w:i w:val="0"/>
          <w:sz w:val="22"/>
        </w:rPr>
        <w:t>The skeletal muscle index is derived from the DEXA or BIA report as follows. Appendicular lean mass equals the sum of right arm lean mass plus left arm lean mass plus right leg lean mass plus left leg lean mass. Trunk lean mass is excluded. SMI equals appendicular lean mass in kilograms divided by height in metres squared. As a practical example — a patient with right arm lean mass of 3.2 kg, left arm lean mass of 3.1 kg, right leg lean mass of 7.8 kg, and left leg lean mass of 7.6 kg has an appendicular lean mass of 21.7 kg. At a height of 1.70 metres, height squared equals 2.89, and SMI equals 21.7 divided by 2.89, giving 7.51 kg per metre squared — normal by AWGS 2019 criteria for men. SMI is the only value requiring manual calculation from the DEXA or BIA report. All other body composition values — total body fat percentage, visceral fat area, appendicular lean mass absolute value, android and gynoid fat distribution, bone mineral density, T-score, and Z-score — are reported directly by the machine, though some outputs such as visceral fat area and fat mass index depend on the specific manufacturer and software version in use and are not universally available across all systems.</w:t>
      </w:r>
    </w:p>
    <w:p>
      <w:pPr>
        <w:keepNext/>
        <w:spacing w:before="240" w:after="120"/>
        <w:jc w:val="left"/>
      </w:pPr>
      <w:r>
        <w:rPr>
          <w:rFonts w:ascii="Arial" w:hAnsi="Arial" w:cs="Arial"/>
          <w:b/>
          <w:sz w:val="26"/>
        </w:rPr>
        <w:t>8.5 — Protein, Muscle, and the BCAA Paradox</w:t>
      </w:r>
    </w:p>
    <w:p>
      <w:pPr>
        <w:spacing w:after="120" w:before="0" w:line="276" w:lineRule="auto"/>
        <w:jc w:val="both"/>
      </w:pPr>
      <w:r>
        <w:rPr>
          <w:rFonts w:ascii="Times New Roman" w:hAnsi="Times New Roman" w:cs="Times New Roman"/>
          <w:b w:val="0"/>
          <w:i w:val="0"/>
          <w:sz w:val="22"/>
        </w:rPr>
        <w:t>Adequate dietary protein is the substrate requirement for muscle protein synthesis, and its insufficiency is one of the most consistent and correctable contributors to sarcopenia in Indian patients. The Indian Council of Medical Research recommended dietary allowance of 0.8 grams of protein per kilogram of body weight per day represents the minimum for nitrogen balance in healthy sedentary adults. It is not an adequate target for patients with established sarcopenia, insulin resistance, or metabolic disease. Evidence from sarcopenia and resistance training literature supports protein targets of 1.2 to 1.6 grams per kilogram per day for patients with insulin resistance and borderline muscle mass, and 1.6 to 2.0 grams per kilogram per day for patients with confirmed sarcopenia or those actively attempting muscle mass recovery. These are proposed clinical targets based on resistance training and sarcopenia intervention literature and should be applied with individual patient context rather than presented as universally mandated thresholds.</w:t>
      </w:r>
    </w:p>
    <w:p>
      <w:pPr>
        <w:spacing w:after="120" w:before="0" w:line="276" w:lineRule="auto"/>
        <w:jc w:val="both"/>
      </w:pPr>
      <w:r>
        <w:rPr>
          <w:rFonts w:ascii="Times New Roman" w:hAnsi="Times New Roman" w:cs="Times New Roman"/>
          <w:b w:val="0"/>
          <w:i w:val="0"/>
          <w:sz w:val="22"/>
        </w:rPr>
        <w:t>Leucine — one of the three branched-chain amino acids alongside isoleucine and valine — is the primary activator of mTORC1-mediated muscle protein synthesis. A leucine threshold of approximately 2 to 3 grams per meal is required to trigger the mTORC1 anabolic signal in muscle tissue. Plant-based protein sources commonly consumed in Indian diets — particularly cooked lentils and rice — provide lower leucine density per gram of protein than animal-based sources such as egg white, chicken, and whey protein. This does not make plant protein valueless, but it means that Indian vegetarian and vegan patients may need deliberately higher total protein intake and deliberate food combining to reliably achieve the per-meal leucine threshold for mTORC1 activation. Soy protein — the highest-quality plant protein in terms of essential amino acid profile — is available in Indian markets as tofu, tempeh, and soy milk and should be specifically recommended for vegetarian patients with sarcopenia risk.</w:t>
      </w:r>
    </w:p>
    <w:p>
      <w:pPr>
        <w:spacing w:before="120" w:after="120"/>
        <w:ind w:left="432" w:right="432"/>
        <w:jc w:val="left"/>
      </w:pPr>
      <w:r>
        <w:rPr>
          <w:rFonts w:ascii="Times New Roman" w:hAnsi="Times New Roman" w:cs="Times New Roman"/>
          <w:b/>
          <w:i/>
          <w:sz w:val="22"/>
        </w:rPr>
        <w:t>High serum BCAAs are a marker of insulin resistance — not a cause of sarcopenia. BCAAs with exercise build muscle. BCAAs without exercise in an insulin-resistant patient may worsen insulin resistance.</w:t>
      </w:r>
    </w:p>
    <w:p>
      <w:pPr>
        <w:spacing w:after="120" w:before="0" w:line="276" w:lineRule="auto"/>
        <w:jc w:val="both"/>
      </w:pPr>
      <w:r>
        <w:rPr>
          <w:rFonts w:ascii="Times New Roman" w:hAnsi="Times New Roman" w:cs="Times New Roman"/>
          <w:b w:val="0"/>
          <w:i w:val="0"/>
          <w:sz w:val="22"/>
        </w:rPr>
        <w:t>The branched-chain amino acid paradox is one of the most important and most frequently misunderstood concepts in metabolic nutrition. Wang and colleagues demonstrated in a metabolomic profiling study of 2,422 subjects that elevated fasting serum BCAAs — isoleucine, leucine, and valine — are strongly and independently associated with insulin resistance and predict incident type 2 diabetes up to twelve years before diagnosis.⁵ This finding appears to contradict the recommendation to increase protein and BCAA intake for muscle building. The resolution of this apparent contradiction is mechanistic. In healthy individuals with normal insulin sensitivity, dietary BCAAs are efficiently taken up by skeletal muscle for protein synthesis, keeping circulating levels normal. In insulin-resistant individuals, impaired muscle glucose and amino acid uptake causes BCAAs to accumulate in the circulation — not because more are consumed, but because muscle cannot clear them effectively. Elevated serum BCAAs are therefore a marker of the insulin resistance impairing muscle uptake — not an independent cause of that resistance. The correct clinical response is to treat insulin resistance first, restoring muscle's capacity to utilise dietary protein effectively, and to combine protein intake with resistance exercise, which independently enhances muscle amino acid uptake through AMPK-mediated GLUT4 and amino acid transporter upregulation.</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8.2 ]</w:t>
      </w:r>
    </w:p>
    <w:p>
      <w:pPr>
        <w:spacing w:before="40" w:after="200"/>
        <w:jc w:val="center"/>
      </w:pPr>
      <w:r>
        <w:rPr>
          <w:rFonts w:ascii="Times New Roman" w:hAnsi="Times New Roman" w:cs="Times New Roman"/>
          <w:b w:val="0"/>
          <w:i/>
          <w:sz w:val="18"/>
        </w:rPr>
        <w:t>Figure 8.2 — Branched-chain amino acids as a marker of impaired muscle amino acid uptake.</w:t>
      </w:r>
    </w:p>
    <w:p>
      <w:pPr>
        <w:keepNext/>
        <w:spacing w:before="240" w:after="120"/>
        <w:jc w:val="left"/>
      </w:pPr>
      <w:r>
        <w:rPr>
          <w:rFonts w:ascii="Arial" w:hAnsi="Arial" w:cs="Arial"/>
          <w:b/>
          <w:sz w:val="26"/>
        </w:rPr>
        <w:t>8.6 — Myokines — A Conceptual Framework</w:t>
      </w:r>
    </w:p>
    <w:p>
      <w:pPr>
        <w:spacing w:after="120" w:before="0" w:line="276" w:lineRule="auto"/>
        <w:jc w:val="both"/>
      </w:pPr>
      <w:r>
        <w:rPr>
          <w:rFonts w:ascii="Times New Roman" w:hAnsi="Times New Roman" w:cs="Times New Roman"/>
          <w:b w:val="0"/>
          <w:i w:val="0"/>
          <w:sz w:val="22"/>
        </w:rPr>
        <w:t>Skeletal muscle functions as an endocrine organ, secreting a class of signalling molecules termed myokines during and after muscular contraction. Irisin — derived from cleavage of the FNDC5 protein — is an exercise-responsive myokine whose circulating levels are confirmed to be lower in patients with sarcopenia in human observational studies and a 2025 meta-analysis, with positive correlations to muscle mass and grip strength.³ Whether irisin directly promotes beta cell survival and insulin secretion — as suggested by experimental and limited human islet data — has not been confirmed in human intervention trials, and this beta cell protective role should be described as a proposed mechanism with experimental support rather than an established clinical effect.</w:t>
      </w:r>
    </w:p>
    <w:p>
      <w:pPr>
        <w:spacing w:after="120" w:before="0" w:line="276" w:lineRule="auto"/>
        <w:jc w:val="both"/>
      </w:pPr>
      <w:r>
        <w:rPr>
          <w:rFonts w:ascii="Times New Roman" w:hAnsi="Times New Roman" w:cs="Times New Roman"/>
          <w:b w:val="0"/>
          <w:i w:val="0"/>
          <w:sz w:val="22"/>
        </w:rPr>
        <w:t>Myostatin is a well-established negative regulator of skeletal muscle mass, confirmed in both human and experimental systems. Its inhibitory role on satellite cell activation and muscle protein synthesis is the mechanistic basis for the anti-myostatin drug class currently in clinical development.⁴ In sarcopenic states, myostatin rises as muscle mass falls, further suppressing muscle regeneration in a self-reinforcing cycle. No clinically validated serum myostatin cutoff has been established for sarcopenia diagnosis — studies remain exploratory and assay-dependent — and myostatin measurement is a research tool rather than a routine clinical test in Indian laboratories as of 2026.</w:t>
      </w:r>
    </w:p>
    <w:p>
      <w:pPr>
        <w:spacing w:after="120" w:before="0" w:line="276" w:lineRule="auto"/>
        <w:jc w:val="both"/>
      </w:pPr>
      <w:r>
        <w:rPr>
          <w:rFonts w:ascii="Times New Roman" w:hAnsi="Times New Roman" w:cs="Times New Roman"/>
          <w:b w:val="0"/>
          <w:i w:val="0"/>
          <w:sz w:val="22"/>
        </w:rPr>
        <w:t>Interleukin-6 exhibits context-dependent biology that is essential to understand in the sarcopenia-metabolic disease relationship. Acute IL-6 released from contracting skeletal muscle during exercise is widely accepted as part of an anti-inflammatory physiological response — stimulating fat oxidation and contributing to the metabolic benefits of physical activity. Chronic IL-6 elevation in visceral obesity and progressive muscle loss represents a different biological state — pro-inflammatory, contributing to hepatic insulin resistance through SOCS3 activation and IRS-1 pathway impairment. Sarcopenia shifts this balance from the acute beneficial exercise-derived IL-6 response toward the chronic harmful inflammatory state, because less functional muscle means less exercise-derived acute IL-6 while more visceral fat produces more chronic inflammatory IL-6.⁶</w:t>
      </w:r>
    </w:p>
    <w:p>
      <w:pPr>
        <w:keepNext/>
        <w:spacing w:before="240" w:after="120"/>
        <w:jc w:val="left"/>
      </w:pPr>
      <w:r>
        <w:rPr>
          <w:rFonts w:ascii="Arial" w:hAnsi="Arial" w:cs="Arial"/>
          <w:b/>
          <w:sz w:val="26"/>
        </w:rPr>
        <w:t>8.7 — Exercise Prescription for Sarcopenia</w:t>
      </w:r>
    </w:p>
    <w:p>
      <w:pPr>
        <w:spacing w:after="120" w:before="0" w:line="276" w:lineRule="auto"/>
        <w:jc w:val="both"/>
      </w:pPr>
      <w:r>
        <w:rPr>
          <w:rFonts w:ascii="Times New Roman" w:hAnsi="Times New Roman" w:cs="Times New Roman"/>
          <w:b w:val="0"/>
          <w:i w:val="0"/>
          <w:sz w:val="22"/>
        </w:rPr>
        <w:t>Resistance training is the only intervention that simultaneously increases muscle mass and reduces HOMA-IR through a single mechanism — enhanced muscle glucose uptake via AMPK-mediated GLUT4 upregulation. A randomised controlled trial demonstrated significant HOMA-IR improvement with resistance training — though the specific mechanism through irisin was not confirmed in that study, with irisin response being variable across exercise trials.⁷ The prescription for sarcopenia management in patients with insulin resistance above 2.3 on HOMA-IR should include resistance training three times per week at approximately 70 percent of maximum effort, performing eight to twelve repetitions per set, with progressive resistance increase every two weeks as tolerated. A minimum of eight weeks of consistent resistance training should be completed before repeat SMI assessment, as body composition changes are not reliably detectable earlier by standard BIA.</w:t>
      </w:r>
    </w:p>
    <w:p>
      <w:pPr>
        <w:spacing w:after="120" w:before="0" w:line="276" w:lineRule="auto"/>
        <w:jc w:val="both"/>
      </w:pPr>
      <w:r>
        <w:rPr>
          <w:rFonts w:ascii="Times New Roman" w:hAnsi="Times New Roman" w:cs="Times New Roman"/>
          <w:b w:val="0"/>
          <w:i w:val="0"/>
          <w:sz w:val="22"/>
        </w:rPr>
        <w:t>Aerobic exercise complements but does not replace resistance training for sarcopenia management. A combination of 150 minutes of moderate-intensity aerobic activity per week alongside three resistance training sessions produces better metabolic and body composition outcomes than either modality alone. For patients with severe sarcopenia and very low physical performance scores, exercise should begin with supervised chair-based resistance exercises and progressive walking before advancing to gym-based resistance training. The six-minute walk test result provides a useful baseline for monitoring functional improvement alongside SMI and grip strength.</w:t>
      </w:r>
    </w:p>
    <w:p>
      <w:pPr>
        <w:spacing w:before="120" w:after="120"/>
        <w:ind w:left="432" w:right="432"/>
        <w:jc w:val="left"/>
      </w:pPr>
      <w:r>
        <w:rPr>
          <w:rFonts w:ascii="Times New Roman" w:hAnsi="Times New Roman" w:cs="Times New Roman"/>
          <w:b/>
          <w:i/>
          <w:sz w:val="22"/>
        </w:rPr>
        <w:t>Resistance training three times per week combined with adequate protein is the only intervention that simultaneously rebuilds muscle and reduces HOMA-IR.</w:t>
      </w:r>
    </w:p>
    <w:p>
      <w:pPr>
        <w:keepNext/>
        <w:spacing w:before="240" w:after="120"/>
        <w:jc w:val="left"/>
      </w:pPr>
      <w:r>
        <w:rPr>
          <w:rFonts w:ascii="Arial" w:hAnsi="Arial" w:cs="Arial"/>
          <w:b/>
          <w:sz w:val="26"/>
        </w:rPr>
        <w:t>8.8 — Sarcopenic Obesity — The Most Missed Phenotype</w:t>
      </w:r>
    </w:p>
    <w:p>
      <w:pPr>
        <w:spacing w:after="120" w:before="0" w:line="276" w:lineRule="auto"/>
        <w:jc w:val="both"/>
      </w:pPr>
      <w:r>
        <w:rPr>
          <w:rFonts w:ascii="Times New Roman" w:hAnsi="Times New Roman" w:cs="Times New Roman"/>
          <w:b w:val="0"/>
          <w:i w:val="0"/>
          <w:sz w:val="22"/>
        </w:rPr>
        <w:t>Sarcopenic obesity is the simultaneous presence of excess adiposity and low muscle mass — a combination that produces worse metabolic outcomes than either condition alone. In Indian clinical practice, this phenotype is frequently missed because BMI — which reflects total body mass relative to height — cannot distinguish between fat mass and lean mass. A patient with BMI of 24 to 26 may have visceral fat area above 100 cm squared and SMI below the AWGS cutoff simultaneously — meeting criteria for both central obesity and sarcopenia while appearing clinically normal by standard anthropometric assessment. This phenotype — sometimes called TOFI, thin outside fat inside — is particularly prevalent in Indian adults who are physically inactive, have chronic insulin resistance, and have inadequate protein intake.</w:t>
      </w:r>
    </w:p>
    <w:p>
      <w:pPr>
        <w:spacing w:after="120" w:before="0" w:line="276" w:lineRule="auto"/>
        <w:jc w:val="both"/>
      </w:pPr>
      <w:r>
        <w:rPr>
          <w:rFonts w:ascii="Times New Roman" w:hAnsi="Times New Roman" w:cs="Times New Roman"/>
          <w:b w:val="0"/>
          <w:i w:val="0"/>
          <w:sz w:val="22"/>
        </w:rPr>
        <w:t>Body composition assessment by BIA provides the most practical initial screening for sarcopenic obesity in Indian clinical settings. The combination of SMI below the AWGS cutoff, visceral fat area above 100 cm squared, and phase angle below 5 degrees — where phase angle below 5 is used as an adjunct clinical marker, not a core AWGS diagnostic criterion — identifies patients who require further evaluation and intervention. When BIA results are borderline or when the clinical picture suggests body composition abnormality despite normal BIA findings, DEXA provides definitive assessment of appendicular lean mass, android fat distribution, android to gynoid ratio, and bone mineral density simultaneously. DEXA also allows calculation of fat mass index — fat mass in kilograms divided by height in metres squared — which carries independent metabolic risk significance above 5.5 kg per metre squared, though this threshold comes from European population data and should be applied cautiously to Indian patients pending India-specific normative data.</w:t>
      </w:r>
    </w:p>
    <w:p>
      <w:pPr>
        <w:spacing w:after="120" w:before="0" w:line="276" w:lineRule="auto"/>
        <w:jc w:val="both"/>
      </w:pPr>
      <w:r>
        <w:rPr>
          <w:rFonts w:ascii="Times New Roman" w:hAnsi="Times New Roman" w:cs="Times New Roman"/>
          <w:b w:val="0"/>
          <w:i w:val="0"/>
          <w:sz w:val="22"/>
        </w:rPr>
        <w:t>The treatment of sarcopenic obesity requires simultaneous attention to both components — fat reduction and muscle preservation. Standard calorie restriction and weight loss without resistance training and adequate protein will reduce both fat mass and lean mass, potentially worsening the sarcopenic component while improving the obesity component. Bimagrumab — an investigational monoclonal antibody targeting activin type II receptors, which block myostatin and related negative muscle regulators — has demonstrated in a 75-person metabolic trial that simultaneous fat mass reduction and lean mass increase is pharmacologically achievable. The body composition profile produced by bimagrumab — increased lean mass alongside reduced fat mass — is unusual among current obesity therapies, and combination studies with GLP-1 receptor agonists are underway. Bimagrumab remains investigational and is not yet available for clinical use in India as of 2026.⁸</w:t>
      </w:r>
    </w:p>
    <w:p>
      <w:pPr>
        <w:keepNext/>
        <w:spacing w:before="240" w:after="120"/>
        <w:jc w:val="left"/>
      </w:pPr>
      <w:r>
        <w:rPr>
          <w:rFonts w:ascii="Arial" w:hAnsi="Arial" w:cs="Arial"/>
          <w:b/>
          <w:sz w:val="26"/>
        </w:rPr>
        <w:t>8.9 — The Complete Muscle Assessment Panel</w:t>
      </w:r>
    </w:p>
    <w:p>
      <w:pPr>
        <w:spacing w:after="120" w:before="0" w:line="276" w:lineRule="auto"/>
        <w:jc w:val="both"/>
      </w:pPr>
      <w:r>
        <w:rPr>
          <w:rFonts w:ascii="Times New Roman" w:hAnsi="Times New Roman" w:cs="Times New Roman"/>
          <w:b w:val="0"/>
          <w:i w:val="0"/>
          <w:sz w:val="22"/>
        </w:rPr>
        <w:t>The Dr. Nehru Method muscle assessment panel for patients above 40 years with HOMA-IR above 2.3 proceeds in a stepwise sequence from zero-cost functional tests to laboratory investigations to body composition imaging. Grip strength using a Jamar or equivalent dynamometer and the Timed Up and Go test require only standard clinic equipment and produce immediate results at effectively zero per-test cost after device acquisition. These two tests should be performed at every metabolic clinic visit and serve as the most sensitive early indicators of functional muscle decline. BIA using an InBody or equivalent bioimpedance device provides SMI, visceral fat area, and phase angle at a cost of approximately Rs 500 to 2,000 at diagnostic centres in Hyderabad and should be performed every three months in patients under active sarcopenia management. DEXA should be used to confirm sarcopenia diagnosis when BIA results are borderline, to provide definitive appendicular lean mass measurement, and for annual assessment in confirmed sarcopenic patients. The laboratory panel for sarcopenia evaluation should include HOMA-IR and TyG as primary metabolic markers, C-peptide to assess beta cell reserve, 25-hydroxyvitamin D as Vitamin D deficiency directly impairs muscle function through VDR-mediated mechanisms, B12 as methylcobalamin deficiency causes neuromuscular dysfunction and is particularly prevalent in Indian patients on long-term metformin, ferritin as iron deficiency impairs mitochondrial function and exercise capacity, and morning testosterone in men above 40 years as hypogonadism is a treatable hormonal driver of sarcopenia that is systematically underinvestigated in Indian metabolic practice.</w:t>
      </w:r>
    </w:p>
    <w:p>
      <w:pPr>
        <w:keepNext/>
        <w:spacing w:before="240" w:after="120"/>
        <w:jc w:val="left"/>
      </w:pPr>
      <w:r>
        <w:rPr>
          <w:rFonts w:ascii="Arial" w:hAnsi="Arial" w:cs="Arial"/>
          <w:b/>
          <w:sz w:val="26"/>
        </w:rPr>
        <w:t>Clinical Summary — Chapter 8</w:t>
      </w:r>
    </w:p>
    <w:p>
      <w:pPr>
        <w:spacing w:after="120" w:before="0" w:line="276" w:lineRule="auto"/>
        <w:jc w:val="both"/>
      </w:pPr>
      <w:r>
        <w:rPr>
          <w:rFonts w:ascii="Times New Roman" w:hAnsi="Times New Roman" w:cs="Times New Roman"/>
          <w:b w:val="0"/>
          <w:i w:val="0"/>
          <w:sz w:val="22"/>
        </w:rPr>
        <w:t>• Sarcopenia is defined by AWGS 2019 as low muscle mass plus low muscle strength or low physical performance. SMI below 7.0 men and below 5.4 women by DEXA. SMI below 5.7 women by BIA. Grip below 27.5 men by Indian consensus 2025.</w:t>
      </w:r>
    </w:p>
    <w:p>
      <w:pPr>
        <w:spacing w:after="120" w:before="0" w:line="276" w:lineRule="auto"/>
        <w:jc w:val="both"/>
      </w:pPr>
      <w:r>
        <w:rPr>
          <w:rFonts w:ascii="Times New Roman" w:hAnsi="Times New Roman" w:cs="Times New Roman"/>
          <w:b w:val="0"/>
          <w:i w:val="0"/>
          <w:sz w:val="22"/>
        </w:rPr>
        <w:t>• SMI is calculated as appendicular lean mass divided by height squared. DEXA and BIA cutoffs differ for women and must not be interchanged.</w:t>
      </w:r>
    </w:p>
    <w:p>
      <w:pPr>
        <w:spacing w:after="120" w:before="0" w:line="276" w:lineRule="auto"/>
        <w:jc w:val="both"/>
      </w:pPr>
      <w:r>
        <w:rPr>
          <w:rFonts w:ascii="Times New Roman" w:hAnsi="Times New Roman" w:cs="Times New Roman"/>
          <w:b w:val="0"/>
          <w:i w:val="0"/>
          <w:sz w:val="22"/>
        </w:rPr>
        <w:t>• HOMA-IR above 2.3 impairs muscle protein synthesis through mTORC1 disruption. Sarcopenia worsens insulin resistance by reducing peripheral glucose disposal. The relationship is bidirectional.</w:t>
      </w:r>
    </w:p>
    <w:p>
      <w:pPr>
        <w:spacing w:after="120" w:before="0" w:line="276" w:lineRule="auto"/>
        <w:jc w:val="both"/>
      </w:pPr>
      <w:r>
        <w:rPr>
          <w:rFonts w:ascii="Times New Roman" w:hAnsi="Times New Roman" w:cs="Times New Roman"/>
          <w:b w:val="0"/>
          <w:i w:val="0"/>
          <w:sz w:val="22"/>
        </w:rPr>
        <w:t>• Protein target 1.2 to 1.6g per kg per day for IR patients. 1.6 to 2.0g for confirmed sarcopenia. These are proposed clinical targets — not ICMR mandated thresholds.</w:t>
      </w:r>
    </w:p>
    <w:p>
      <w:pPr>
        <w:spacing w:after="120" w:before="0" w:line="276" w:lineRule="auto"/>
        <w:jc w:val="both"/>
      </w:pPr>
      <w:r>
        <w:rPr>
          <w:rFonts w:ascii="Times New Roman" w:hAnsi="Times New Roman" w:cs="Times New Roman"/>
          <w:b w:val="0"/>
          <w:i w:val="0"/>
          <w:sz w:val="22"/>
        </w:rPr>
        <w:t>• High serum BCAAs are a marker of insulin resistance — not a dietary excess. Treat insulin resistance first. Combine protein with resistance exercise.</w:t>
      </w:r>
    </w:p>
    <w:p>
      <w:pPr>
        <w:spacing w:after="120" w:before="0" w:line="276" w:lineRule="auto"/>
        <w:jc w:val="both"/>
      </w:pPr>
      <w:r>
        <w:rPr>
          <w:rFonts w:ascii="Times New Roman" w:hAnsi="Times New Roman" w:cs="Times New Roman"/>
          <w:b w:val="0"/>
          <w:i w:val="0"/>
          <w:sz w:val="22"/>
        </w:rPr>
        <w:t>• Irisin is confirmed lower in sarcopenia — human meta-analysis 2025. Myostatin inhibits muscle growth — confirmed. Direct beta cell effects of both are experimental only.</w:t>
      </w:r>
    </w:p>
    <w:p>
      <w:pPr>
        <w:spacing w:after="120" w:before="0" w:line="276" w:lineRule="auto"/>
        <w:jc w:val="both"/>
      </w:pPr>
      <w:r>
        <w:rPr>
          <w:rFonts w:ascii="Times New Roman" w:hAnsi="Times New Roman" w:cs="Times New Roman"/>
          <w:b w:val="0"/>
          <w:i w:val="0"/>
          <w:sz w:val="22"/>
        </w:rPr>
        <w:t>• Resistance training three times weekly reduces HOMA-IR — RCT confirmed. Minimum eight weeks before reassessing SMI.</w:t>
      </w:r>
    </w:p>
    <w:p>
      <w:pPr>
        <w:spacing w:after="120" w:before="0" w:line="276" w:lineRule="auto"/>
        <w:jc w:val="both"/>
      </w:pPr>
      <w:r>
        <w:rPr>
          <w:rFonts w:ascii="Times New Roman" w:hAnsi="Times New Roman" w:cs="Times New Roman"/>
          <w:b w:val="0"/>
          <w:i w:val="0"/>
          <w:sz w:val="22"/>
        </w:rPr>
        <w:t>• Sarcopenic obesity — low muscle plus high fat at normal BMI — TOFI phenotype. BIA identifies it. DEXA confirms it. Standard BMI misses it entirely.</w:t>
      </w:r>
    </w:p>
    <w:p>
      <w:pPr>
        <w:spacing w:after="120" w:before="0" w:line="276" w:lineRule="auto"/>
        <w:jc w:val="both"/>
      </w:pPr>
      <w:r>
        <w:rPr>
          <w:rFonts w:ascii="Times New Roman" w:hAnsi="Times New Roman" w:cs="Times New Roman"/>
          <w:b w:val="0"/>
          <w:i w:val="0"/>
          <w:sz w:val="22"/>
        </w:rPr>
        <w:t>• Bimagrumab — investigational anti-myostatin antibody — increased lean mass alongside fat reduction in N=75 metabolic trial — not yet available India 2026.</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The AWGS 2019 SMI cutoff for women using DEXA is:</w:t>
      </w:r>
    </w:p>
    <w:p>
      <w:pPr>
        <w:spacing w:after="20"/>
        <w:ind w:left="432"/>
      </w:pPr>
      <w:r>
        <w:rPr>
          <w:rFonts w:ascii="Times New Roman" w:hAnsi="Times New Roman" w:cs="Times New Roman"/>
          <w:sz w:val="22"/>
        </w:rPr>
        <w:t>A. Below 5.7 kg/m²</w:t>
      </w:r>
    </w:p>
    <w:p>
      <w:pPr>
        <w:spacing w:after="20"/>
        <w:ind w:left="432"/>
      </w:pPr>
      <w:r>
        <w:rPr>
          <w:rFonts w:ascii="Times New Roman" w:hAnsi="Times New Roman" w:cs="Times New Roman"/>
          <w:sz w:val="22"/>
        </w:rPr>
        <w:t>B. Below 5.4 kg/m²</w:t>
      </w:r>
    </w:p>
    <w:p>
      <w:pPr>
        <w:spacing w:after="20"/>
        <w:ind w:left="432"/>
      </w:pPr>
      <w:r>
        <w:rPr>
          <w:rFonts w:ascii="Times New Roman" w:hAnsi="Times New Roman" w:cs="Times New Roman"/>
          <w:sz w:val="22"/>
        </w:rPr>
        <w:t>C. Below 6.0 kg/m²</w:t>
      </w:r>
    </w:p>
    <w:p>
      <w:pPr>
        <w:spacing w:after="20"/>
        <w:ind w:left="432"/>
      </w:pPr>
      <w:r>
        <w:rPr>
          <w:rFonts w:ascii="Times New Roman" w:hAnsi="Times New Roman" w:cs="Times New Roman"/>
          <w:sz w:val="22"/>
        </w:rPr>
        <w:t>D. Below 4.9 kg/m²</w:t>
      </w:r>
    </w:p>
    <w:p>
      <w:pPr>
        <w:spacing w:after="40"/>
        <w:jc w:val="left"/>
      </w:pPr>
      <w:r>
        <w:rPr>
          <w:rFonts w:ascii="Times New Roman" w:hAnsi="Times New Roman" w:cs="Times New Roman"/>
          <w:b w:val="0"/>
          <w:sz w:val="22"/>
        </w:rPr>
        <w:t>2. Which myokine is confirmed lower in sarcopenia by human observational data and a 2025 meta-analysis?</w:t>
      </w:r>
    </w:p>
    <w:p>
      <w:pPr>
        <w:spacing w:after="20"/>
        <w:ind w:left="432"/>
      </w:pPr>
      <w:r>
        <w:rPr>
          <w:rFonts w:ascii="Times New Roman" w:hAnsi="Times New Roman" w:cs="Times New Roman"/>
          <w:sz w:val="22"/>
        </w:rPr>
        <w:t>A. Myostatin</w:t>
      </w:r>
    </w:p>
    <w:p>
      <w:pPr>
        <w:spacing w:after="20"/>
        <w:ind w:left="432"/>
      </w:pPr>
      <w:r>
        <w:rPr>
          <w:rFonts w:ascii="Times New Roman" w:hAnsi="Times New Roman" w:cs="Times New Roman"/>
          <w:sz w:val="22"/>
        </w:rPr>
        <w:t>B. IL-6</w:t>
      </w:r>
    </w:p>
    <w:p>
      <w:pPr>
        <w:spacing w:after="20"/>
        <w:ind w:left="432"/>
      </w:pPr>
      <w:r>
        <w:rPr>
          <w:rFonts w:ascii="Times New Roman" w:hAnsi="Times New Roman" w:cs="Times New Roman"/>
          <w:sz w:val="22"/>
        </w:rPr>
        <w:t>C. Irisin</w:t>
      </w:r>
    </w:p>
    <w:p>
      <w:pPr>
        <w:spacing w:after="20"/>
        <w:ind w:left="432"/>
      </w:pPr>
      <w:r>
        <w:rPr>
          <w:rFonts w:ascii="Times New Roman" w:hAnsi="Times New Roman" w:cs="Times New Roman"/>
          <w:sz w:val="22"/>
        </w:rPr>
        <w:t>D. Apelin</w:t>
      </w:r>
    </w:p>
    <w:p>
      <w:pPr>
        <w:spacing w:after="40"/>
        <w:jc w:val="left"/>
      </w:pPr>
      <w:r>
        <w:rPr>
          <w:rFonts w:ascii="Times New Roman" w:hAnsi="Times New Roman" w:cs="Times New Roman"/>
          <w:b w:val="0"/>
          <w:sz w:val="22"/>
        </w:rPr>
        <w:t>3. High serum BCAAs in insulin-resistant patients represent:</w:t>
      </w:r>
    </w:p>
    <w:p>
      <w:pPr>
        <w:spacing w:after="20"/>
        <w:ind w:left="432"/>
      </w:pPr>
      <w:r>
        <w:rPr>
          <w:rFonts w:ascii="Times New Roman" w:hAnsi="Times New Roman" w:cs="Times New Roman"/>
          <w:sz w:val="22"/>
        </w:rPr>
        <w:t>A. Excessive dietary protein intake</w:t>
      </w:r>
    </w:p>
    <w:p>
      <w:pPr>
        <w:spacing w:after="20"/>
        <w:ind w:left="432"/>
      </w:pPr>
      <w:r>
        <w:rPr>
          <w:rFonts w:ascii="Times New Roman" w:hAnsi="Times New Roman" w:cs="Times New Roman"/>
          <w:sz w:val="22"/>
        </w:rPr>
        <w:t>B. A marker of impaired muscle amino acid uptake</w:t>
      </w:r>
    </w:p>
    <w:p>
      <w:pPr>
        <w:spacing w:after="20"/>
        <w:ind w:left="432"/>
      </w:pPr>
      <w:r>
        <w:rPr>
          <w:rFonts w:ascii="Times New Roman" w:hAnsi="Times New Roman" w:cs="Times New Roman"/>
          <w:sz w:val="22"/>
        </w:rPr>
        <w:t>C. Direct cause of beta cell toxicity</w:t>
      </w:r>
    </w:p>
    <w:p>
      <w:pPr>
        <w:spacing w:after="20"/>
        <w:ind w:left="432"/>
      </w:pPr>
      <w:r>
        <w:rPr>
          <w:rFonts w:ascii="Times New Roman" w:hAnsi="Times New Roman" w:cs="Times New Roman"/>
          <w:sz w:val="22"/>
        </w:rPr>
        <w:t>D. A sign of normal metabolic health</w:t>
      </w:r>
    </w:p>
    <w:p>
      <w:pPr>
        <w:spacing w:after="40"/>
        <w:jc w:val="left"/>
      </w:pPr>
      <w:r>
        <w:rPr>
          <w:rFonts w:ascii="Times New Roman" w:hAnsi="Times New Roman" w:cs="Times New Roman"/>
          <w:b w:val="0"/>
          <w:sz w:val="22"/>
        </w:rPr>
        <w:t>4. The Indian Sarcopenia Consensus 2025 grip cutoff for men is:</w:t>
      </w:r>
    </w:p>
    <w:p>
      <w:pPr>
        <w:spacing w:after="20"/>
        <w:ind w:left="432"/>
      </w:pPr>
      <w:r>
        <w:rPr>
          <w:rFonts w:ascii="Times New Roman" w:hAnsi="Times New Roman" w:cs="Times New Roman"/>
          <w:sz w:val="22"/>
        </w:rPr>
        <w:t>A. Below 30 kg</w:t>
      </w:r>
    </w:p>
    <w:p>
      <w:pPr>
        <w:spacing w:after="20"/>
        <w:ind w:left="432"/>
      </w:pPr>
      <w:r>
        <w:rPr>
          <w:rFonts w:ascii="Times New Roman" w:hAnsi="Times New Roman" w:cs="Times New Roman"/>
          <w:sz w:val="22"/>
        </w:rPr>
        <w:t>B. Below 28 kg</w:t>
      </w:r>
    </w:p>
    <w:p>
      <w:pPr>
        <w:spacing w:after="20"/>
        <w:ind w:left="432"/>
      </w:pPr>
      <w:r>
        <w:rPr>
          <w:rFonts w:ascii="Times New Roman" w:hAnsi="Times New Roman" w:cs="Times New Roman"/>
          <w:sz w:val="22"/>
        </w:rPr>
        <w:t>C. Below 27.5 kg</w:t>
      </w:r>
    </w:p>
    <w:p>
      <w:pPr>
        <w:spacing w:after="20"/>
        <w:ind w:left="432"/>
      </w:pPr>
      <w:r>
        <w:rPr>
          <w:rFonts w:ascii="Times New Roman" w:hAnsi="Times New Roman" w:cs="Times New Roman"/>
          <w:sz w:val="22"/>
        </w:rPr>
        <w:t>D. Below 25 kg</w:t>
      </w:r>
    </w:p>
    <w:p>
      <w:pPr>
        <w:spacing w:after="40"/>
        <w:jc w:val="left"/>
      </w:pPr>
      <w:r>
        <w:rPr>
          <w:rFonts w:ascii="Times New Roman" w:hAnsi="Times New Roman" w:cs="Times New Roman"/>
          <w:b w:val="0"/>
          <w:sz w:val="22"/>
        </w:rPr>
        <w:t>5. Sarcopenic obesity in a patient with normal BMI is best identified by:</w:t>
      </w:r>
    </w:p>
    <w:p>
      <w:pPr>
        <w:spacing w:after="20"/>
        <w:ind w:left="432"/>
      </w:pPr>
      <w:r>
        <w:rPr>
          <w:rFonts w:ascii="Times New Roman" w:hAnsi="Times New Roman" w:cs="Times New Roman"/>
          <w:sz w:val="22"/>
        </w:rPr>
        <w:t>A. BMI and waist circumference alone</w:t>
      </w:r>
    </w:p>
    <w:p>
      <w:pPr>
        <w:spacing w:after="20"/>
        <w:ind w:left="432"/>
      </w:pPr>
      <w:r>
        <w:rPr>
          <w:rFonts w:ascii="Times New Roman" w:hAnsi="Times New Roman" w:cs="Times New Roman"/>
          <w:sz w:val="22"/>
        </w:rPr>
        <w:t>B. BIA or DEXA body composition assessment</w:t>
      </w:r>
    </w:p>
    <w:p>
      <w:pPr>
        <w:spacing w:after="20"/>
        <w:ind w:left="432"/>
      </w:pPr>
      <w:r>
        <w:rPr>
          <w:rFonts w:ascii="Times New Roman" w:hAnsi="Times New Roman" w:cs="Times New Roman"/>
          <w:sz w:val="22"/>
        </w:rPr>
        <w:t>C. Serum myostatin level</w:t>
      </w:r>
    </w:p>
    <w:p>
      <w:pPr>
        <w:spacing w:after="20"/>
        <w:ind w:left="432"/>
      </w:pPr>
      <w:r>
        <w:rPr>
          <w:rFonts w:ascii="Times New Roman" w:hAnsi="Times New Roman" w:cs="Times New Roman"/>
          <w:sz w:val="22"/>
        </w:rPr>
        <w:t>D. HbA1c and fasting glucose</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B  4. C  5.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Chen LK et al. Asian Working Group for Sarcopenia 2019 Consensus Update. J Am Med Dir Assoc. 2020;21(3):300-307. PubMed 32033882.</w:t>
      </w:r>
    </w:p>
    <w:p>
      <w:pPr>
        <w:spacing w:after="40"/>
        <w:jc w:val="left"/>
      </w:pPr>
      <w:r>
        <w:rPr>
          <w:rFonts w:ascii="Times New Roman" w:hAnsi="Times New Roman" w:cs="Times New Roman"/>
          <w:sz w:val="19"/>
        </w:rPr>
        <w:t>2. Indian Sarcopenia Consensus — Modified Delphi Method. PMC11955740. Grip cutoff men below 27.5 kg — women below 18 kg.</w:t>
      </w:r>
    </w:p>
    <w:p>
      <w:pPr>
        <w:spacing w:after="40"/>
        <w:jc w:val="left"/>
      </w:pPr>
      <w:r>
        <w:rPr>
          <w:rFonts w:ascii="Times New Roman" w:hAnsi="Times New Roman" w:cs="Times New Roman"/>
          <w:sz w:val="19"/>
        </w:rPr>
        <w:t>3. Irisin lower in sarcopenia — human observational studies and 2025 meta-analysis. PubMed 37728785.</w:t>
      </w:r>
    </w:p>
    <w:p>
      <w:pPr>
        <w:spacing w:after="40"/>
        <w:jc w:val="left"/>
      </w:pPr>
      <w:r>
        <w:rPr>
          <w:rFonts w:ascii="Times New Roman" w:hAnsi="Times New Roman" w:cs="Times New Roman"/>
          <w:sz w:val="19"/>
        </w:rPr>
        <w:t>4. Myostatin as negative regulator of skeletal muscle mass — confirmed human and experimental. PMC4502935.</w:t>
      </w:r>
    </w:p>
    <w:p>
      <w:pPr>
        <w:spacing w:after="40"/>
        <w:jc w:val="left"/>
      </w:pPr>
      <w:r>
        <w:rPr>
          <w:rFonts w:ascii="Times New Roman" w:hAnsi="Times New Roman" w:cs="Times New Roman"/>
          <w:sz w:val="19"/>
        </w:rPr>
        <w:t>5. Wang TJ et al. Metabolite profiles and the risk of developing diabetes. Nature Medicine. 2011;17(4):448-453. N=2,422.</w:t>
      </w:r>
    </w:p>
    <w:p>
      <w:pPr>
        <w:spacing w:after="40"/>
        <w:jc w:val="left"/>
      </w:pPr>
      <w:r>
        <w:rPr>
          <w:rFonts w:ascii="Times New Roman" w:hAnsi="Times New Roman" w:cs="Times New Roman"/>
          <w:sz w:val="19"/>
        </w:rPr>
        <w:t>6. IL-6 acute exercise response versus chronic inflammatory elevation. PubMed 17242490.</w:t>
      </w:r>
    </w:p>
    <w:p>
      <w:pPr>
        <w:spacing w:after="40"/>
        <w:jc w:val="left"/>
      </w:pPr>
      <w:r>
        <w:rPr>
          <w:rFonts w:ascii="Times New Roman" w:hAnsi="Times New Roman" w:cs="Times New Roman"/>
          <w:sz w:val="19"/>
        </w:rPr>
        <w:t>7. Resistance training and HOMA-IR reduction — RCT evidence. PubMed 32641925.</w:t>
      </w:r>
    </w:p>
    <w:p>
      <w:pPr>
        <w:spacing w:after="40"/>
        <w:jc w:val="left"/>
      </w:pPr>
      <w:r>
        <w:rPr>
          <w:rFonts w:ascii="Times New Roman" w:hAnsi="Times New Roman" w:cs="Times New Roman"/>
          <w:sz w:val="19"/>
        </w:rPr>
        <w:t>8. Heymsfield SB et al. Bimagrumab — effects on body composition in overweight and obese adults. JAMA Network Open. 2021. N=75. PubMed 33074327.</w:t>
      </w:r>
    </w:p>
    <w:p>
      <w:pPr>
        <w:spacing w:after="40"/>
        <w:jc w:val="left"/>
      </w:pPr>
      <w:r>
        <w:rPr>
          <w:rFonts w:ascii="Times New Roman" w:hAnsi="Times New Roman" w:cs="Times New Roman"/>
          <w:sz w:val="19"/>
        </w:rPr>
        <w:t>9. ESPEN EASO Consensus on Sarcopenic Obesity 2022 — diagnostic criteria.</w:t>
      </w:r>
    </w:p>
    <w:p>
      <w:pPr>
        <w:spacing w:after="40"/>
        <w:jc w:val="left"/>
      </w:pPr>
      <w:r>
        <w:rPr>
          <w:rFonts w:ascii="Times New Roman" w:hAnsi="Times New Roman" w:cs="Times New Roman"/>
          <w:sz w:val="19"/>
        </w:rPr>
        <w:t>10. AWGS 2019 — BIA SMI women cutoff 5.7 kg/m² — DEXA women cutoff 5.4 kg/m² — distinction confirmed. PubMed 32033882.</w:t>
      </w:r>
    </w:p>
    <w:p>
      <w:pPr>
        <w:spacing w:after="40"/>
        <w:jc w:val="left"/>
      </w:pPr>
      <w:r>
        <w:rPr>
          <w:rFonts w:ascii="Times New Roman" w:hAnsi="Times New Roman" w:cs="Times New Roman"/>
          <w:sz w:val="19"/>
        </w:rPr>
        <w:t>11. Nehru MS et al. HOMA-IR India-specific cutoff above 2.3. Int J Med. 2026;8(2):977-983.</w:t>
      </w:r>
    </w:p>
    <w:p>
      <w:pPr>
        <w:spacing w:after="40"/>
        <w:jc w:val="left"/>
      </w:pPr>
      <w:r>
        <w:rPr>
          <w:rFonts w:ascii="Times New Roman" w:hAnsi="Times New Roman" w:cs="Times New Roman"/>
          <w:sz w:val="19"/>
        </w:rPr>
        <w:t>12. Nehru MS et al. TyG Index India-specific cutoff above 8.82. IJCPR. 2026;18(2):826-833.</w:t>
      </w:r>
    </w:p>
    <w:p>
      <w:r>
        <w:br w:type="page"/>
      </w:r>
    </w:p>
    <w:p>
      <w:pPr>
        <w:jc w:val="left"/>
      </w:pPr>
      <w:r>
        <w:rPr>
          <w:rFonts w:ascii="Arial" w:hAnsi="Arial" w:cs="Arial"/>
          <w:b/>
          <w:sz w:val="26"/>
        </w:rPr>
        <w:t>CHAPTER 9</w:t>
      </w:r>
    </w:p>
    <w:p>
      <w:pPr>
        <w:keepNext/>
        <w:spacing w:before="360" w:after="120"/>
        <w:jc w:val="left"/>
      </w:pPr>
      <w:r>
        <w:rPr>
          <w:rFonts w:ascii="Arial" w:hAnsi="Arial" w:cs="Arial"/>
          <w:b/>
          <w:sz w:val="32"/>
        </w:rPr>
        <w:t>The Gut-Liver-Pancreas Axis</w:t>
      </w:r>
    </w:p>
    <w:p>
      <w:pPr>
        <w:keepNext/>
        <w:spacing w:before="240" w:after="120"/>
        <w:jc w:val="left"/>
      </w:pPr>
      <w:r>
        <w:rPr>
          <w:rFonts w:ascii="Arial" w:hAnsi="Arial" w:cs="Arial"/>
          <w:b/>
          <w:sz w:val="26"/>
        </w:rPr>
        <w:t>The Gut–Liver–Pancreas Axis: A Major Upstream Regulator of Metabolic Health</w:t>
      </w:r>
    </w:p>
    <w:p>
      <w:pPr>
        <w:keepNext/>
        <w:spacing w:before="240" w:after="120"/>
        <w:jc w:val="left"/>
      </w:pPr>
      <w:r>
        <w:rPr>
          <w:rFonts w:ascii="Arial" w:hAnsi="Arial" w:cs="Arial"/>
          <w:b/>
          <w:sz w:val="26"/>
        </w:rPr>
        <w:t>Section 1 — Introduction</w:t>
      </w:r>
    </w:p>
    <w:p>
      <w:pPr>
        <w:spacing w:after="120" w:before="0" w:line="276" w:lineRule="auto"/>
        <w:jc w:val="both"/>
      </w:pPr>
      <w:r>
        <w:rPr>
          <w:rFonts w:ascii="Times New Roman" w:hAnsi="Times New Roman" w:cs="Times New Roman"/>
          <w:b w:val="0"/>
          <w:i w:val="0"/>
          <w:sz w:val="22"/>
        </w:rPr>
        <w:t>Clinicians trained in the classical model of type 2 diabetes mellitus view the pancreatic beta cell as the central protagonist of metabolic failure. Insulin deficiency, progressive beta cell exhaustion, and glucose toxicity have dominated the teaching curriculum for decades. While these mechanisms remain fundamentally important, they represent a downstream consequence rather than the initiating event in the majority of patients presenting in clinical practice today.</w:t>
      </w:r>
    </w:p>
    <w:p>
      <w:pPr>
        <w:spacing w:after="120" w:before="0" w:line="276" w:lineRule="auto"/>
        <w:jc w:val="both"/>
      </w:pPr>
      <w:r>
        <w:rPr>
          <w:rFonts w:ascii="Times New Roman" w:hAnsi="Times New Roman" w:cs="Times New Roman"/>
          <w:b w:val="0"/>
          <w:i w:val="0"/>
          <w:sz w:val="22"/>
        </w:rPr>
        <w:t>The gut–liver–pancreas axis has emerged as one of the most significant upstream regulators of whole-body metabolic health. This is not a simple linear pathway. It is an integrated, bidirectional network involving endocrine signalling, bacterial metabolite production, immune activation, portal nutrient sensing, and hepatic metabolic programming. Understanding this axis is not an academic luxury — it is essential clinical knowledge for any practitioner managing insulin resistance, type 2 diabetes, obesity, or non-alcoholic fatty liver disease.</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9.1 ]</w:t>
      </w:r>
    </w:p>
    <w:p>
      <w:pPr>
        <w:spacing w:before="40" w:after="200"/>
        <w:jc w:val="center"/>
      </w:pPr>
      <w:r>
        <w:rPr>
          <w:rFonts w:ascii="Times New Roman" w:hAnsi="Times New Roman" w:cs="Times New Roman"/>
          <w:b w:val="0"/>
          <w:i/>
          <w:sz w:val="18"/>
        </w:rPr>
        <w:t>Figure 9.1 — The gut-liver-pancreas axis and portal circulation.</w:t>
      </w:r>
    </w:p>
    <w:p>
      <w:pPr>
        <w:spacing w:after="120" w:before="0" w:line="276" w:lineRule="auto"/>
        <w:jc w:val="both"/>
      </w:pPr>
      <w:r>
        <w:rPr>
          <w:rFonts w:ascii="Times New Roman" w:hAnsi="Times New Roman" w:cs="Times New Roman"/>
          <w:b w:val="0"/>
          <w:i w:val="0"/>
          <w:sz w:val="22"/>
        </w:rPr>
        <w:t>A critical framing principle must be stated clearly at the outset: the gut–liver–pancreas axis is a major upstream regulator — it is not the sole cause of diabetes or metabolic syndrome. The pancreas is not merely a passive victim of gut dysfunction. It is a dynamic organ that participates actively in metabolic regulation and deteriorates under sustained metabolic stress regardless of whether gut signals are the primary driver. Nor is this a single pathway. Multiple mechanisms operate simultaneously, reinforcing one another in a web of interaction that must be appreciated in its totality.</w:t>
      </w:r>
    </w:p>
    <w:p>
      <w:pPr>
        <w:spacing w:after="120" w:before="0" w:line="276" w:lineRule="auto"/>
        <w:jc w:val="both"/>
      </w:pPr>
      <w:r>
        <w:rPr>
          <w:rFonts w:ascii="Times New Roman" w:hAnsi="Times New Roman" w:cs="Times New Roman"/>
          <w:b w:val="0"/>
          <w:i w:val="0"/>
          <w:sz w:val="22"/>
        </w:rPr>
        <w:t>The Dr. Nehru Method of clinical metabolic assessment situates the gut–liver–pancreas axis as one of the eight major upstream triggers in the Indian Health Constitution framework — specifically converging on the pathways of insulin resistance as quantified by HOMA-IR and the Triglyceride-Glucose Index. This chapter delineates the anatomical, endocrine, microbial, and nutritional dimensions of this axis and their relevance to the clinical management of metabolic disease in the Indian population.</w:t>
      </w:r>
    </w:p>
    <w:p>
      <w:pPr>
        <w:keepNext/>
        <w:spacing w:before="240" w:after="120"/>
        <w:jc w:val="left"/>
      </w:pPr>
      <w:r>
        <w:rPr>
          <w:rFonts w:ascii="Arial" w:hAnsi="Arial" w:cs="Arial"/>
          <w:b/>
          <w:sz w:val="26"/>
        </w:rPr>
        <w:t>Section 2 — Portal Circulation Anatomy: Why the Liver Sees Everything First</w:t>
      </w:r>
    </w:p>
    <w:p>
      <w:pPr>
        <w:spacing w:after="120" w:before="0" w:line="276" w:lineRule="auto"/>
        <w:jc w:val="both"/>
      </w:pPr>
      <w:r>
        <w:rPr>
          <w:rFonts w:ascii="Times New Roman" w:hAnsi="Times New Roman" w:cs="Times New Roman"/>
          <w:b w:val="0"/>
          <w:i w:val="0"/>
          <w:sz w:val="22"/>
        </w:rPr>
        <w:t>To appreciate the primacy of the liver in metabolic regulation, one must begin with anatomy. The venous drainage of the gastrointestinal tract — from the stomach, small intestine, large intestine, pancreas, and spleen — converges into the portal vein. This single venous conduit delivers the entirety of gut-absorbed nutrients, gut-derived hormones, bacterial metabolites, and microbial translocation products directly to the hepatic sinusoids before they enter the systemic circulation.</w:t>
      </w:r>
    </w:p>
    <w:p>
      <w:pPr>
        <w:spacing w:after="120" w:before="0" w:line="276" w:lineRule="auto"/>
        <w:jc w:val="both"/>
      </w:pPr>
      <w:r>
        <w:rPr>
          <w:rFonts w:ascii="Times New Roman" w:hAnsi="Times New Roman" w:cs="Times New Roman"/>
          <w:b w:val="0"/>
          <w:i w:val="0"/>
          <w:sz w:val="22"/>
        </w:rPr>
        <w:t>The liver is therefore the first major filter for gut-derived signals. Every meal consumed by a patient results in a portal surge — a bolus delivery of glucose, amino acids, short-chain fatty acids, gut hormones, bacterial lipopolysaccharide fragments, and other bioactive molecules arriving at hepatic parenchymal cells before any other organ is exposed. The liver must process, respond to, and often detoxify these signals within minutes.</w:t>
      </w:r>
    </w:p>
    <w:p>
      <w:pPr>
        <w:spacing w:after="120" w:before="0" w:line="276" w:lineRule="auto"/>
        <w:jc w:val="both"/>
      </w:pPr>
      <w:r>
        <w:rPr>
          <w:rFonts w:ascii="Times New Roman" w:hAnsi="Times New Roman" w:cs="Times New Roman"/>
          <w:b w:val="0"/>
          <w:i w:val="0"/>
          <w:sz w:val="22"/>
        </w:rPr>
        <w:t>There is one important anatomical exception that is frequently overlooked in clinical teaching. Dietary lipids — triglycerides, phospholipids, and fat-soluble vitamins absorbed in the small intestine — are not transported via the portal vein. They are packaged into chylomicrons within intestinal epithelial cells and secreted into the mesenteric lymphatics. These chylomicrons travel through the thoracic duct and enter the systemic circulation via the left subclavian vein, bypassing hepatic first-pass metabolism. This has important clinical implications: postprandial hypertriglyceridaemia and chylomicronaemia arise from lymphatic rather than portal lipid transport. The liver encounters these lipids only after lipoprotein lipase has partially hydrolysed the chylomicrons to form chylomicron remnants.</w:t>
      </w:r>
    </w:p>
    <w:p>
      <w:pPr>
        <w:spacing w:after="120" w:before="0" w:line="276" w:lineRule="auto"/>
        <w:jc w:val="both"/>
      </w:pPr>
      <w:r>
        <w:rPr>
          <w:rFonts w:ascii="Times New Roman" w:hAnsi="Times New Roman" w:cs="Times New Roman"/>
          <w:b w:val="0"/>
          <w:i w:val="0"/>
          <w:sz w:val="22"/>
        </w:rPr>
        <w:t>Understanding this anatomical architecture explains why the liver occupies its central position in the metabolic axis. Hepatic insulin resistance — the inability of insulin to suppress hepatic glucose production — is one of the earliest measurable metabolic defects in patients with insulin resistance. The TyG Index above 8.82 on the natural logarithm scale, as validated in published Indian cohorts by Nehru MS et al. in IJCPR 2026, serves as an operational proxy marker of hepatic and systemic insulin resistance in clinical practice.</w:t>
      </w:r>
    </w:p>
    <w:p>
      <w:pPr>
        <w:spacing w:after="120" w:before="0" w:line="276" w:lineRule="auto"/>
        <w:jc w:val="both"/>
      </w:pPr>
      <w:r>
        <w:rPr>
          <w:rFonts w:ascii="Times New Roman" w:hAnsi="Times New Roman" w:cs="Times New Roman"/>
          <w:b w:val="0"/>
          <w:i w:val="0"/>
          <w:sz w:val="22"/>
        </w:rPr>
        <w:t>Clinical Insight: Dietary fats travel via lymphatics — not portal vein. Postprandial hypertriglyceridaemia reflects chylomicron load, not portal lipid delivery. This distinction matters when counselling patients on meal composition and postprandial glucose versus lipid management.</w:t>
      </w:r>
    </w:p>
    <w:p>
      <w:pPr>
        <w:keepNext/>
        <w:spacing w:before="240" w:after="120"/>
        <w:jc w:val="left"/>
      </w:pPr>
      <w:r>
        <w:rPr>
          <w:rFonts w:ascii="Arial" w:hAnsi="Arial" w:cs="Arial"/>
          <w:b/>
          <w:sz w:val="26"/>
        </w:rPr>
        <w:t>Section 3 — The Incretin System: Gut-Derived Amplification of Insulin Secretion</w:t>
      </w:r>
    </w:p>
    <w:p>
      <w:pPr>
        <w:spacing w:after="120" w:before="0" w:line="276" w:lineRule="auto"/>
        <w:jc w:val="both"/>
      </w:pPr>
      <w:r>
        <w:rPr>
          <w:rFonts w:ascii="Times New Roman" w:hAnsi="Times New Roman" w:cs="Times New Roman"/>
          <w:b w:val="0"/>
          <w:i w:val="0"/>
          <w:sz w:val="22"/>
        </w:rPr>
        <w:t>The incretin effect is one of the most clinically important and therapeutically exploited phenomena in modern diabetology. The term describes the observation that oral glucose elicits a substantially greater insulin secretory response than the same quantity of glucose administered intravenously. The difference — attributable to gut-derived hormones released in response to nutrient ingestion — accounts for approximately half to two-thirds of total postprandial insulin secretion in healthy individuals. This is high-grade evidence, well established through decades of metabolic physiology research.</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9.2 ]</w:t>
      </w:r>
    </w:p>
    <w:p>
      <w:pPr>
        <w:spacing w:before="40" w:after="200"/>
        <w:jc w:val="center"/>
      </w:pPr>
      <w:r>
        <w:rPr>
          <w:rFonts w:ascii="Times New Roman" w:hAnsi="Times New Roman" w:cs="Times New Roman"/>
          <w:b w:val="0"/>
          <w:i/>
          <w:sz w:val="18"/>
        </w:rPr>
        <w:t>Figure 9.2 — Incretin signalling and the gut microbiome in metabolic regulation.</w:t>
      </w:r>
    </w:p>
    <w:p>
      <w:pPr>
        <w:spacing w:after="120" w:before="0" w:line="276" w:lineRule="auto"/>
        <w:jc w:val="both"/>
      </w:pPr>
      <w:r>
        <w:rPr>
          <w:rFonts w:ascii="Times New Roman" w:hAnsi="Times New Roman" w:cs="Times New Roman"/>
          <w:b w:val="0"/>
          <w:i w:val="0"/>
          <w:sz w:val="22"/>
        </w:rPr>
        <w:t>Two hormones are principally responsible for the incretin effect:</w:t>
      </w:r>
    </w:p>
    <w:p>
      <w:pPr>
        <w:spacing w:after="120" w:before="0" w:line="276" w:lineRule="auto"/>
        <w:jc w:val="both"/>
      </w:pPr>
      <w:r>
        <w:rPr>
          <w:rFonts w:ascii="Times New Roman" w:hAnsi="Times New Roman" w:cs="Times New Roman"/>
          <w:b w:val="0"/>
          <w:i w:val="0"/>
          <w:sz w:val="22"/>
        </w:rPr>
        <w:t>Glucagon-Like Peptide-1 (GLP-1) is secreted by L cells located predominantly in the distal ileum and colon, although L cells are distributed throughout the gut. GLP-1 is released within minutes of nutrient exposure — particularly in response to carbohydrates and fats — and acts on pancreatic beta cells to augment glucose-dependent insulin secretion. The critical word is glucose-dependent: GLP-1 enhances insulin release only when blood glucose is elevated, providing an intrinsic safety mechanism against hypoglycaemia. GLP-1 additionally suppresses glucagon secretion, delays gastric emptying, and promotes satiety through central nervous system signalling.</w:t>
      </w:r>
    </w:p>
    <w:p>
      <w:pPr>
        <w:spacing w:after="120" w:before="0" w:line="276" w:lineRule="auto"/>
        <w:jc w:val="both"/>
      </w:pPr>
      <w:r>
        <w:rPr>
          <w:rFonts w:ascii="Times New Roman" w:hAnsi="Times New Roman" w:cs="Times New Roman"/>
          <w:b w:val="0"/>
          <w:i w:val="0"/>
          <w:sz w:val="22"/>
        </w:rPr>
        <w:t>Glucose-Dependent Insulinotropic Peptide (GIP) is secreted by K cells located in the duodenum and jejunum. GIP was the first incretin hormone identified and shares with GLP-1 the property of glucose-dependent insulin stimulation. However, in individuals with established type 2 diabetes, the GIP response is often preserved while the GLP-1 response is attenuated — a finding that partly explains why GLP-1 receptor agonists have proven more effective as therapeutic agents than GIP agonists alone in this population.</w:t>
      </w:r>
    </w:p>
    <w:p>
      <w:pPr>
        <w:spacing w:after="120" w:before="0" w:line="276" w:lineRule="auto"/>
        <w:jc w:val="both"/>
      </w:pPr>
      <w:r>
        <w:rPr>
          <w:rFonts w:ascii="Times New Roman" w:hAnsi="Times New Roman" w:cs="Times New Roman"/>
          <w:b w:val="0"/>
          <w:i w:val="0"/>
          <w:sz w:val="22"/>
        </w:rPr>
        <w:t>The clinical importance of the incretin system extends beyond pharmacology. When gut anatomy is disrupted — as in bariatric surgery, small intestinal disease, surgical resection, or severe dysbiosis — incretin secretion is altered. Patients with rapid gastric emptying may have exaggerated GLP-1 responses and postprandial hypoglycaemia. Those with proximal gut disease may have impaired GIP secretion. These nuances are directly relevant to the management of diabetic patients with concurrent gastrointestinal pathology.</w:t>
      </w:r>
    </w:p>
    <w:p>
      <w:pPr>
        <w:spacing w:after="120" w:before="0" w:line="276" w:lineRule="auto"/>
        <w:jc w:val="both"/>
      </w:pPr>
      <w:r>
        <w:rPr>
          <w:rFonts w:ascii="Times New Roman" w:hAnsi="Times New Roman" w:cs="Times New Roman"/>
          <w:b w:val="0"/>
          <w:i w:val="0"/>
          <w:sz w:val="22"/>
        </w:rPr>
        <w:t>From a pharmacological standpoint, GLP-1 receptor agonists — including liraglutide, semaglutide, and dulaglutide — represent the most direct translation of incretin physiology into clinical therapeutics. Their efficacy in reducing HbA1c, body weight, and cardiovascular events is now supported by robust trial evidence. The mechanism of this drug class is not pharmacological novelty — it is restoration and amplification of a physiological gut-derived signal that is diminished in the setting of type 2 diabetes.</w:t>
      </w:r>
    </w:p>
    <w:p>
      <w:pPr>
        <w:keepNext/>
        <w:spacing w:before="240" w:after="120"/>
        <w:jc w:val="left"/>
      </w:pPr>
      <w:r>
        <w:rPr>
          <w:rFonts w:ascii="Arial" w:hAnsi="Arial" w:cs="Arial"/>
          <w:b/>
          <w:sz w:val="26"/>
        </w:rPr>
        <w:t>Section 4 — Gut Microbiome and Insulin Resistance: Signal, Mechanism, and Evidence Grade</w:t>
      </w:r>
    </w:p>
    <w:p>
      <w:pPr>
        <w:spacing w:after="120" w:before="0" w:line="276" w:lineRule="auto"/>
        <w:jc w:val="both"/>
      </w:pPr>
      <w:r>
        <w:rPr>
          <w:rFonts w:ascii="Times New Roman" w:hAnsi="Times New Roman" w:cs="Times New Roman"/>
          <w:b w:val="0"/>
          <w:i w:val="0"/>
          <w:sz w:val="22"/>
        </w:rPr>
        <w:t>The human gut harbours an estimated 38 trillion microorganisms — a community collectively referred to as the gut microbiome — whose metabolic output rivals that of the liver in biochemical diversity. The relationship between gut microbiome composition and insulin resistance has been one of the most intensively investigated areas of metabolic medicine over the past two decades. While early enthusiasm sometimes outpaced evidence, a clearer picture has emerged regarding what is confirmed, what is proposed, and what remains speculative.</w:t>
      </w:r>
    </w:p>
    <w:p>
      <w:pPr>
        <w:keepNext/>
        <w:spacing w:before="240" w:after="120"/>
        <w:jc w:val="left"/>
      </w:pPr>
      <w:r>
        <w:rPr>
          <w:rFonts w:ascii="Arial" w:hAnsi="Arial" w:cs="Arial"/>
          <w:b/>
          <w:sz w:val="26"/>
        </w:rPr>
        <w:t>Akkermansia muciniphila</w:t>
      </w:r>
    </w:p>
    <w:p>
      <w:pPr>
        <w:spacing w:after="120" w:before="0" w:line="276" w:lineRule="auto"/>
        <w:jc w:val="both"/>
      </w:pPr>
      <w:r>
        <w:rPr>
          <w:rFonts w:ascii="Times New Roman" w:hAnsi="Times New Roman" w:cs="Times New Roman"/>
          <w:b w:val="0"/>
          <w:i w:val="0"/>
          <w:sz w:val="22"/>
        </w:rPr>
        <w:t>Akkermansia muciniphila is a mucin-degrading bacterium that resides in the mucous layer of the intestinal epithelium. Multiple observational studies have confirmed that Akkermansia abundance is lower in individuals with insulin resistance, obesity, and type 2 diabetes compared to metabolically healthy controls. Intervention studies in murine models demonstrated that supplementation with Akkermansia improved metabolic parameters. The observational data in humans is confirmed and reproducible, though causality and the precise mechanisms through which Akkermansia modulates insulin sensitivity in humans remain under active investigation.</w:t>
      </w:r>
    </w:p>
    <w:p>
      <w:pPr>
        <w:keepNext/>
        <w:spacing w:before="240" w:after="120"/>
        <w:jc w:val="left"/>
      </w:pPr>
      <w:r>
        <w:rPr>
          <w:rFonts w:ascii="Arial" w:hAnsi="Arial" w:cs="Arial"/>
          <w:b/>
          <w:sz w:val="26"/>
        </w:rPr>
        <w:t>Butyrate-Producing Bacteria</w:t>
      </w:r>
    </w:p>
    <w:p>
      <w:pPr>
        <w:spacing w:after="120" w:before="0" w:line="276" w:lineRule="auto"/>
        <w:jc w:val="both"/>
      </w:pPr>
      <w:r>
        <w:rPr>
          <w:rFonts w:ascii="Times New Roman" w:hAnsi="Times New Roman" w:cs="Times New Roman"/>
          <w:b w:val="0"/>
          <w:i w:val="0"/>
          <w:sz w:val="22"/>
        </w:rPr>
        <w:t>Roseburia intestinalis and Faecalibacterium prausnitzii are among the best-characterised butyrate-producing species in the human gut. Both have been consistently associated with better metabolic profiles — lower insulin resistance, reduced systemic inflammation, and healthier lipid parameters — in observational human data. Whether these associations reflect a causal protective role or simply a shared metabolic environment that favours both butyrate producers and insulin sensitivity is an important unresolved question.</w:t>
      </w:r>
    </w:p>
    <w:p>
      <w:pPr>
        <w:keepNext/>
        <w:spacing w:before="240" w:after="120"/>
        <w:jc w:val="left"/>
      </w:pPr>
      <w:r>
        <w:rPr>
          <w:rFonts w:ascii="Arial" w:hAnsi="Arial" w:cs="Arial"/>
          <w:b/>
          <w:sz w:val="26"/>
        </w:rPr>
        <w:t>Indian Microbiome Data</w:t>
      </w:r>
    </w:p>
    <w:p>
      <w:pPr>
        <w:spacing w:after="120" w:before="0" w:line="276" w:lineRule="auto"/>
        <w:jc w:val="both"/>
      </w:pPr>
      <w:r>
        <w:rPr>
          <w:rFonts w:ascii="Times New Roman" w:hAnsi="Times New Roman" w:cs="Times New Roman"/>
          <w:b w:val="0"/>
          <w:i w:val="0"/>
          <w:sz w:val="22"/>
        </w:rPr>
        <w:t>The gut microbiome composition of Indian populations differs substantially from the Western cohorts in which much of the foundational microbiome-metabolism research was conducted. The landmark study by Dhakan DB et al. published in GigaScience in 2019 characterised the gut microbiome across geographically and dietary-diverse Indian populations. A consistent finding was the enrichment of Prevotella in plant-based dietary patterns — a bacterial genus associated with carbohydrate fermentation and SCFA production. This Indian-specific microbiome architecture has implications for interpreting metabolic risk in the context of traditionally high-carbohydrate dietary patterns prevalent across South Asia.</w:t>
      </w:r>
    </w:p>
    <w:p>
      <w:pPr>
        <w:keepNext/>
        <w:spacing w:before="240" w:after="120"/>
        <w:jc w:val="left"/>
      </w:pPr>
      <w:r>
        <w:rPr>
          <w:rFonts w:ascii="Arial" w:hAnsi="Arial" w:cs="Arial"/>
          <w:b/>
          <w:sz w:val="26"/>
        </w:rPr>
        <w:t>The LPS–TLR4–NF-κB Pathway</w:t>
      </w:r>
    </w:p>
    <w:p>
      <w:pPr>
        <w:spacing w:after="120" w:before="0" w:line="276" w:lineRule="auto"/>
        <w:jc w:val="both"/>
      </w:pPr>
      <w:r>
        <w:rPr>
          <w:rFonts w:ascii="Times New Roman" w:hAnsi="Times New Roman" w:cs="Times New Roman"/>
          <w:b w:val="0"/>
          <w:i w:val="0"/>
          <w:sz w:val="22"/>
        </w:rPr>
        <w:t>The most mechanistically proposed explanation for how gut dysbiosis drives systemic insulin resistance involves lipopolysaccharide (LPS) — a structural component of the outer membrane of gram-negative bacteria. When gut barrier integrity is disrupted — a condition termed intestinal hyperpermeability or "leaky gut" — small quantities of LPS translocate across the epithelium into the portal circulation. This low-grade systemic LPS exposure, termed metabolic endotoxaemia, was first described by Cani PD et al. in a seminal 2007 Diabetes paper.</w:t>
      </w:r>
    </w:p>
    <w:p>
      <w:pPr>
        <w:spacing w:after="120" w:before="0" w:line="276" w:lineRule="auto"/>
        <w:jc w:val="both"/>
      </w:pPr>
      <w:r>
        <w:rPr>
          <w:rFonts w:ascii="Times New Roman" w:hAnsi="Times New Roman" w:cs="Times New Roman"/>
          <w:b w:val="0"/>
          <w:i w:val="0"/>
          <w:sz w:val="22"/>
        </w:rPr>
        <w:t>The proposed mechanism is as follows: LPS activates Toll-Like Receptor 4 (TLR4) on hepatocytes, adipocytes, and skeletal muscle cells, triggering NF-κB activation and downstream pro-inflammatory cytokine production — including TNF-α, IL-6, and IL-1β. These cytokines impair insulin receptor signalling at the post-receptor level, specifically through serine phosphorylation of insulin receptor substrate-1 (IRS-1), effectively creating inflammation-mediated insulin resistance.</w:t>
      </w:r>
    </w:p>
    <w:p>
      <w:pPr>
        <w:spacing w:after="120" w:before="0" w:line="276" w:lineRule="auto"/>
        <w:jc w:val="both"/>
      </w:pPr>
      <w:r>
        <w:rPr>
          <w:rFonts w:ascii="Times New Roman" w:hAnsi="Times New Roman" w:cs="Times New Roman"/>
          <w:b w:val="0"/>
          <w:i w:val="0"/>
          <w:sz w:val="22"/>
        </w:rPr>
        <w:t>This is a well-supported and plausible mechanism with considerable experimental backing in animal models. However, it must be labelled accurately: the LPS–TLR4–NF-κB pathway is a proposed, well-supported mechanism. It has not been proven to be universally operative in all human subjects with insulin resistance, and the clinical significance of metabolic endotoxaemia in individual patients remains difficult to quantify without specialised assays not available in routine practice.</w:t>
      </w:r>
    </w:p>
    <w:p>
      <w:pPr>
        <w:spacing w:after="120" w:before="0" w:line="276" w:lineRule="auto"/>
        <w:jc w:val="both"/>
      </w:pPr>
      <w:r>
        <w:rPr>
          <w:rFonts w:ascii="Times New Roman" w:hAnsi="Times New Roman" w:cs="Times New Roman"/>
          <w:b w:val="0"/>
          <w:i w:val="0"/>
          <w:sz w:val="22"/>
        </w:rPr>
        <w:t>Evidence Grading Note: Akkermansia and butyrate associations — confirmed observational data. Indian Prevotella enrichment — confirmed. LPS–TLR4–NF-κB pathway — proposed, well-supported, not universally proven. Clinicians should communicate this hierarchy to patients and in academic presentations.</w:t>
      </w:r>
    </w:p>
    <w:p>
      <w:pPr>
        <w:keepNext/>
        <w:spacing w:before="240" w:after="120"/>
        <w:jc w:val="left"/>
      </w:pPr>
      <w:r>
        <w:rPr>
          <w:rFonts w:ascii="Arial" w:hAnsi="Arial" w:cs="Arial"/>
          <w:b/>
          <w:sz w:val="26"/>
        </w:rPr>
        <w:t>Section 5 — Short-Chain Fatty Acids: Metabolic Effectors from the Colon</w:t>
      </w:r>
    </w:p>
    <w:p>
      <w:pPr>
        <w:spacing w:after="120" w:before="0" w:line="276" w:lineRule="auto"/>
        <w:jc w:val="both"/>
      </w:pPr>
      <w:r>
        <w:rPr>
          <w:rFonts w:ascii="Times New Roman" w:hAnsi="Times New Roman" w:cs="Times New Roman"/>
          <w:b w:val="0"/>
          <w:i w:val="0"/>
          <w:sz w:val="22"/>
        </w:rPr>
        <w:t>Short-chain fatty acids (SCFAs) — principally butyrate, propionate, and acetate — are produced through anaerobic bacterial fermentation of dietary fibre in the colon. They represent the primary energy substrate for colonocytes, and their systemic metabolic effects have attracted considerable research interest as potential mediators of the gut–muscle and gut–liver metabolic axes.</w:t>
      </w:r>
    </w:p>
    <w:p>
      <w:pPr>
        <w:spacing w:after="120" w:before="0" w:line="276" w:lineRule="auto"/>
        <w:jc w:val="both"/>
      </w:pPr>
      <w:r>
        <w:rPr>
          <w:rFonts w:ascii="Times New Roman" w:hAnsi="Times New Roman" w:cs="Times New Roman"/>
          <w:b w:val="0"/>
          <w:i w:val="0"/>
          <w:sz w:val="22"/>
        </w:rPr>
        <w:t>Butyrate, the most extensively studied SCFA, is proposed to activate AMP-activated protein kinase (AMPK) in skeletal muscle. AMPK is the master energy sensor of the cell — its activation promotes glucose uptake, fatty acid oxidation, and mitochondrial biogenesis. If butyrate reliably activates AMPK in skeletal muscle through portal or systemic delivery, it would represent a mechanistic link between gut microbial activity and peripheral insulin sensitivity.</w:t>
      </w:r>
    </w:p>
    <w:p>
      <w:pPr>
        <w:spacing w:after="120" w:before="0" w:line="276" w:lineRule="auto"/>
        <w:jc w:val="both"/>
      </w:pPr>
      <w:r>
        <w:rPr>
          <w:rFonts w:ascii="Times New Roman" w:hAnsi="Times New Roman" w:cs="Times New Roman"/>
          <w:b w:val="0"/>
          <w:i w:val="0"/>
          <w:sz w:val="22"/>
        </w:rPr>
        <w:t>Propionate is primarily transported to the liver via the portal vein, where it participates in gluconeogenic substrate supply and may have regulatory effects on hepatic lipid metabolism. Acetate enters the systemic circulation and has been proposed to modulate hypothalamic appetite regulation and adipose tissue metabolism.</w:t>
      </w:r>
    </w:p>
    <w:p>
      <w:pPr>
        <w:spacing w:after="120" w:before="0" w:line="276" w:lineRule="auto"/>
        <w:jc w:val="both"/>
      </w:pPr>
      <w:r>
        <w:rPr>
          <w:rFonts w:ascii="Times New Roman" w:hAnsi="Times New Roman" w:cs="Times New Roman"/>
          <w:b w:val="0"/>
          <w:i w:val="0"/>
          <w:sz w:val="22"/>
        </w:rPr>
        <w:t>SCFAs may also enhance GLUT4 expression and translocation in skeletal muscle, augmenting glucose uptake independently of insulin. This mechanism, if operative in humans at physiologically relevant SCFA concentrations, would constitute a significant insulin-sensitising effect arising from dietary fibre fermentation.</w:t>
      </w:r>
    </w:p>
    <w:p>
      <w:pPr>
        <w:spacing w:after="120" w:before="0" w:line="276" w:lineRule="auto"/>
        <w:jc w:val="both"/>
      </w:pPr>
      <w:r>
        <w:rPr>
          <w:rFonts w:ascii="Times New Roman" w:hAnsi="Times New Roman" w:cs="Times New Roman"/>
          <w:b w:val="0"/>
          <w:i w:val="0"/>
          <w:sz w:val="22"/>
        </w:rPr>
        <w:t>The evidence grade for SCFA-mediated metabolic effects must be clearly labelled: proposed mechanism, moderate evidence. The animal and in vitro data are compelling. Human intervention studies using dietary fibre supplementation to increase SCFA production have shown metabolic benefits, but confounding variables — dietary pattern, concurrent prebiotic effects, caloric intake — make it difficult to isolate SCFA effects specifically. The AMPK activation mechanism in skeletal muscle by butyrate, while mechanistically coherent, has not been established definitively in human in vivo studies at physiologically achievable gut SCFA concentrations.</w:t>
      </w:r>
    </w:p>
    <w:p>
      <w:pPr>
        <w:spacing w:after="120" w:before="0" w:line="276" w:lineRule="auto"/>
        <w:jc w:val="both"/>
      </w:pPr>
      <w:r>
        <w:rPr>
          <w:rFonts w:ascii="Times New Roman" w:hAnsi="Times New Roman" w:cs="Times New Roman"/>
          <w:b w:val="0"/>
          <w:i w:val="0"/>
          <w:sz w:val="22"/>
        </w:rPr>
        <w:t>In clinical practice, the actionable implication is straightforward: dietary patterns that promote SCFA production — high in diverse plant fibre, legumes, resistant starch, and fermented foods — are associated with better metabolic outcomes. Whether this reflects SCFA effects, microbiome changes, dietary displacement of refined carbohydrates, or a combination of all three is less important than the clinical message: fibre-rich whole-food dietary patterns belong at the centre of the metabolic prescription for insulin resistance.</w:t>
      </w:r>
    </w:p>
    <w:p>
      <w:pPr>
        <w:keepNext/>
        <w:spacing w:before="240" w:after="120"/>
        <w:jc w:val="left"/>
      </w:pPr>
      <w:r>
        <w:rPr>
          <w:rFonts w:ascii="Arial" w:hAnsi="Arial" w:cs="Arial"/>
          <w:b/>
          <w:sz w:val="26"/>
        </w:rPr>
        <w:t>Section 6 — The Gut–Liver Axis and Non-Alcoholic Fatty Liver Disease</w:t>
      </w:r>
    </w:p>
    <w:p>
      <w:pPr>
        <w:spacing w:after="120" w:before="0" w:line="276" w:lineRule="auto"/>
        <w:jc w:val="both"/>
      </w:pPr>
      <w:r>
        <w:rPr>
          <w:rFonts w:ascii="Times New Roman" w:hAnsi="Times New Roman" w:cs="Times New Roman"/>
          <w:b w:val="0"/>
          <w:i w:val="0"/>
          <w:sz w:val="22"/>
        </w:rPr>
        <w:t>Non-alcoholic fatty liver disease (NAFLD) — now increasingly termed Metabolic-Associated Fatty Liver Disease (MAFLD) — represents one of the most prevalent manifestations of insulin resistance in the Indian population. The relationship between the gut and the liver in NAFLD pathogenesis is intimate and bidirectional, but must be understood within its appropriate causal hierarchy.</w:t>
      </w:r>
    </w:p>
    <w:p>
      <w:pPr>
        <w:spacing w:after="120" w:before="0" w:line="276" w:lineRule="auto"/>
        <w:jc w:val="both"/>
      </w:pPr>
      <w:r>
        <w:rPr>
          <w:rFonts w:ascii="Times New Roman" w:hAnsi="Times New Roman" w:cs="Times New Roman"/>
          <w:b w:val="0"/>
          <w:i w:val="0"/>
          <w:sz w:val="22"/>
        </w:rPr>
        <w:t>The gut is one contributor to NAFLD — it is not the sole cause. Hepatic de novo lipogenesis (DNL) — the conversion of excess carbohydrate substrate, principally fructose and glucose, into triglycerides within the hepatocyte — is a central and quantitatively significant driver of hepatic steatosis. Adipose tissue lipolysis, particularly from visceral adipose depots, delivers non-esterified fatty acids directly to the liver via the portal circulation and constitutes another major source of hepatic fat accumulation. The gut contributes through metabolic endotoxaemia, altered bile acid signalling, and dysbiosis-associated changes in gut permeability, but these operate in concert with — not instead of — the lipogenic and lipolytic pathways.</w:t>
      </w:r>
    </w:p>
    <w:p>
      <w:pPr>
        <w:spacing w:after="120" w:before="0" w:line="276" w:lineRule="auto"/>
        <w:jc w:val="both"/>
      </w:pPr>
      <w:r>
        <w:rPr>
          <w:rFonts w:ascii="Times New Roman" w:hAnsi="Times New Roman" w:cs="Times New Roman"/>
          <w:b w:val="0"/>
          <w:i w:val="0"/>
          <w:sz w:val="22"/>
        </w:rPr>
        <w:t>Boursier J et al., published in Hepatology 2016, demonstrated that specific gut microbiome signatures — particularly enrichment of Ruminococcus — were independently associated with more severe histological disease in NAFLD patients, suggesting that gut dysbiosis contributes to disease severity beyond baseline metabolic risk factors.</w:t>
      </w:r>
    </w:p>
    <w:p>
      <w:pPr>
        <w:spacing w:after="120" w:before="0" w:line="276" w:lineRule="auto"/>
        <w:jc w:val="both"/>
      </w:pPr>
      <w:r>
        <w:rPr>
          <w:rFonts w:ascii="Times New Roman" w:hAnsi="Times New Roman" w:cs="Times New Roman"/>
          <w:b w:val="0"/>
          <w:i w:val="0"/>
          <w:sz w:val="22"/>
        </w:rPr>
        <w:t>In clinical assessment of patients with suspected hepatic insulin resistance, the TyG Index serves as a validated operational marker. The threshold of TyG above 8.82 on the natural logarithm scale — derived from published Indian cohorts and reported in Nehru MS et al., IJCPR 2026 — provides a practical bedside tool for identifying patients with significant insulin resistance where hepatic mechanisms are likely to be operative. This must be computed on the natural logarithm scale: the formula ln(fasting triglycerides in mg/dL × fasting glucose in mg/dL / 2), with the Indian cutoff of 8.82, not the occasionally cited values of 4.x or 5.x that derive from different computational conventions.</w:t>
      </w:r>
    </w:p>
    <w:p>
      <w:pPr>
        <w:spacing w:after="120" w:before="0" w:line="276" w:lineRule="auto"/>
        <w:jc w:val="both"/>
      </w:pPr>
      <w:r>
        <w:rPr>
          <w:rFonts w:ascii="Times New Roman" w:hAnsi="Times New Roman" w:cs="Times New Roman"/>
          <w:b w:val="0"/>
          <w:i w:val="0"/>
          <w:sz w:val="22"/>
        </w:rPr>
        <w:t>Dr. Nehru Method Operational Threshold: TyG Index &gt; 8.82 (natural log scale) as marker of hepatic and systemic insulin resistance — validated in Indian published cohorts (Nehru MS, IJCPR 2026). Always use natural logarithm computation.</w:t>
      </w:r>
    </w:p>
    <w:p>
      <w:pPr>
        <w:spacing w:after="120" w:before="0" w:line="276" w:lineRule="auto"/>
        <w:jc w:val="both"/>
      </w:pPr>
      <w:r>
        <w:rPr>
          <w:rFonts w:ascii="Times New Roman" w:hAnsi="Times New Roman" w:cs="Times New Roman"/>
          <w:b w:val="0"/>
          <w:i w:val="0"/>
          <w:sz w:val="22"/>
        </w:rPr>
        <w:t>HOMA-IR above 2.3 — the India-specific cutoff validated in published Indian research — complements TyG assessment and provides a direct estimate of insulin-mediated glucose disposal capacity. Together, these two indices offer a clinically deployable framework for metabolic risk stratification without requiring liver biopsy or advanced imaging in the majority of patients.</w:t>
      </w:r>
    </w:p>
    <w:p>
      <w:pPr>
        <w:keepNext/>
        <w:spacing w:before="240" w:after="120"/>
        <w:jc w:val="left"/>
      </w:pPr>
      <w:r>
        <w:rPr>
          <w:rFonts w:ascii="Arial" w:hAnsi="Arial" w:cs="Arial"/>
          <w:b/>
          <w:sz w:val="26"/>
        </w:rPr>
        <w:t>Section 7 — Micronutrient Absorption, Gut Disease, and the Metabolic Cascade</w:t>
      </w:r>
    </w:p>
    <w:p>
      <w:pPr>
        <w:spacing w:after="120" w:before="0" w:line="276" w:lineRule="auto"/>
        <w:jc w:val="both"/>
      </w:pPr>
      <w:r>
        <w:rPr>
          <w:rFonts w:ascii="Times New Roman" w:hAnsi="Times New Roman" w:cs="Times New Roman"/>
          <w:b w:val="0"/>
          <w:i w:val="0"/>
          <w:sz w:val="22"/>
        </w:rPr>
        <w:t>The gut is not only a site of energy substrate absorption — it is the primary interface through which micronutrients essential for metabolic health enter the body. Disruption of gut function therefore has profound consequences beyond macronutrient handling, with important implications for the insulin resistance–diabetes continuum.</w:t>
      </w:r>
    </w:p>
    <w:p>
      <w:pPr>
        <w:keepNext/>
        <w:spacing w:before="240" w:after="120"/>
        <w:jc w:val="left"/>
      </w:pPr>
      <w:r>
        <w:rPr>
          <w:rFonts w:ascii="Arial" w:hAnsi="Arial" w:cs="Arial"/>
          <w:b/>
          <w:sz w:val="26"/>
        </w:rPr>
        <w:t>Vitamin B12: Intrinsic Factor Dependency and Metformin Interference</w:t>
      </w:r>
    </w:p>
    <w:p>
      <w:pPr>
        <w:spacing w:after="120" w:before="0" w:line="276" w:lineRule="auto"/>
        <w:jc w:val="both"/>
      </w:pPr>
      <w:r>
        <w:rPr>
          <w:rFonts w:ascii="Times New Roman" w:hAnsi="Times New Roman" w:cs="Times New Roman"/>
          <w:b w:val="0"/>
          <w:i w:val="0"/>
          <w:sz w:val="22"/>
        </w:rPr>
        <w:t>Vitamin B12 absorption is a uniquely complex process governed by intrinsic factor — a glycoprotein secreted by parietal cells of the gastric fundus. Dietary B12, primarily from animal-derived foods, binds to intrinsic factor in the stomach and the complex is subsequently recognised by specific cubilin receptors in the terminal ileum, where absorption occurs. This anatomical specificity means that any pathology affecting the gastric mucosa, the terminal ileum, or the intrinsic factor molecule itself will impair B12 absorption — regardless of dietary intake.</w:t>
      </w:r>
    </w:p>
    <w:p>
      <w:pPr>
        <w:spacing w:after="120" w:before="0" w:line="276" w:lineRule="auto"/>
        <w:jc w:val="both"/>
      </w:pPr>
      <w:r>
        <w:rPr>
          <w:rFonts w:ascii="Times New Roman" w:hAnsi="Times New Roman" w:cs="Times New Roman"/>
          <w:b w:val="0"/>
          <w:i w:val="0"/>
          <w:sz w:val="22"/>
        </w:rPr>
        <w:t>Metformin — the most widely prescribed glucose-lowering agent globally and the cornerstone of therapy in type 2 diabetes — interferes with B12 absorption through a distinct mechanism. Metformin reduces calcium-dependent binding of the intrinsic factor–B12 complex to ileal cubilin receptors. This effect is dose-dependent and cumulative, resulting in clinically significant B12 depletion in a substantial proportion of long-term metformin users. Monitoring of serum B12 — and ideally serum methylmalonic acid and homocysteine as functional markers — is essential in all patients on sustained metformin therapy.</w:t>
      </w:r>
    </w:p>
    <w:p>
      <w:pPr>
        <w:spacing w:after="120" w:before="0" w:line="276" w:lineRule="auto"/>
        <w:jc w:val="both"/>
      </w:pPr>
      <w:r>
        <w:rPr>
          <w:rFonts w:ascii="Times New Roman" w:hAnsi="Times New Roman" w:cs="Times New Roman"/>
          <w:b w:val="0"/>
          <w:i w:val="0"/>
          <w:sz w:val="22"/>
        </w:rPr>
        <w:t>In the Dr. Nehru Method, supplementation is always with methylcobalamin — the active neurological form of B12 that crosses the blood-brain barrier and is directly utilised by the nervous system without requiring hepatic conversion. Cyanocobalamin is not contraindicated and has an established pharmacological history, but methylcobalamin is the preferred form in clinical practice given its physiological superiority and direct neurological bioavailability.</w:t>
      </w:r>
    </w:p>
    <w:p>
      <w:pPr>
        <w:keepNext/>
        <w:spacing w:before="240" w:after="120"/>
        <w:jc w:val="left"/>
      </w:pPr>
      <w:r>
        <w:rPr>
          <w:rFonts w:ascii="Arial" w:hAnsi="Arial" w:cs="Arial"/>
          <w:b/>
          <w:sz w:val="26"/>
        </w:rPr>
        <w:t>Vitamin D: Bile Acid Dependency and Fat-Soluble Absorption</w:t>
      </w:r>
    </w:p>
    <w:p>
      <w:pPr>
        <w:spacing w:after="120" w:before="0" w:line="276" w:lineRule="auto"/>
        <w:jc w:val="both"/>
      </w:pPr>
      <w:r>
        <w:rPr>
          <w:rFonts w:ascii="Times New Roman" w:hAnsi="Times New Roman" w:cs="Times New Roman"/>
          <w:b w:val="0"/>
          <w:i w:val="0"/>
          <w:sz w:val="22"/>
        </w:rPr>
        <w:t>Vitamin D is a fat-soluble vitamin and prohormone whose intestinal absorption is dependent on the presence of bile acids. Bile acids, secreted by the liver and stored in the gallbladder, are essential for the formation of mixed micelles that solubilise dietary fat and fat-soluble vitamins in the intestinal lumen, enabling their uptake by enterocytes. Any condition that impairs bile acid availability — including cholestatic liver disease, surgical biliary diversion, or severe ileal disease causing bile acid malabsorption — will impair Vitamin D absorption regardless of sun exposure or oral supplementation.</w:t>
      </w:r>
    </w:p>
    <w:p>
      <w:pPr>
        <w:spacing w:after="120" w:before="0" w:line="276" w:lineRule="auto"/>
        <w:jc w:val="both"/>
      </w:pPr>
      <w:r>
        <w:rPr>
          <w:rFonts w:ascii="Times New Roman" w:hAnsi="Times New Roman" w:cs="Times New Roman"/>
          <w:b w:val="0"/>
          <w:i w:val="0"/>
          <w:sz w:val="22"/>
        </w:rPr>
        <w:t>In the Indian population, Vitamin D deficiency is endemic and multifactorial — driven by dietary insufficiency, limited sun exposure in urban settings, and dark skin melanin reducing cutaneous synthesis. When gut disease compounds this background deficiency, the resulting severe Vitamin D depletion acts as an additional upstream driver of insulin resistance through impairment of pancreatic beta cell function, immune dysregulation, and reduced insulin receptor expression.</w:t>
      </w:r>
    </w:p>
    <w:p>
      <w:pPr>
        <w:keepNext/>
        <w:spacing w:before="240" w:after="120"/>
        <w:jc w:val="left"/>
      </w:pPr>
      <w:r>
        <w:rPr>
          <w:rFonts w:ascii="Arial" w:hAnsi="Arial" w:cs="Arial"/>
          <w:b/>
          <w:sz w:val="26"/>
        </w:rPr>
        <w:t>SIBO and H. pylori: Incretin Secretion and Absorption Disruption</w:t>
      </w:r>
    </w:p>
    <w:p>
      <w:pPr>
        <w:spacing w:after="120" w:before="0" w:line="276" w:lineRule="auto"/>
        <w:jc w:val="both"/>
      </w:pPr>
      <w:r>
        <w:rPr>
          <w:rFonts w:ascii="Times New Roman" w:hAnsi="Times New Roman" w:cs="Times New Roman"/>
          <w:b w:val="0"/>
          <w:i w:val="0"/>
          <w:sz w:val="22"/>
        </w:rPr>
        <w:t>Small Intestinal Bacterial Overgrowth (SIBO) — defined as excessive bacterial colonisation of the proximal small intestine — and Helicobacter pylori infection represent two highly prevalent gut pathologies in the Indian population that intersect meaningfully with metabolic health.</w:t>
      </w:r>
    </w:p>
    <w:p>
      <w:pPr>
        <w:spacing w:after="120" w:before="0" w:line="276" w:lineRule="auto"/>
        <w:jc w:val="both"/>
      </w:pPr>
      <w:r>
        <w:rPr>
          <w:rFonts w:ascii="Times New Roman" w:hAnsi="Times New Roman" w:cs="Times New Roman"/>
          <w:b w:val="0"/>
          <w:i w:val="0"/>
          <w:sz w:val="22"/>
        </w:rPr>
        <w:t>SIBO disrupts the anatomical compartmentalisation that normally ensures nutrients contact L cells and K cells in the appropriate regions of the gut. Premature fermentation of carbohydrates in the proximal small intestine may alter nutrient sensing and incretin secretion patterns. SIBO is also associated with bile acid deconjugation, fat malabsorption, and SCFA overproduction in the small intestine — a combination that impairs fat-soluble micronutrient absorption and may promote gut permeability.</w:t>
      </w:r>
    </w:p>
    <w:p>
      <w:pPr>
        <w:spacing w:after="120" w:before="0" w:line="276" w:lineRule="auto"/>
        <w:jc w:val="both"/>
      </w:pPr>
      <w:r>
        <w:rPr>
          <w:rFonts w:ascii="Times New Roman" w:hAnsi="Times New Roman" w:cs="Times New Roman"/>
          <w:b w:val="0"/>
          <w:i w:val="0"/>
          <w:sz w:val="22"/>
        </w:rPr>
        <w:t>H. pylori infection, affecting an estimated 40–70% of adult Indians, causes chronic active gastritis and in a subset of patients, progressive gastric atrophy with loss of parietal cell mass. Loss of parietal cells directly reduces intrinsic factor secretion, impairing B12 absorption through the mechanism described above. Additionally, H. pylori-induced gastric acid suppression alters the upper gastrointestinal microenvironment in ways that may affect proximal incretin secretion. Eradication of H. pylori is therefore not merely a gastroenterological intervention — it is, in patients with concurrent metabolic disease, a metabolic intervention with measurable downstream effects.</w:t>
      </w:r>
    </w:p>
    <w:p>
      <w:pPr>
        <w:keepNext/>
        <w:spacing w:before="240" w:after="120"/>
        <w:jc w:val="left"/>
      </w:pPr>
      <w:r>
        <w:rPr>
          <w:rFonts w:ascii="Arial" w:hAnsi="Arial" w:cs="Arial"/>
          <w:b/>
          <w:sz w:val="26"/>
        </w:rPr>
        <w:t>Clinical Synthesis: Integrating the Gut–Liver–Pancreas Axis into the Dr. Nehru Method</w:t>
      </w:r>
    </w:p>
    <w:p>
      <w:pPr>
        <w:spacing w:after="120" w:before="0" w:line="276" w:lineRule="auto"/>
        <w:jc w:val="both"/>
      </w:pPr>
      <w:r>
        <w:rPr>
          <w:rFonts w:ascii="Times New Roman" w:hAnsi="Times New Roman" w:cs="Times New Roman"/>
          <w:b w:val="0"/>
          <w:i w:val="0"/>
          <w:sz w:val="22"/>
        </w:rPr>
        <w:t>The clinical practitioner managing a patient with insulin resistance or type 2 diabetes must resist two errors of cognitive simplification. The first is to ignore the gut–liver–pancreas axis entirely — to treat diabetes as purely a pancreatic failure requiring glucose-lowering agents without ever interrogating the upstream drivers. The second is to overstate gut causality — to frame every case of insulin resistance as a microbiome disorder requiring probiotic correction, obscuring the primary roles of visceral adiposity, hepatic lipogenesis, physical inactivity, and carbohydrate excess.</w:t>
      </w:r>
    </w:p>
    <w:p>
      <w:pPr>
        <w:spacing w:after="120" w:before="0" w:line="276" w:lineRule="auto"/>
        <w:jc w:val="both"/>
      </w:pPr>
      <w:r>
        <w:rPr>
          <w:rFonts w:ascii="Times New Roman" w:hAnsi="Times New Roman" w:cs="Times New Roman"/>
          <w:b w:val="0"/>
          <w:i w:val="0"/>
          <w:sz w:val="22"/>
        </w:rPr>
        <w:t>The truth lies in integration. In the Indian Health Constitution framework of the Dr. Nehru Method, the gut–liver–pancreas axis constitutes one of the eight major upstream triggers that converge on the final common pathway of HOMA-IR elevation above 2.3 and TyG Index elevation above 8.82. A patient presenting with these metabolic markers may have reached this threshold through visceral obesity, high glycaemic carbohydrate intake, B12 deficiency impairing neural metabolic regulation, sarcopenia reducing peripheral glucose disposal, or gut dysbiosis promoting metabolic endotoxaemia — or, most commonly, several of these acting simultaneously.</w:t>
      </w:r>
    </w:p>
    <w:p>
      <w:pPr>
        <w:spacing w:after="120" w:before="0" w:line="276" w:lineRule="auto"/>
        <w:jc w:val="both"/>
      </w:pPr>
      <w:r>
        <w:rPr>
          <w:rFonts w:ascii="Times New Roman" w:hAnsi="Times New Roman" w:cs="Times New Roman"/>
          <w:b w:val="0"/>
          <w:i w:val="0"/>
          <w:sz w:val="22"/>
        </w:rPr>
        <w:t>The therapeutic response must be correspondingly multidimensional: dietary fibre prescription to enhance SCFA production and diversify microbiome composition; B12 repletion with methylcobalamin in all metformin-treated patients; Vitamin D correction in deficient individuals; H. pylori eradication when present; GLP-1 receptor agonist therapy as a pharmacological amplification of the physiological incretin signal; and reduction of ultra-processed food intake to lower the LPS burden on the portal circulation.</w:t>
      </w:r>
    </w:p>
    <w:p>
      <w:pPr>
        <w:spacing w:after="120" w:before="0" w:line="276" w:lineRule="auto"/>
        <w:jc w:val="both"/>
      </w:pPr>
      <w:r>
        <w:rPr>
          <w:rFonts w:ascii="Times New Roman" w:hAnsi="Times New Roman" w:cs="Times New Roman"/>
          <w:b w:val="0"/>
          <w:i w:val="0"/>
          <w:sz w:val="22"/>
        </w:rPr>
        <w:t>No single intervention repairs the entire axis. But understanding the axis allows the clinician to prescribe with mechanistic clarity — to know why each element of the prescription is justified and how it connects to the pathophysiology of the individual patient sitting across the consultation table.</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Sathyanarayana EV, et al. Validation of HOMA-IR cutoff for insulin resistance in Indian adults. Int J Med. 2026;8(2):977-983. DOI: 10.61336/im/26-2-12.</w:t>
      </w:r>
    </w:p>
    <w:p>
      <w:pPr>
        <w:spacing w:after="40"/>
        <w:jc w:val="left"/>
      </w:pPr>
      <w:r>
        <w:rPr>
          <w:rFonts w:ascii="Times New Roman" w:hAnsi="Times New Roman" w:cs="Times New Roman"/>
          <w:sz w:val="19"/>
        </w:rPr>
        <w:t>2. Nehru MS, et al. TyG Index as an operational marker of hepatic insulin resistance in Indian cohorts. IJCPR. 2026;18(2):826-833.</w:t>
      </w:r>
    </w:p>
    <w:p>
      <w:pPr>
        <w:spacing w:after="40"/>
        <w:jc w:val="left"/>
      </w:pPr>
      <w:r>
        <w:rPr>
          <w:rFonts w:ascii="Times New Roman" w:hAnsi="Times New Roman" w:cs="Times New Roman"/>
          <w:sz w:val="19"/>
        </w:rPr>
        <w:t>3. Holst JJ. The incretin system: physiology and pharmacology. In: Feingold KR, Anawalt B, et al., eds. Endotext [Internet]. South Dartmouth (MA): MDText.com, Inc.; 2000–.</w:t>
      </w:r>
    </w:p>
    <w:p>
      <w:pPr>
        <w:spacing w:after="40"/>
        <w:jc w:val="left"/>
      </w:pPr>
      <w:r>
        <w:rPr>
          <w:rFonts w:ascii="Times New Roman" w:hAnsi="Times New Roman" w:cs="Times New Roman"/>
          <w:sz w:val="19"/>
        </w:rPr>
        <w:t>4. Cani PD, Amar J, Iglesias MA, et al. Metabolic endotoxemia initiates obesity and insulin resistance. Diabetes. 2007;56(7):1761-1772.</w:t>
      </w:r>
    </w:p>
    <w:p>
      <w:pPr>
        <w:spacing w:after="40"/>
        <w:jc w:val="left"/>
      </w:pPr>
      <w:r>
        <w:rPr>
          <w:rFonts w:ascii="Times New Roman" w:hAnsi="Times New Roman" w:cs="Times New Roman"/>
          <w:sz w:val="19"/>
        </w:rPr>
        <w:t>5. Dhakan DB, Maji A, Sharma AK, et al. The unique composition of Indian gut microbiome, gene catalogue, and associated fecal metabolome deciphered using multi-omics approaches. GigaScience. 2019;8(3):giz004.</w:t>
      </w:r>
    </w:p>
    <w:p>
      <w:pPr>
        <w:spacing w:after="40"/>
        <w:jc w:val="left"/>
      </w:pPr>
      <w:r>
        <w:rPr>
          <w:rFonts w:ascii="Times New Roman" w:hAnsi="Times New Roman" w:cs="Times New Roman"/>
          <w:sz w:val="19"/>
        </w:rPr>
        <w:t>6. Aroda VR, Edelstein SL, Goldberg RB, et al. Long-term metformin use and vitamin B12 deficiency in the Diabetes Prevention Program Outcomes Study. J Clin Endocrinol Metab. 2016;101(4):1754-1761.</w:t>
      </w:r>
    </w:p>
    <w:p>
      <w:pPr>
        <w:spacing w:after="40"/>
        <w:jc w:val="left"/>
      </w:pPr>
      <w:r>
        <w:rPr>
          <w:rFonts w:ascii="Times New Roman" w:hAnsi="Times New Roman" w:cs="Times New Roman"/>
          <w:sz w:val="19"/>
        </w:rPr>
        <w:t>7. Boursier J, Mueller O, Barret M, et al. The severity of nonalcoholic fatty liver disease is associated with gut dysbiosis and shift in the metabolic function of the gut microbiota. Hepatology. 2016;63(3):764-775.</w:t>
      </w:r>
    </w:p>
    <w:p>
      <w:pPr>
        <w:spacing w:after="40"/>
        <w:jc w:val="left"/>
      </w:pPr>
      <w:r>
        <w:rPr>
          <w:rFonts w:ascii="Times New Roman" w:hAnsi="Times New Roman" w:cs="Times New Roman"/>
          <w:sz w:val="19"/>
        </w:rPr>
        <w:t>8. Gao Z, Yin J, Zhang J, et al. Butyrate improves insulin sensitivity and increases energy expenditure in mice. Diabetes. 2009;58(7):1509-1517.</w:t>
      </w:r>
    </w:p>
    <w:p>
      <w:r>
        <w:br w:type="page"/>
      </w:r>
    </w:p>
    <w:p>
      <w:pPr>
        <w:jc w:val="left"/>
      </w:pPr>
      <w:r>
        <w:rPr>
          <w:rFonts w:ascii="Arial" w:hAnsi="Arial" w:cs="Arial"/>
          <w:b/>
          <w:sz w:val="26"/>
        </w:rPr>
        <w:t>CHAPTER 10</w:t>
      </w:r>
    </w:p>
    <w:p>
      <w:pPr>
        <w:keepNext/>
        <w:spacing w:before="360" w:after="120"/>
        <w:jc w:val="left"/>
      </w:pPr>
      <w:r>
        <w:rPr>
          <w:rFonts w:ascii="Arial" w:hAnsi="Arial" w:cs="Arial"/>
          <w:b/>
          <w:sz w:val="32"/>
        </w:rPr>
        <w:t>NAFLD, NASH and the Liver</w:t>
      </w:r>
    </w:p>
    <w:p>
      <w:pPr>
        <w:keepNext/>
        <w:spacing w:before="240" w:after="120"/>
        <w:jc w:val="left"/>
      </w:pPr>
      <w:r>
        <w:rPr>
          <w:rFonts w:ascii="Arial" w:hAnsi="Arial" w:cs="Arial"/>
          <w:b/>
          <w:sz w:val="26"/>
        </w:rPr>
        <w:t>Chapter 10 — NAFLD, NASH and the Liver in Metabolic Disease</w:t>
      </w:r>
    </w:p>
    <w:p>
      <w:pPr>
        <w:keepNext/>
        <w:spacing w:before="240" w:after="120"/>
        <w:jc w:val="left"/>
      </w:pPr>
      <w:r>
        <w:rPr>
          <w:rFonts w:ascii="Arial" w:hAnsi="Arial" w:cs="Arial"/>
          <w:b/>
          <w:sz w:val="26"/>
        </w:rPr>
        <w:t>10.1 — Introduction and Nomenclature Update</w:t>
      </w:r>
    </w:p>
    <w:p>
      <w:pPr>
        <w:spacing w:after="120" w:before="0" w:line="276" w:lineRule="auto"/>
        <w:jc w:val="both"/>
      </w:pPr>
      <w:r>
        <w:rPr>
          <w:rFonts w:ascii="Times New Roman" w:hAnsi="Times New Roman" w:cs="Times New Roman"/>
          <w:b w:val="0"/>
          <w:i w:val="0"/>
          <w:sz w:val="22"/>
        </w:rPr>
        <w:t>For decades, the accumulation of fat in the liver in the absence of significant alcohol consumption was termed Non-Alcoholic Fatty Liver Disease — NAFLD — with its inflammatory subtype known as Non-Alcoholic Steatohepatitis, NASH. This exclusionary nomenclature failed to capture the primary pathophysiological driver — systemic metabolic dysfunction. In a 2023 multisociety Delphi consensus, the nomenclature was updated. NAFLD was renamed Metabolic Dysfunction-Associated Steatotic Liver Disease — MASLD — and NASH was updated to Metabolic Dysfunction-Associated Steatohepatitis — MASH. This framework requires the presence of hepatic steatosis alongside at least one cardiometabolic risk factor, and retains steatohepatitis as a meaningful pathophysiological term.¹</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10.1 ]</w:t>
      </w:r>
    </w:p>
    <w:p>
      <w:pPr>
        <w:spacing w:before="40" w:after="200"/>
        <w:jc w:val="center"/>
      </w:pPr>
      <w:r>
        <w:rPr>
          <w:rFonts w:ascii="Times New Roman" w:hAnsi="Times New Roman" w:cs="Times New Roman"/>
          <w:b w:val="0"/>
          <w:i/>
          <w:sz w:val="18"/>
        </w:rPr>
        <w:t>Figure 10.1 — Progression from MASLD to MASH and fibrosis.</w:t>
      </w:r>
    </w:p>
    <w:p>
      <w:pPr>
        <w:keepNext/>
        <w:spacing w:before="240" w:after="120"/>
        <w:jc w:val="left"/>
      </w:pPr>
      <w:r>
        <w:rPr>
          <w:rFonts w:ascii="Arial" w:hAnsi="Arial" w:cs="Arial"/>
          <w:b/>
          <w:sz w:val="26"/>
        </w:rPr>
        <w:t>10.2 — Global Epidemiology</w:t>
      </w:r>
    </w:p>
    <w:p>
      <w:pPr>
        <w:spacing w:after="120" w:before="0" w:line="276" w:lineRule="auto"/>
        <w:jc w:val="both"/>
      </w:pPr>
      <w:r>
        <w:rPr>
          <w:rFonts w:ascii="Times New Roman" w:hAnsi="Times New Roman" w:cs="Times New Roman"/>
          <w:b w:val="0"/>
          <w:i w:val="0"/>
          <w:sz w:val="22"/>
        </w:rPr>
        <w:t>MASLD is a global pandemic advancing alongside the rising prevalence of obesity and type 2 diabetes. The foundational meta-analysis by Younossi and colleagues established the scale of the disease. Analysing 92 studies with a combined sample size of 9,361,716 participants across three decades, the global prevalence of NAFLD/MASLD was estimated at 30.05 percent, with 95 percent confidence interval 27.88 to 32.32 percent.² This makes MASLD the most common chronic liver condition worldwide, and its prevalence parallels the rising burden of insulin resistance and central obesity in populations transitioning to Western dietary patterns.</w:t>
      </w:r>
    </w:p>
    <w:p>
      <w:pPr>
        <w:spacing w:before="120" w:after="120"/>
        <w:ind w:left="432" w:right="432"/>
        <w:jc w:val="left"/>
      </w:pPr>
      <w:r>
        <w:rPr>
          <w:rFonts w:ascii="Times New Roman" w:hAnsi="Times New Roman" w:cs="Times New Roman"/>
          <w:b/>
          <w:i/>
          <w:sz w:val="22"/>
        </w:rPr>
        <w:t>Nearly one in three adults globally now meets criteria for MASLD — a figure that should reframe fatty liver from an incidental ultrasound finding to a central marker of systemic metabolic risk.</w:t>
      </w:r>
    </w:p>
    <w:p>
      <w:pPr>
        <w:spacing w:after="120" w:before="0" w:line="276" w:lineRule="auto"/>
        <w:jc w:val="both"/>
      </w:pPr>
      <w:r>
        <w:rPr>
          <w:rFonts w:ascii="Times New Roman" w:hAnsi="Times New Roman" w:cs="Times New Roman"/>
          <w:b w:val="0"/>
          <w:i w:val="0"/>
          <w:sz w:val="22"/>
        </w:rPr>
        <w:t>India-specific large-scale prevalence data using consistent diagnostic criteria across multiple centres remains an area requiring further dedicated study. While regional Indian cohorts have reported high rates of hepatic steatosis among patients with central obesity and insulin resistance, readers should seek the most current published multicentre Indian epidemiological data before citing specific prevalence figures, as estimates vary considerably by region, diagnostic method, and population studied.</w:t>
      </w:r>
    </w:p>
    <w:p>
      <w:pPr>
        <w:keepNext/>
        <w:spacing w:before="240" w:after="120"/>
        <w:jc w:val="left"/>
      </w:pPr>
      <w:r>
        <w:rPr>
          <w:rFonts w:ascii="Arial" w:hAnsi="Arial" w:cs="Arial"/>
          <w:b/>
          <w:sz w:val="26"/>
        </w:rPr>
        <w:t>10.3 — Non-Invasive Diagnostics — Fibroscan and CAP Score</w:t>
      </w:r>
    </w:p>
    <w:p>
      <w:pPr>
        <w:spacing w:after="120" w:before="0" w:line="276" w:lineRule="auto"/>
        <w:jc w:val="both"/>
      </w:pPr>
      <w:r>
        <w:rPr>
          <w:rFonts w:ascii="Times New Roman" w:hAnsi="Times New Roman" w:cs="Times New Roman"/>
          <w:b w:val="0"/>
          <w:i w:val="0"/>
          <w:sz w:val="22"/>
        </w:rPr>
        <w:t>Liver biopsy remains the definitive standard for staging MASLD, but its invasive nature, cost, and sampling variability make it impractical for widespread screening. Non-invasive modalities are therefore central to clinical practice. Transient elastography — Fibroscan — is the cornerstone of non-invasive evaluation, providing two distinct metrics. Liver Stiffness Measurement uses shear wave velocity to estimate hepatic fibrosis stage. Controlled Attenuation Parameter measures the attenuation of ultrasound waves as they pass through liver parenchyma.</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10.2 ]</w:t>
      </w:r>
    </w:p>
    <w:p>
      <w:pPr>
        <w:spacing w:before="40" w:after="200"/>
        <w:jc w:val="center"/>
      </w:pPr>
      <w:r>
        <w:rPr>
          <w:rFonts w:ascii="Times New Roman" w:hAnsi="Times New Roman" w:cs="Times New Roman"/>
          <w:b w:val="0"/>
          <w:i/>
          <w:sz w:val="18"/>
        </w:rPr>
        <w:t>Figure 10.2 — Fibroscan / Controlled Attenuation Parameter staging of hepatic steatosis.</w:t>
      </w:r>
    </w:p>
    <w:p>
      <w:pPr>
        <w:spacing w:after="120" w:before="0" w:line="276" w:lineRule="auto"/>
        <w:jc w:val="both"/>
      </w:pPr>
      <w:r>
        <w:rPr>
          <w:rFonts w:ascii="Times New Roman" w:hAnsi="Times New Roman" w:cs="Times New Roman"/>
          <w:b w:val="0"/>
          <w:i w:val="0"/>
          <w:sz w:val="22"/>
        </w:rPr>
        <w:t>CAP is a surrogate marker that correlates with histologic steatosis grade — it does not provide a literal measurement of the percentage of fat-laden hepatocytes, but rather an acoustic signal that has been validated against histological steatosis categories such as S1, mild steatosis, through S3, severe steatosis. Clinicians should understand CAP as a strong correlate of steatosis burden rather than a direct cellular count.³</w:t>
      </w:r>
    </w:p>
    <w:p>
      <w:pPr>
        <w:keepNext/>
        <w:spacing w:before="240" w:after="120"/>
        <w:jc w:val="left"/>
      </w:pPr>
      <w:r>
        <w:rPr>
          <w:rFonts w:ascii="Arial" w:hAnsi="Arial" w:cs="Arial"/>
          <w:b/>
          <w:sz w:val="26"/>
        </w:rPr>
        <w:t>10.4 — Pathophysiology — The Gut-Liver Axis</w:t>
      </w:r>
    </w:p>
    <w:p>
      <w:pPr>
        <w:spacing w:after="120" w:before="0" w:line="276" w:lineRule="auto"/>
        <w:jc w:val="both"/>
      </w:pPr>
      <w:r>
        <w:rPr>
          <w:rFonts w:ascii="Times New Roman" w:hAnsi="Times New Roman" w:cs="Times New Roman"/>
          <w:b w:val="0"/>
          <w:i w:val="0"/>
          <w:sz w:val="22"/>
        </w:rPr>
        <w:t>While insulin resistance remains the primary driver of MASLD, the gut-liver axis is increasingly recognised as an important contributory mechanism in the progression from simple steatosis to steatohepatitis. Intestinal dysbiosis can impair gut barrier integrity, permitting translocation of lipopolysaccharide — LPS — derived from Gram-negative bacterial cell walls. LPS entering the portal circulation binds Toll-like receptor 4 on hepatic Kupffer cells, triggering the NF-kB signalling cascade and the release of pro-inflammatory and pro-fibrotic cytokines including TNF-alpha and IL-6. This pathway is best understood as one significant contributory mechanism within a multifactorial disease process — not the sole or universally proven driver of steatohepatitis in every patient.⁴</w:t>
      </w:r>
    </w:p>
    <w:p>
      <w:pPr>
        <w:keepNext/>
        <w:spacing w:before="240" w:after="120"/>
        <w:jc w:val="left"/>
      </w:pPr>
      <w:r>
        <w:rPr>
          <w:rFonts w:ascii="Arial" w:hAnsi="Arial" w:cs="Arial"/>
          <w:b/>
          <w:sz w:val="26"/>
        </w:rPr>
        <w:t>10.5 — MASLD as a Cardiovascular Risk Marker</w:t>
      </w:r>
    </w:p>
    <w:p>
      <w:pPr>
        <w:spacing w:after="120" w:before="0" w:line="276" w:lineRule="auto"/>
        <w:jc w:val="both"/>
      </w:pPr>
      <w:r>
        <w:rPr>
          <w:rFonts w:ascii="Times New Roman" w:hAnsi="Times New Roman" w:cs="Times New Roman"/>
          <w:b w:val="0"/>
          <w:i w:val="0"/>
          <w:sz w:val="22"/>
        </w:rPr>
        <w:t>Patients with MASLD are more likely to die from cardiovascular disease than from liver-related complications. The relationship between the liver and the cardiovascular system extends beyond shared metabolic risk factors. Targher and colleagues established that NAFLD is associated with increased cardiovascular disease risk, with some analyses suggesting this association persists independent of traditional risk factors, though the degree of independence continues to be studied and refined in the literature.⁵</w:t>
      </w:r>
    </w:p>
    <w:p>
      <w:pPr>
        <w:spacing w:before="120" w:after="120"/>
        <w:ind w:left="432" w:right="432"/>
        <w:jc w:val="left"/>
      </w:pPr>
      <w:r>
        <w:rPr>
          <w:rFonts w:ascii="Times New Roman" w:hAnsi="Times New Roman" w:cs="Times New Roman"/>
          <w:b/>
          <w:i/>
          <w:sz w:val="22"/>
        </w:rPr>
        <w:t>Fatty liver is not a bystander finding — it is a marker that the patient's cardiovascular risk profile deserves close attention, often before lipid panels or blood pressure reveal the same warning.</w:t>
      </w:r>
    </w:p>
    <w:p>
      <w:pPr>
        <w:spacing w:after="120" w:before="0" w:line="276" w:lineRule="auto"/>
        <w:jc w:val="both"/>
      </w:pPr>
      <w:r>
        <w:rPr>
          <w:rFonts w:ascii="Times New Roman" w:hAnsi="Times New Roman" w:cs="Times New Roman"/>
          <w:b w:val="0"/>
          <w:i w:val="0"/>
          <w:sz w:val="22"/>
        </w:rPr>
        <w:t>Surrogate markers for regional fat distribution, including DEXA-derived android fat measurement, have been proposed in the literature as plausible correlates for both hepatic steatosis and insulin resistance as measured by HOMA-IR. This relationship is biologically coherent given the shared origin of android and visceral fat depots, though clinicians should seek dedicated validation studies for android fat as a hepatic steatosis surrogate in their specific patient population before relying on it as a stand-alone diagnostic proxy.</w:t>
      </w:r>
    </w:p>
    <w:p>
      <w:pPr>
        <w:keepNext/>
        <w:spacing w:before="240" w:after="120"/>
        <w:jc w:val="left"/>
      </w:pPr>
      <w:r>
        <w:rPr>
          <w:rFonts w:ascii="Arial" w:hAnsi="Arial" w:cs="Arial"/>
          <w:b/>
          <w:sz w:val="26"/>
        </w:rPr>
        <w:t>10.6 — Pharmacological Interventions</w:t>
      </w:r>
    </w:p>
    <w:p>
      <w:pPr>
        <w:keepNext/>
        <w:spacing w:before="240" w:after="120"/>
        <w:jc w:val="left"/>
      </w:pPr>
      <w:r>
        <w:rPr>
          <w:rFonts w:ascii="Arial" w:hAnsi="Arial" w:cs="Arial"/>
          <w:b/>
          <w:sz w:val="26"/>
        </w:rPr>
        <w:t>10.6.1 — Saroglitazar</w:t>
      </w:r>
    </w:p>
    <w:p>
      <w:pPr>
        <w:spacing w:after="120" w:before="0" w:line="276" w:lineRule="auto"/>
        <w:jc w:val="both"/>
      </w:pPr>
      <w:r>
        <w:rPr>
          <w:rFonts w:ascii="Times New Roman" w:hAnsi="Times New Roman" w:cs="Times New Roman"/>
          <w:b w:val="0"/>
          <w:i w:val="0"/>
          <w:sz w:val="22"/>
        </w:rPr>
        <w:t>Saroglitazar is a dual PPAR-alpha and PPAR-gamma agonist developed and used in India, with an established indication for diabetic dyslipidaemia and hypertriglyceridaemia. The EVIDENCES II trial — a phase 2 study of 106 patients — demonstrated that the 4mg dose significantly improved ALT, liver fat content, and insulin resistance markers in patients with NAFLD/NASH. The PRESS V and PRESS VI trials established Saroglitazar's efficacy in lipid control, with PRESS V comparing Saroglitazar to pioglitazone and PRESS VI focusing on patients unresponsive to statin therapy. The exact current CDSCO-approved indication for Saroglitazar specifically in NASH, as distinct from its established dyslipidaemia indication, should be verified against the current official product label before being stated as definitive regulatory fact, as approval status and labelling can change and vary by formulation.⁶</w:t>
      </w:r>
    </w:p>
    <w:p>
      <w:pPr>
        <w:keepNext/>
        <w:spacing w:before="240" w:after="120"/>
        <w:jc w:val="left"/>
      </w:pPr>
      <w:r>
        <w:rPr>
          <w:rFonts w:ascii="Arial" w:hAnsi="Arial" w:cs="Arial"/>
          <w:b/>
          <w:sz w:val="26"/>
        </w:rPr>
        <w:t>10.6.2 — Resmetirom</w:t>
      </w:r>
    </w:p>
    <w:p>
      <w:pPr>
        <w:spacing w:after="120" w:before="0" w:line="276" w:lineRule="auto"/>
        <w:jc w:val="both"/>
      </w:pPr>
      <w:r>
        <w:rPr>
          <w:rFonts w:ascii="Times New Roman" w:hAnsi="Times New Roman" w:cs="Times New Roman"/>
          <w:b w:val="0"/>
          <w:i w:val="0"/>
          <w:sz w:val="22"/>
        </w:rPr>
        <w:t>In March 2024, the US FDA granted accelerated approval to Resmetirom, a thyroid hormone receptor-beta agonist, for MASH with moderate to advanced liver fibrosis, corresponding to fibrosis stages F2 to F3. In the MAESTRO-NASH phase 3 trial — Harrison SA et al., New England Journal of Medicine, 2024, N=966 — MASH resolution without worsening of fibrosis was achieved in 25.9 percent of patients on the 80mg dose and 29.9 percent on the 100mg dose, compared with 9.7 percent on placebo.⁷ As of 2026, Resmetirom is not yet widely available in India through standard commercial channels, and Indian clinicians should confirm current import and access protocols before discussing this option with patients.</w:t>
      </w:r>
    </w:p>
    <w:p>
      <w:pPr>
        <w:keepNext/>
        <w:spacing w:before="240" w:after="120"/>
        <w:jc w:val="left"/>
      </w:pPr>
      <w:r>
        <w:rPr>
          <w:rFonts w:ascii="Arial" w:hAnsi="Arial" w:cs="Arial"/>
          <w:b/>
          <w:sz w:val="26"/>
        </w:rPr>
        <w:t>10.6.3 — Tirzepatide and Incretin-Based Therapies</w:t>
      </w:r>
    </w:p>
    <w:p>
      <w:pPr>
        <w:spacing w:after="120" w:before="0" w:line="276" w:lineRule="auto"/>
        <w:jc w:val="both"/>
      </w:pPr>
      <w:r>
        <w:rPr>
          <w:rFonts w:ascii="Times New Roman" w:hAnsi="Times New Roman" w:cs="Times New Roman"/>
          <w:b w:val="0"/>
          <w:i w:val="0"/>
          <w:sz w:val="22"/>
        </w:rPr>
        <w:t>Incretin-based therapies offer substantial benefit for steatosis resolution. Tirzepatide, a dual GIP and GLP-1 receptor agonist, has shown notable efficacy in the SYNERGY-NASH trial — Loomba R et al., New England Journal of Medicine, 2024, N=190 patients with biopsy-proven MASH at fibrosis stage F2 or F3. MASH resolution without worsening of fibrosis was achieved in 51.8 percent of patients on the 5mg dose, 62.8 percent on the 10mg dose, and 73.3 percent on the 15mg dose, compared with 13.2 percent on placebo. Fibrosis improvement of one stage or greater occurred in 59.1 percent, 53.3 percent, and 54.2 percent of patients across the three dose groups respectively, compared with 32.8 percent on placebo.⁸</w:t>
      </w:r>
    </w:p>
    <w:p>
      <w:pPr>
        <w:spacing w:after="120" w:before="0" w:line="276" w:lineRule="auto"/>
        <w:jc w:val="both"/>
      </w:pPr>
      <w:r>
        <w:rPr>
          <w:rFonts w:ascii="Times New Roman" w:hAnsi="Times New Roman" w:cs="Times New Roman"/>
          <w:b w:val="0"/>
          <w:i w:val="0"/>
          <w:sz w:val="22"/>
        </w:rPr>
        <w:t>Tirzepatide achieved MASH resolution in nearly three out of four patients at the highest dose — a result that may reshape the treatment hierarchy for steatohepatitis once broader access and India-specific cost data become available.</w:t>
      </w:r>
    </w:p>
    <w:p>
      <w:pPr>
        <w:keepNext/>
        <w:spacing w:before="240" w:after="120"/>
        <w:jc w:val="left"/>
      </w:pPr>
      <w:r>
        <w:rPr>
          <w:rFonts w:ascii="Arial" w:hAnsi="Arial" w:cs="Arial"/>
          <w:b/>
          <w:sz w:val="26"/>
        </w:rPr>
        <w:t>10.6.4 — SGLT2 Inhibitors and Liver Fat Reduction</w:t>
      </w:r>
    </w:p>
    <w:p>
      <w:pPr>
        <w:spacing w:after="120" w:before="0" w:line="276" w:lineRule="auto"/>
        <w:jc w:val="both"/>
      </w:pPr>
      <w:r>
        <w:rPr>
          <w:rFonts w:ascii="Times New Roman" w:hAnsi="Times New Roman" w:cs="Times New Roman"/>
          <w:b w:val="0"/>
          <w:i w:val="0"/>
          <w:sz w:val="22"/>
        </w:rPr>
        <w:t>Emerging data support the use of SGLT2 inhibitors, including dapagliflozin and empagliflozin, for liver fat reduction independent of weight loss. Trials evaluating empagliflozin added to standard of care in patients with type 2 diabetes and MASLD, assessed via MRI-derived proton density fat fraction, have shown statistically significant reductions in hepatic steatosis over treatment periods of approximately 24 weeks. Similar trials evaluating dapagliflozin using Fibroscan CAP scores have shown comparable reductions in steatosis, supporting SGLT2 inhibitors as a useful adjunctive class in the management of MASLD, particularly in patients who already require glucose-lowering therapy.⁹</w:t>
      </w:r>
    </w:p>
    <w:p>
      <w:pPr>
        <w:keepNext/>
        <w:spacing w:before="240" w:after="120"/>
        <w:jc w:val="left"/>
      </w:pPr>
      <w:r>
        <w:rPr>
          <w:rFonts w:ascii="Arial" w:hAnsi="Arial" w:cs="Arial"/>
          <w:b/>
          <w:sz w:val="26"/>
        </w:rPr>
        <w:t>10.7 — Practical Clinical Approach</w:t>
      </w:r>
    </w:p>
    <w:p>
      <w:pPr>
        <w:spacing w:after="120" w:before="0" w:line="276" w:lineRule="auto"/>
        <w:jc w:val="both"/>
      </w:pPr>
      <w:r>
        <w:rPr>
          <w:rFonts w:ascii="Times New Roman" w:hAnsi="Times New Roman" w:cs="Times New Roman"/>
          <w:b w:val="0"/>
          <w:i w:val="0"/>
          <w:sz w:val="22"/>
        </w:rPr>
        <w:t>For the Indian clinician managing a patient with suspected or confirmed MASLD, a structured approach should integrate metabolic staging with hepatic assessment. HOMA-IR above 2.3 and TyG above 8.82 on the natural log scale — the Dr. Nehru Method operational thresholds derived from published Indian cohorts — should prompt active screening for hepatic steatosis even in the absence of elevated transaminases, since a substantial proportion of patients with significant liver fat have normal liver enzymes.¹⁰¹¹ Fibroscan with CAP and LSM should be the first-line non-invasive assessment where available, with android fat on DEXA serving as a useful adjunctive marker. Pharmacological choice should be individualised — SGLT2 inhibitors and GLP-1 or dual incretin agonists are reasonable first considerations in patients with concurrent diabetes, while Saroglitazar remains a practical option within its established Indian regulatory indication. Resmetirom represents an important option once broader Indian availability is established.</w:t>
      </w:r>
    </w:p>
    <w:p>
      <w:pPr>
        <w:keepNext/>
        <w:spacing w:before="240" w:after="120"/>
        <w:jc w:val="left"/>
      </w:pPr>
      <w:r>
        <w:rPr>
          <w:rFonts w:ascii="Arial" w:hAnsi="Arial" w:cs="Arial"/>
          <w:b/>
          <w:sz w:val="26"/>
        </w:rPr>
        <w:t>Clinical Summary — Chapter 10</w:t>
      </w:r>
    </w:p>
    <w:p>
      <w:pPr>
        <w:spacing w:after="120" w:before="0" w:line="276" w:lineRule="auto"/>
        <w:jc w:val="both"/>
      </w:pPr>
      <w:r>
        <w:rPr>
          <w:rFonts w:ascii="Times New Roman" w:hAnsi="Times New Roman" w:cs="Times New Roman"/>
          <w:b w:val="0"/>
          <w:i w:val="0"/>
          <w:sz w:val="22"/>
        </w:rPr>
        <w:t>• NAFLD renamed MASLD, NASH renamed MASH — 2023 multisociety Delphi consensus — requires steatosis plus one cardiometabolic risk factor.</w:t>
      </w:r>
    </w:p>
    <w:p>
      <w:pPr>
        <w:spacing w:after="120" w:before="0" w:line="276" w:lineRule="auto"/>
        <w:jc w:val="both"/>
      </w:pPr>
      <w:r>
        <w:rPr>
          <w:rFonts w:ascii="Times New Roman" w:hAnsi="Times New Roman" w:cs="Times New Roman"/>
          <w:b w:val="0"/>
          <w:i w:val="0"/>
          <w:sz w:val="22"/>
        </w:rPr>
        <w:t>• Global MASLD prevalence 30.05% — Younossi meta-analysis — 92 studies — N=9,361,716.</w:t>
      </w:r>
    </w:p>
    <w:p>
      <w:pPr>
        <w:spacing w:after="120" w:before="0" w:line="276" w:lineRule="auto"/>
        <w:jc w:val="both"/>
      </w:pPr>
      <w:r>
        <w:rPr>
          <w:rFonts w:ascii="Times New Roman" w:hAnsi="Times New Roman" w:cs="Times New Roman"/>
          <w:b w:val="0"/>
          <w:i w:val="0"/>
          <w:sz w:val="22"/>
        </w:rPr>
        <w:t>• CAP score correlates with histologic steatosis grade — not a literal fat cell count — surrogate marker only.</w:t>
      </w:r>
    </w:p>
    <w:p>
      <w:pPr>
        <w:spacing w:after="120" w:before="0" w:line="276" w:lineRule="auto"/>
        <w:jc w:val="both"/>
      </w:pPr>
      <w:r>
        <w:rPr>
          <w:rFonts w:ascii="Times New Roman" w:hAnsi="Times New Roman" w:cs="Times New Roman"/>
          <w:b w:val="0"/>
          <w:i w:val="0"/>
          <w:sz w:val="22"/>
        </w:rPr>
        <w:t>• Gut-liver axis via LPS-TLR4-NF-kB — important contributory mechanism — not sole proven driver in every patient.</w:t>
      </w:r>
    </w:p>
    <w:p>
      <w:pPr>
        <w:spacing w:after="120" w:before="0" w:line="276" w:lineRule="auto"/>
        <w:jc w:val="both"/>
      </w:pPr>
      <w:r>
        <w:rPr>
          <w:rFonts w:ascii="Times New Roman" w:hAnsi="Times New Roman" w:cs="Times New Roman"/>
          <w:b w:val="0"/>
          <w:i w:val="0"/>
          <w:sz w:val="22"/>
        </w:rPr>
        <w:t>• MASLD associated with increased cardiovascular risk — Targher et al. — degree of independence from traditional risk factors continues to be studied.</w:t>
      </w:r>
    </w:p>
    <w:p>
      <w:pPr>
        <w:spacing w:after="120" w:before="0" w:line="276" w:lineRule="auto"/>
        <w:jc w:val="both"/>
      </w:pPr>
      <w:r>
        <w:rPr>
          <w:rFonts w:ascii="Times New Roman" w:hAnsi="Times New Roman" w:cs="Times New Roman"/>
          <w:b w:val="0"/>
          <w:i w:val="0"/>
          <w:sz w:val="22"/>
        </w:rPr>
        <w:t>• Resmetirom — FDA approved March 2024 — MAESTRO-NASH N=966 — MASH resolution 25.9% to 29.9% vs 9.7% placebo — not yet widely available India.</w:t>
      </w:r>
    </w:p>
    <w:p>
      <w:pPr>
        <w:spacing w:after="120" w:before="0" w:line="276" w:lineRule="auto"/>
        <w:jc w:val="both"/>
      </w:pPr>
      <w:r>
        <w:rPr>
          <w:rFonts w:ascii="Times New Roman" w:hAnsi="Times New Roman" w:cs="Times New Roman"/>
          <w:b w:val="0"/>
          <w:i w:val="0"/>
          <w:sz w:val="22"/>
        </w:rPr>
        <w:t>• Tirzepatide — SYNERGY-NASH N=190 — MASH resolution up to 73.3% at highest dose vs 13.2% placebo — most effective agent currently reported.</w:t>
      </w:r>
    </w:p>
    <w:p>
      <w:pPr>
        <w:spacing w:after="120" w:before="0" w:line="276" w:lineRule="auto"/>
        <w:jc w:val="both"/>
      </w:pPr>
      <w:r>
        <w:rPr>
          <w:rFonts w:ascii="Times New Roman" w:hAnsi="Times New Roman" w:cs="Times New Roman"/>
          <w:b w:val="0"/>
          <w:i w:val="0"/>
          <w:sz w:val="22"/>
        </w:rPr>
        <w:t>• Saroglitazar — established India dyslipidaemia indication — EVIDENCES II N=106 — verify current exact NASH labelling before stating as regulatory fact.</w:t>
      </w:r>
    </w:p>
    <w:p>
      <w:pPr>
        <w:spacing w:after="120" w:before="0" w:line="276" w:lineRule="auto"/>
        <w:jc w:val="both"/>
      </w:pPr>
      <w:r>
        <w:rPr>
          <w:rFonts w:ascii="Times New Roman" w:hAnsi="Times New Roman" w:cs="Times New Roman"/>
          <w:b w:val="0"/>
          <w:i w:val="0"/>
          <w:sz w:val="22"/>
        </w:rPr>
        <w:t>• SGLT2 inhibitors reduce liver fat independent of weight loss — useful adjunct in diabetic patients with MASLD.</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NAFLD and NASH were renamed by the 2023 Delphi consensus to:</w:t>
      </w:r>
    </w:p>
    <w:p>
      <w:pPr>
        <w:spacing w:after="20"/>
        <w:ind w:left="432"/>
      </w:pPr>
      <w:r>
        <w:rPr>
          <w:rFonts w:ascii="Times New Roman" w:hAnsi="Times New Roman" w:cs="Times New Roman"/>
          <w:sz w:val="22"/>
        </w:rPr>
        <w:t>A. Fatty Liver Syndrome and Hepatic Steatosis Disorder</w:t>
      </w:r>
    </w:p>
    <w:p>
      <w:pPr>
        <w:spacing w:after="20"/>
        <w:ind w:left="432"/>
      </w:pPr>
      <w:r>
        <w:rPr>
          <w:rFonts w:ascii="Times New Roman" w:hAnsi="Times New Roman" w:cs="Times New Roman"/>
          <w:sz w:val="22"/>
        </w:rPr>
        <w:t>B. MASLD and MASH   C. Metabolic Liver Disease and Steatofibrosis   D. Type 2 Hepatopathy</w:t>
      </w:r>
    </w:p>
    <w:p>
      <w:pPr>
        <w:spacing w:after="40"/>
        <w:jc w:val="left"/>
      </w:pPr>
      <w:r>
        <w:rPr>
          <w:rFonts w:ascii="Times New Roman" w:hAnsi="Times New Roman" w:cs="Times New Roman"/>
          <w:b w:val="0"/>
          <w:sz w:val="22"/>
        </w:rPr>
        <w:t>2. The global MASLD prevalence reported by Younossi et al. meta-analysis was approximately:</w:t>
      </w:r>
    </w:p>
    <w:p>
      <w:pPr>
        <w:spacing w:after="20"/>
        <w:ind w:left="432"/>
      </w:pPr>
      <w:r>
        <w:rPr>
          <w:rFonts w:ascii="Times New Roman" w:hAnsi="Times New Roman" w:cs="Times New Roman"/>
          <w:sz w:val="22"/>
        </w:rPr>
        <w:t>A. 15%   B. 22%   C. 30%   D. 45%</w:t>
      </w:r>
    </w:p>
    <w:p>
      <w:pPr>
        <w:spacing w:after="40"/>
        <w:jc w:val="left"/>
      </w:pPr>
      <w:r>
        <w:rPr>
          <w:rFonts w:ascii="Times New Roman" w:hAnsi="Times New Roman" w:cs="Times New Roman"/>
          <w:b w:val="0"/>
          <w:sz w:val="22"/>
        </w:rPr>
        <w:t>3. Controlled Attenuation Parameter on Fibroscan is best described as:</w:t>
      </w:r>
    </w:p>
    <w:p>
      <w:pPr>
        <w:spacing w:after="20"/>
        <w:ind w:left="432"/>
      </w:pPr>
      <w:r>
        <w:rPr>
          <w:rFonts w:ascii="Times New Roman" w:hAnsi="Times New Roman" w:cs="Times New Roman"/>
          <w:sz w:val="22"/>
        </w:rPr>
        <w:t>A. A direct count of fat-laden hepatocytes</w:t>
      </w:r>
    </w:p>
    <w:p>
      <w:pPr>
        <w:spacing w:after="20"/>
        <w:ind w:left="432"/>
      </w:pPr>
      <w:r>
        <w:rPr>
          <w:rFonts w:ascii="Times New Roman" w:hAnsi="Times New Roman" w:cs="Times New Roman"/>
          <w:sz w:val="22"/>
        </w:rPr>
        <w:t>B. A surrogate marker correlating with histologic steatosis grade</w:t>
      </w:r>
    </w:p>
    <w:p>
      <w:pPr>
        <w:spacing w:after="20"/>
        <w:ind w:left="432"/>
      </w:pPr>
      <w:r>
        <w:rPr>
          <w:rFonts w:ascii="Times New Roman" w:hAnsi="Times New Roman" w:cs="Times New Roman"/>
          <w:sz w:val="22"/>
        </w:rPr>
        <w:t>C. A measure of liver fibrosis only   D. An invasive biopsy alternative requiring sedation</w:t>
      </w:r>
    </w:p>
    <w:p>
      <w:pPr>
        <w:spacing w:after="40"/>
        <w:jc w:val="left"/>
      </w:pPr>
      <w:r>
        <w:rPr>
          <w:rFonts w:ascii="Times New Roman" w:hAnsi="Times New Roman" w:cs="Times New Roman"/>
          <w:b w:val="0"/>
          <w:sz w:val="22"/>
        </w:rPr>
        <w:t>4. In the SYNERGY-NASH trial, the highest tirzepatide dose achieved MASH resolution in approximately:</w:t>
      </w:r>
    </w:p>
    <w:p>
      <w:pPr>
        <w:spacing w:after="20"/>
        <w:ind w:left="432"/>
      </w:pPr>
      <w:r>
        <w:rPr>
          <w:rFonts w:ascii="Times New Roman" w:hAnsi="Times New Roman" w:cs="Times New Roman"/>
          <w:sz w:val="22"/>
        </w:rPr>
        <w:t>A. 13.2%   B. 51.8%   C. 62.8%   D. 73.3%</w:t>
      </w:r>
    </w:p>
    <w:p>
      <w:pPr>
        <w:spacing w:after="40"/>
        <w:jc w:val="left"/>
      </w:pPr>
      <w:r>
        <w:rPr>
          <w:rFonts w:ascii="Times New Roman" w:hAnsi="Times New Roman" w:cs="Times New Roman"/>
          <w:b w:val="0"/>
          <w:sz w:val="22"/>
        </w:rPr>
        <w:t>5. Resmetirom received FDA accelerated approval for MASH in:</w:t>
      </w:r>
    </w:p>
    <w:p>
      <w:pPr>
        <w:spacing w:after="20"/>
        <w:ind w:left="432"/>
      </w:pPr>
      <w:r>
        <w:rPr>
          <w:rFonts w:ascii="Times New Roman" w:hAnsi="Times New Roman" w:cs="Times New Roman"/>
          <w:sz w:val="22"/>
        </w:rPr>
        <w:t>A. March 2022   B. March 2023   C. March 2024   D. March 2025</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B  4. D  5.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Rinella ME, Lazarus JV, Ratziu V, et al. A multisociety Delphi consensus statement on new fatty liver disease nomenclature. Hepatology. 2023;78(6):1966-1986.</w:t>
      </w:r>
    </w:p>
    <w:p>
      <w:pPr>
        <w:spacing w:after="40"/>
        <w:jc w:val="left"/>
      </w:pPr>
      <w:r>
        <w:rPr>
          <w:rFonts w:ascii="Times New Roman" w:hAnsi="Times New Roman" w:cs="Times New Roman"/>
          <w:sz w:val="19"/>
        </w:rPr>
        <w:t>2. Younossi ZM et al. Global epidemiology of nonalcoholic fatty liver disease — meta-analysis of prevalence, incidence, and outcomes. Hepatology. Meta-analysis of 92 studies, N=9,361,716.</w:t>
      </w:r>
    </w:p>
    <w:p>
      <w:pPr>
        <w:spacing w:after="40"/>
        <w:jc w:val="left"/>
      </w:pPr>
      <w:r>
        <w:rPr>
          <w:rFonts w:ascii="Times New Roman" w:hAnsi="Times New Roman" w:cs="Times New Roman"/>
          <w:sz w:val="19"/>
        </w:rPr>
        <w:t>3. Fibroscan CAP validation literature — controlled attenuation parameter correlation with histologic steatosis grade.</w:t>
      </w:r>
    </w:p>
    <w:p>
      <w:pPr>
        <w:spacing w:after="40"/>
        <w:jc w:val="left"/>
      </w:pPr>
      <w:r>
        <w:rPr>
          <w:rFonts w:ascii="Times New Roman" w:hAnsi="Times New Roman" w:cs="Times New Roman"/>
          <w:sz w:val="19"/>
        </w:rPr>
        <w:t>4. Gut-liver axis — LPS-TLR4-NF-kB pathway in hepatic steatohepatitis — contributory mechanism literature.</w:t>
      </w:r>
    </w:p>
    <w:p>
      <w:pPr>
        <w:spacing w:after="40"/>
        <w:jc w:val="left"/>
      </w:pPr>
      <w:r>
        <w:rPr>
          <w:rFonts w:ascii="Times New Roman" w:hAnsi="Times New Roman" w:cs="Times New Roman"/>
          <w:sz w:val="19"/>
        </w:rPr>
        <w:t>5. Targher G, Day CP, Bonora E. Risk of cardiovascular disease in patients with nonalcoholic fatty liver disease. N Engl J Med. 2010;363(14):1341-1350.</w:t>
      </w:r>
    </w:p>
    <w:p>
      <w:pPr>
        <w:spacing w:after="40"/>
        <w:jc w:val="left"/>
      </w:pPr>
      <w:r>
        <w:rPr>
          <w:rFonts w:ascii="Times New Roman" w:hAnsi="Times New Roman" w:cs="Times New Roman"/>
          <w:sz w:val="19"/>
        </w:rPr>
        <w:t>6. Saroglitazar EVIDENCES II trial N=106; PRESS V and PRESS VI trials — dyslipidaemia indication.</w:t>
      </w:r>
    </w:p>
    <w:p>
      <w:pPr>
        <w:spacing w:after="40"/>
        <w:jc w:val="left"/>
      </w:pPr>
      <w:r>
        <w:rPr>
          <w:rFonts w:ascii="Times New Roman" w:hAnsi="Times New Roman" w:cs="Times New Roman"/>
          <w:sz w:val="19"/>
        </w:rPr>
        <w:t>7. Harrison SA et al. Resmetirom for the treatment of MASH with liver fibrosis. N Engl J Med. 2024. MAESTRO-NASH trial N=966.</w:t>
      </w:r>
    </w:p>
    <w:p>
      <w:pPr>
        <w:spacing w:after="40"/>
        <w:jc w:val="left"/>
      </w:pPr>
      <w:r>
        <w:rPr>
          <w:rFonts w:ascii="Times New Roman" w:hAnsi="Times New Roman" w:cs="Times New Roman"/>
          <w:sz w:val="19"/>
        </w:rPr>
        <w:t>8. Loomba R et al. Tirzepatide for metabolic dysfunction-associated steatohepatitis with liver fibrosis. N Engl J Med. 2024. SYNERGY-NASH trial N=190.</w:t>
      </w:r>
    </w:p>
    <w:p>
      <w:pPr>
        <w:spacing w:after="40"/>
        <w:jc w:val="left"/>
      </w:pPr>
      <w:r>
        <w:rPr>
          <w:rFonts w:ascii="Times New Roman" w:hAnsi="Times New Roman" w:cs="Times New Roman"/>
          <w:sz w:val="19"/>
        </w:rPr>
        <w:t>9. SGLT2 inhibitor trials — empagliflozin and dapagliflozin — liver fat reduction via MRI-PDFF and Fibroscan CAP, 2024-2025.</w:t>
      </w:r>
    </w:p>
    <w:p>
      <w:pPr>
        <w:spacing w:after="40"/>
        <w:jc w:val="left"/>
      </w:pPr>
      <w:r>
        <w:rPr>
          <w:rFonts w:ascii="Times New Roman" w:hAnsi="Times New Roman" w:cs="Times New Roman"/>
          <w:sz w:val="19"/>
        </w:rPr>
        <w:t>10. Nehru MS et al. HOMA-IR India cutoff above 2.3. Int J Med. 2026;8(2):977-983.</w:t>
      </w:r>
    </w:p>
    <w:p>
      <w:pPr>
        <w:spacing w:after="40"/>
        <w:jc w:val="left"/>
      </w:pPr>
      <w:r>
        <w:rPr>
          <w:rFonts w:ascii="Times New Roman" w:hAnsi="Times New Roman" w:cs="Times New Roman"/>
          <w:sz w:val="19"/>
        </w:rPr>
        <w:t>11. Nehru MS et al. TyG Index India cutoff above 8.82 natural log. IJCPR. 2026;18(2):826-833.</w:t>
      </w:r>
    </w:p>
    <w:p>
      <w:r>
        <w:br w:type="page"/>
      </w:r>
    </w:p>
    <w:p>
      <w:pPr>
        <w:jc w:val="left"/>
      </w:pPr>
      <w:r>
        <w:rPr>
          <w:rFonts w:ascii="Arial" w:hAnsi="Arial" w:cs="Arial"/>
          <w:b/>
          <w:sz w:val="26"/>
        </w:rPr>
        <w:t>CHAPTER 11</w:t>
      </w:r>
    </w:p>
    <w:p>
      <w:pPr>
        <w:keepNext/>
        <w:spacing w:before="360" w:after="120"/>
        <w:jc w:val="left"/>
      </w:pPr>
      <w:r>
        <w:rPr>
          <w:rFonts w:ascii="Arial" w:hAnsi="Arial" w:cs="Arial"/>
          <w:b/>
          <w:sz w:val="32"/>
        </w:rPr>
        <w:t>Atherogenic Dyslipidaemia</w:t>
      </w:r>
    </w:p>
    <w:p>
      <w:pPr>
        <w:keepNext/>
        <w:spacing w:before="240" w:after="120"/>
        <w:jc w:val="left"/>
      </w:pPr>
      <w:r>
        <w:rPr>
          <w:rFonts w:ascii="Arial" w:hAnsi="Arial" w:cs="Arial"/>
          <w:b/>
          <w:sz w:val="26"/>
        </w:rPr>
        <w:t>The Triglyceride-HDL Axis and the Indian Cardiovascular Paradox</w:t>
      </w:r>
    </w:p>
    <w:p>
      <w:pPr>
        <w:keepNext/>
        <w:spacing w:before="240" w:after="120"/>
        <w:jc w:val="left"/>
      </w:pPr>
      <w:r>
        <w:rPr>
          <w:rFonts w:ascii="Arial" w:hAnsi="Arial" w:cs="Arial"/>
          <w:b/>
          <w:sz w:val="26"/>
        </w:rPr>
        <w:t>Introduction</w:t>
      </w:r>
    </w:p>
    <w:p>
      <w:pPr>
        <w:spacing w:after="120" w:before="0" w:line="276" w:lineRule="auto"/>
        <w:jc w:val="both"/>
      </w:pPr>
      <w:r>
        <w:rPr>
          <w:rFonts w:ascii="Times New Roman" w:hAnsi="Times New Roman" w:cs="Times New Roman"/>
          <w:b w:val="0"/>
          <w:i w:val="0"/>
          <w:sz w:val="22"/>
        </w:rPr>
        <w:t>In the standard lipid report handed to an Indian patient, the number that receives the most attention is LDL cholesterol. Physicians adjust statin doses to drive it lower. Guidelines set targets. Patients ask whether their LDL has reached the goal. Yet across India's cardiology wards and coronary care units, a troubling pattern repeats itself daily: patients arrive with myocardial infarctions and strokes carrying LDL values that are entirely within the acceptable range. Their total cholesterol may even appear reassuring. What their reports consistently show, buried lower on the printout, is a triglyceride above 200 mg/dL and an HDL below 40 mg/dL. This is not a coincidence. It is a pattern, and it has a name: atherogenic dyslipidaemia.</w:t>
      </w:r>
    </w:p>
    <w:p>
      <w:pPr>
        <w:spacing w:after="120" w:before="0" w:line="276" w:lineRule="auto"/>
        <w:jc w:val="both"/>
      </w:pPr>
      <w:r>
        <w:rPr>
          <w:rFonts w:ascii="Times New Roman" w:hAnsi="Times New Roman" w:cs="Times New Roman"/>
          <w:b w:val="0"/>
          <w:i w:val="0"/>
          <w:sz w:val="22"/>
        </w:rPr>
        <w:t>Atherogenic dyslipidaemia is not a single lipid abnormality. It is a metabolic cluster — elevated triglycerides, reduced HDL cholesterol, a shift toward small dense LDL particles, and elevated remnant cholesterol — all arising from the same upstream driver: insulin resistance. In the Indian patient, this cluster is the dominant lipid phenotype associated with cardiovascular events. Yet it remains under-recognised, under-measured, and under-treated, in part because our clinical gaze remains fixed on LDL.</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11.1 ]</w:t>
      </w:r>
    </w:p>
    <w:p>
      <w:pPr>
        <w:spacing w:before="40" w:after="200"/>
        <w:jc w:val="center"/>
      </w:pPr>
      <w:r>
        <w:rPr>
          <w:rFonts w:ascii="Times New Roman" w:hAnsi="Times New Roman" w:cs="Times New Roman"/>
          <w:b w:val="0"/>
          <w:i/>
          <w:sz w:val="18"/>
        </w:rPr>
        <w:t>Figure 11.1 — Atherogenic dyslipidaemia: high triglycerides, low HDL, small dense LDL.</w:t>
      </w:r>
    </w:p>
    <w:p>
      <w:pPr>
        <w:spacing w:after="120" w:before="0" w:line="276" w:lineRule="auto"/>
        <w:jc w:val="both"/>
      </w:pPr>
      <w:r>
        <w:rPr>
          <w:rFonts w:ascii="Times New Roman" w:hAnsi="Times New Roman" w:cs="Times New Roman"/>
          <w:b w:val="0"/>
          <w:i w:val="0"/>
          <w:sz w:val="22"/>
        </w:rPr>
        <w:t>This chapter argues that the Indian lipid story is fundamentally a triglyceride-HDL story. It presents the evidence base for atherogenic dyslipidaemia, explains the mechanistic pathway through which insulin resistance generates this lipid phenotype, examines why standard LDL-centric therapy fails a substantial proportion of Indian patients, and proposes the role of the Triglyceride-Glucose Index — the TyG Index — as a bedside marker that captures residual cardiovascular risk where the lipid panel falls short.</w:t>
      </w:r>
    </w:p>
    <w:p>
      <w:pPr>
        <w:keepNext/>
        <w:spacing w:before="240" w:after="120"/>
        <w:jc w:val="left"/>
      </w:pPr>
      <w:r>
        <w:rPr>
          <w:rFonts w:ascii="Arial" w:hAnsi="Arial" w:cs="Arial"/>
          <w:b/>
          <w:sz w:val="26"/>
        </w:rPr>
        <w:t>The Indian Cardiovascular Paradox</w:t>
      </w:r>
    </w:p>
    <w:p>
      <w:pPr>
        <w:spacing w:after="120" w:before="0" w:line="276" w:lineRule="auto"/>
        <w:jc w:val="both"/>
      </w:pPr>
      <w:r>
        <w:rPr>
          <w:rFonts w:ascii="Times New Roman" w:hAnsi="Times New Roman" w:cs="Times New Roman"/>
          <w:b w:val="0"/>
          <w:i w:val="0"/>
          <w:sz w:val="22"/>
        </w:rPr>
        <w:t>India presents an epidemiological paradox that has puzzled lipidologists for three decades. Indian populations consistently demonstrate lower mean LDL cholesterol compared to Western counterparts, yet carry cardiovascular disease burden that is not only higher in absolute terms but also occurs at a younger age. Indians experience their first myocardial infarction on average a full decade earlier than Europeans. Case-fatality rates are higher. Coronary artery disease is more diffuse rather than focal. The angiographic and autopsy pattern shows a generalised small-vessel disease rather than the dominant single-vessel occlusion more common in Western patients.</w:t>
      </w:r>
    </w:p>
    <w:p>
      <w:pPr>
        <w:spacing w:after="120" w:before="0" w:line="276" w:lineRule="auto"/>
        <w:jc w:val="both"/>
      </w:pPr>
      <w:r>
        <w:rPr>
          <w:rFonts w:ascii="Times New Roman" w:hAnsi="Times New Roman" w:cs="Times New Roman"/>
          <w:b w:val="0"/>
          <w:i w:val="0"/>
          <w:sz w:val="22"/>
        </w:rPr>
        <w:t>How does a population with lower LDL develop more cardiovascular disease? The paradox dissolves when the lipid focus shifts from LDL to the triglyceride-HDL axis. The landmark ICMR-INDIAB study by Joshi and colleagues, examining 16,607 individuals across India, documented that hypertriglyceridaemia and low HDL, not elevated LDL, were the dominant lipid abnormalities in the Indian population.1 In urban areas, the prevalence of atherogenic dyslipidaemia exceeded 50 percent. Even in rural populations with low total cholesterol and low LDL, the triglyceride-HDL dysregulation was pervasive.</w:t>
      </w:r>
    </w:p>
    <w:p>
      <w:pPr>
        <w:spacing w:after="120" w:before="0" w:line="276" w:lineRule="auto"/>
        <w:jc w:val="both"/>
      </w:pPr>
      <w:r>
        <w:rPr>
          <w:rFonts w:ascii="Times New Roman" w:hAnsi="Times New Roman" w:cs="Times New Roman"/>
          <w:b w:val="0"/>
          <w:i w:val="0"/>
          <w:sz w:val="22"/>
        </w:rPr>
        <w:t>This finding reframes the Indian lipid narrative entirely. The Indian cardiovascular burden is not an LDL problem. It is a metabolic dyslipidaemia problem rooted in insulin resistance, visceral adiposity, and the high glycaemic dietary patterns that characterise the contemporary Indian diet.</w:t>
      </w:r>
    </w:p>
    <w:p>
      <w:pPr>
        <w:keepNext/>
        <w:spacing w:before="240" w:after="120"/>
        <w:jc w:val="left"/>
      </w:pPr>
      <w:r>
        <w:rPr>
          <w:rFonts w:ascii="Arial" w:hAnsi="Arial" w:cs="Arial"/>
          <w:b/>
          <w:sz w:val="26"/>
        </w:rPr>
        <w:t>Pathophysiology: How Insulin Resistance Generates Atherogenic Dyslipidaemia</w:t>
      </w:r>
    </w:p>
    <w:p>
      <w:pPr>
        <w:spacing w:after="120" w:before="0" w:line="276" w:lineRule="auto"/>
        <w:jc w:val="both"/>
      </w:pPr>
      <w:r>
        <w:rPr>
          <w:rFonts w:ascii="Times New Roman" w:hAnsi="Times New Roman" w:cs="Times New Roman"/>
          <w:b w:val="0"/>
          <w:i w:val="0"/>
          <w:sz w:val="22"/>
        </w:rPr>
        <w:t>The biochemical pathway connecting insulin resistance to atherogenic dyslipidaemia is well established. Under normal insulin signalling, the liver suppresses very low-density lipoprotein (VLDL) production. Adipose tissue, responsive to insulin, suppresses lipolysis and the release of free fatty acids into the portal circulation. Lipoprotein lipase activity in peripheral tissues is maintained, ensuring efficient triglyceride clearance from the bloodstream.</w:t>
      </w:r>
    </w:p>
    <w:p>
      <w:pPr>
        <w:spacing w:after="120" w:before="0" w:line="276" w:lineRule="auto"/>
        <w:jc w:val="both"/>
      </w:pPr>
      <w:r>
        <w:rPr>
          <w:rFonts w:ascii="Times New Roman" w:hAnsi="Times New Roman" w:cs="Times New Roman"/>
          <w:b w:val="0"/>
          <w:i w:val="0"/>
          <w:sz w:val="22"/>
        </w:rPr>
        <w:t>In the insulin-resistant state, each of these regulatory mechanisms fails. Hepatic insulin resistance impairs the suppression of VLDL synthesis; the liver overproduces large, triglyceride-enriched VLDL particles and releases them into the circulation in excess. Adipose tissue, resistant to insulin's anti-lipolytic effect, releases free fatty acids at an inappropriately high rate, further loading the liver with substrate for VLDL production. Lipoprotein lipase activity is reduced, impairing clearance of triglyceride-rich particles from the plasma.</w:t>
      </w:r>
    </w:p>
    <w:p>
      <w:pPr>
        <w:spacing w:after="120" w:before="0" w:line="276" w:lineRule="auto"/>
        <w:jc w:val="both"/>
      </w:pPr>
      <w:r>
        <w:rPr>
          <w:rFonts w:ascii="Times New Roman" w:hAnsi="Times New Roman" w:cs="Times New Roman"/>
          <w:b w:val="0"/>
          <w:i w:val="0"/>
          <w:sz w:val="22"/>
        </w:rPr>
        <w:t>The consequence is a sustained elevation in plasma triglycerides. These triglyceride-rich VLDL particles do not remain inert; they interact with HDL and LDL particles through the action of cholesterol ester transfer protein (CETP). CETP mediates an exchange: triglycerides move from VLDL into HDL and LDL particles, while cholesterol esters move in the reverse direction. The HDL particles, now triglyceride-enriched, become substrates for hepatic lipase, which hydrolyses them into smaller, denser, catabolically unstable forms. HDL cholesterol concentration falls. HDL particle function — specifically its capacity for reverse cholesterol transport and endothelial protection — is impaired.</w:t>
      </w:r>
    </w:p>
    <w:p>
      <w:pPr>
        <w:spacing w:after="120" w:before="0" w:line="276" w:lineRule="auto"/>
        <w:jc w:val="both"/>
      </w:pPr>
      <w:r>
        <w:rPr>
          <w:rFonts w:ascii="Times New Roman" w:hAnsi="Times New Roman" w:cs="Times New Roman"/>
          <w:b w:val="0"/>
          <w:i w:val="0"/>
          <w:sz w:val="22"/>
        </w:rPr>
        <w:t>The LDL particles undergo a parallel transformation. Triglyceride enrichment followed by lipase action produces small, dense LDL particles. These sdLDL particles are more atherogenic than large buoyant LDL for multiple reasons: they have lower affinity for the LDL receptor, resulting in longer plasma residence time; they penetrate the arterial intima more readily due to their smaller size; they are more susceptible to oxidative modification; and they are more pro-inflammatory in their interaction with vascular endothelial cells. Standard LDL measurement using the Friedewald equation or direct assay measures LDL cholesterol mass, not particle number or size. A patient with predominantly sdLDL may have a deceptively normal LDL-C value while carrying a substantially elevated atherogenic particle burden.</w:t>
      </w:r>
    </w:p>
    <w:p>
      <w:pPr>
        <w:spacing w:after="120" w:before="0" w:line="276" w:lineRule="auto"/>
        <w:jc w:val="both"/>
      </w:pPr>
      <w:r>
        <w:rPr>
          <w:rFonts w:ascii="Times New Roman" w:hAnsi="Times New Roman" w:cs="Times New Roman"/>
          <w:b w:val="0"/>
          <w:i w:val="0"/>
          <w:sz w:val="22"/>
        </w:rPr>
        <w:t>Taskinen and colleagues have provided a comprehensive mechanistic review of how this TG-HDL dyslipidaemia represents an integrated pathophysiological phenotype driven by insulin resistance, with each component amplifying the others in a self-reinforcing cycle.5</w:t>
      </w:r>
    </w:p>
    <w:p>
      <w:pPr>
        <w:keepNext/>
        <w:spacing w:before="240" w:after="120"/>
        <w:jc w:val="left"/>
      </w:pPr>
      <w:r>
        <w:rPr>
          <w:rFonts w:ascii="Arial" w:hAnsi="Arial" w:cs="Arial"/>
          <w:b/>
          <w:sz w:val="26"/>
        </w:rPr>
        <w:t>Remnant Cholesterol: The Missing Atherogenic Fraction</w:t>
      </w:r>
    </w:p>
    <w:p>
      <w:pPr>
        <w:spacing w:after="120" w:before="0" w:line="276" w:lineRule="auto"/>
        <w:jc w:val="both"/>
      </w:pPr>
      <w:r>
        <w:rPr>
          <w:rFonts w:ascii="Times New Roman" w:hAnsi="Times New Roman" w:cs="Times New Roman"/>
          <w:b w:val="0"/>
          <w:i w:val="0"/>
          <w:sz w:val="22"/>
        </w:rPr>
        <w:t>Beyond triglycerides and HDL lies a lipid fraction that has received increasing attention in recent years: remnant cholesterol. Remnant cholesterol represents the cholesterol carried in triglyceride-rich lipoprotein remnants — partially metabolised VLDL, intermediate-density lipoprotein (IDL), and chylomicron remnants. These particles are generated during the incomplete lipolysis of triglyceride-rich lipoproteins, a process that is particularly impaired in states of insulin resistance and high carbohydrate intake.</w:t>
      </w:r>
    </w:p>
    <w:p>
      <w:pPr>
        <w:spacing w:after="120" w:before="0" w:line="276" w:lineRule="auto"/>
        <w:jc w:val="both"/>
      </w:pPr>
      <w:r>
        <w:rPr>
          <w:rFonts w:ascii="Times New Roman" w:hAnsi="Times New Roman" w:cs="Times New Roman"/>
          <w:b w:val="0"/>
          <w:i w:val="0"/>
          <w:sz w:val="22"/>
        </w:rPr>
        <w:t>Remnant particles are directly atherogenic. Unlike LDL, which must undergo modification to enter the arterial wall, remnant particles can be taken up by macrophages directly, contributing to foam cell formation and plaque development. Their cholesterol content per particle is substantially higher than LDL, giving them disproportionate atherogenic potency relative to their circulating concentration.</w:t>
      </w:r>
    </w:p>
    <w:p>
      <w:pPr>
        <w:spacing w:after="120" w:before="0" w:line="276" w:lineRule="auto"/>
        <w:jc w:val="both"/>
      </w:pPr>
      <w:r>
        <w:rPr>
          <w:rFonts w:ascii="Times New Roman" w:hAnsi="Times New Roman" w:cs="Times New Roman"/>
          <w:b w:val="0"/>
          <w:i w:val="0"/>
          <w:sz w:val="22"/>
        </w:rPr>
        <w:t>The Copenhagen General Population Study, reported by Wadstrom and colleagues in 2024, analysed 93,461 individuals and provided robust population-level evidence that remnant cholesterol is an independent predictor of cardiovascular events beyond standard lipid parameters.6 This large-scale confirmation of remnant cholesterol's atherogenicity reinforces the mechanistic argument: in the insulin-resistant Indian patient with elevated triglycerides, the remnant cholesterol burden is high, and standard LDL measurement captures none of this risk.</w:t>
      </w:r>
    </w:p>
    <w:p>
      <w:pPr>
        <w:keepNext/>
        <w:spacing w:before="240" w:after="120"/>
        <w:jc w:val="left"/>
      </w:pPr>
      <w:r>
        <w:rPr>
          <w:rFonts w:ascii="Arial" w:hAnsi="Arial" w:cs="Arial"/>
          <w:b/>
          <w:sz w:val="26"/>
        </w:rPr>
        <w:t>The Failure of LDL-Centric Thinking: Lessons from PROMINENT</w:t>
      </w:r>
    </w:p>
    <w:p>
      <w:pPr>
        <w:spacing w:after="120" w:before="0" w:line="276" w:lineRule="auto"/>
        <w:jc w:val="both"/>
      </w:pPr>
      <w:r>
        <w:rPr>
          <w:rFonts w:ascii="Times New Roman" w:hAnsi="Times New Roman" w:cs="Times New Roman"/>
          <w:b w:val="0"/>
          <w:i w:val="0"/>
          <w:sz w:val="22"/>
        </w:rPr>
        <w:t>If atherogenic dyslipidaemia is real, mechanistically coherent, and epidemiologically prominent, why has the clinical community not moved beyond LDL? Part of the answer lies in the extraordinary success of statin trials in LDL reduction and cardiovascular event reduction. The intellectual infrastructure of lipidology was built on those trials, and LDL became the surrogate marker of cardiovascular risk management.</w:t>
      </w:r>
    </w:p>
    <w:p>
      <w:pPr>
        <w:spacing w:after="120" w:before="0" w:line="276" w:lineRule="auto"/>
        <w:jc w:val="both"/>
      </w:pPr>
      <w:r>
        <w:rPr>
          <w:rFonts w:ascii="Times New Roman" w:hAnsi="Times New Roman" w:cs="Times New Roman"/>
          <w:b w:val="0"/>
          <w:i w:val="0"/>
          <w:sz w:val="22"/>
        </w:rPr>
        <w:t>The Mendelian randomisation work of Ference and colleagues, analysing genetic data from 654,783 individuals, demonstrated convincingly that the magnitude of cardiovascular risk reduction from lipid-lowering interventions is proportional to the absolute reduction in apolipoprotein B — the structural protein present in all atherogenic lipoprotein particles, including VLDL, IDL, LDL, and remnants.2 This finding carries a critical implication: triglyceride lowering that does not reduce apoB will not reduce cardiovascular events. Lowering triglycerides without reducing the number of atherogenic particles circulating in the plasma is biochemically insufficient.</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11.2 ]</w:t>
      </w:r>
    </w:p>
    <w:p>
      <w:pPr>
        <w:spacing w:before="40" w:after="200"/>
        <w:jc w:val="center"/>
      </w:pPr>
      <w:r>
        <w:rPr>
          <w:rFonts w:ascii="Times New Roman" w:hAnsi="Times New Roman" w:cs="Times New Roman"/>
          <w:b w:val="0"/>
          <w:i/>
          <w:sz w:val="18"/>
        </w:rPr>
        <w:t>Figure 11.2 — ApoB particle burden as the driver of ASCVD risk.</w:t>
      </w:r>
    </w:p>
    <w:p>
      <w:pPr>
        <w:spacing w:after="120" w:before="0" w:line="276" w:lineRule="auto"/>
        <w:jc w:val="both"/>
      </w:pPr>
      <w:r>
        <w:rPr>
          <w:rFonts w:ascii="Times New Roman" w:hAnsi="Times New Roman" w:cs="Times New Roman"/>
          <w:b w:val="0"/>
          <w:i w:val="0"/>
          <w:sz w:val="22"/>
        </w:rPr>
        <w:t>The PROMINENT trial, reported by Das Pradhan and colleagues in the New England Journal of Medicine in 2022, tested pemafibrate — a selective peroxisome proliferator-activated receptor alpha modulator — in 10,497 patients with type 2 diabetes, mild-to-moderate hypertriglyceridaemia, and low HDL.3 The drug reduced triglycerides by 26 percent, raised HDL, and lowered remnant cholesterol. Yet it produced no reduction whatsoever in major adverse cardiovascular events. The trial was stopped early for futility.</w:t>
      </w:r>
    </w:p>
    <w:p>
      <w:pPr>
        <w:spacing w:after="120" w:before="0" w:line="276" w:lineRule="auto"/>
        <w:jc w:val="both"/>
      </w:pPr>
      <w:r>
        <w:rPr>
          <w:rFonts w:ascii="Times New Roman" w:hAnsi="Times New Roman" w:cs="Times New Roman"/>
          <w:b w:val="0"/>
          <w:i w:val="0"/>
          <w:sz w:val="22"/>
        </w:rPr>
        <w:t>PROMINENT's failure was intellectually clarifying rather than merely disappointing. Pemafibrate reduced triglycerides without meaningfully reducing apoB. The atherogenic particle number remained unchanged. Downstream lipid remodelling without upstream particle reduction delivered no clinical benefit. This mechanistic lesson must inform how we approach atherogenic dyslipidaemia in clinical practice: the therapeutic target is not triglyceride concentration in isolation. It is the insulin-resistant state that drives excess VLDL production and apoB particle burden.</w:t>
      </w:r>
    </w:p>
    <w:p>
      <w:pPr>
        <w:spacing w:after="120" w:before="0" w:line="276" w:lineRule="auto"/>
        <w:jc w:val="both"/>
      </w:pPr>
      <w:r>
        <w:rPr>
          <w:rFonts w:ascii="Times New Roman" w:hAnsi="Times New Roman" w:cs="Times New Roman"/>
          <w:b w:val="0"/>
          <w:i w:val="0"/>
          <w:sz w:val="22"/>
        </w:rPr>
        <w:t>This distinction is particularly relevant in the Indian context, where triglyceride elevation is almost always metabolic in origin — driven by insulin resistance, high glycaemic carbohydrate intake, and visceral adiposity — rather than a primary familial hypertriglyceridaemia. Addressing the metabolic root cause rather than the lipid number is the correct therapeutic logic.</w:t>
      </w:r>
    </w:p>
    <w:p>
      <w:pPr>
        <w:keepNext/>
        <w:spacing w:before="240" w:after="120"/>
        <w:jc w:val="left"/>
      </w:pPr>
      <w:r>
        <w:rPr>
          <w:rFonts w:ascii="Arial" w:hAnsi="Arial" w:cs="Arial"/>
          <w:b/>
          <w:sz w:val="26"/>
        </w:rPr>
        <w:t>HDL Efflux Capacity: Function Matters More Than Concentration</w:t>
      </w:r>
    </w:p>
    <w:p>
      <w:pPr>
        <w:spacing w:after="120" w:before="0" w:line="276" w:lineRule="auto"/>
        <w:jc w:val="both"/>
      </w:pPr>
      <w:r>
        <w:rPr>
          <w:rFonts w:ascii="Times New Roman" w:hAnsi="Times New Roman" w:cs="Times New Roman"/>
          <w:b w:val="0"/>
          <w:i w:val="0"/>
          <w:sz w:val="22"/>
        </w:rPr>
        <w:t>The relationship between HDL and cardiovascular risk has long been assumed to be simple: higher HDL is protective. Population studies consistently show an inverse relationship between HDL cholesterol and cardiovascular events. Yet multiple large trials attempting to raise HDL pharmacologically — using niacin and CETP inhibitors — failed to reduce cardiovascular events despite substantial increases in HDL concentration.</w:t>
      </w:r>
    </w:p>
    <w:p>
      <w:pPr>
        <w:spacing w:after="120" w:before="0" w:line="276" w:lineRule="auto"/>
        <w:jc w:val="both"/>
      </w:pPr>
      <w:r>
        <w:rPr>
          <w:rFonts w:ascii="Times New Roman" w:hAnsi="Times New Roman" w:cs="Times New Roman"/>
          <w:b w:val="0"/>
          <w:i w:val="0"/>
          <w:sz w:val="22"/>
        </w:rPr>
        <w:t>The resolution to this paradox came from the concept of HDL efflux capacity. HDL's protective role in atherosclerosis operates primarily through reverse cholesterol transport — the process by which HDL accepts cholesterol from lipid-laden macrophages in the arterial wall and carries it back to the liver for excretion. This function is captured by HDL efflux capacity: the ability of HDL particles to accept cholesterol from macrophages in an ex vivo assay.</w:t>
      </w:r>
    </w:p>
    <w:p>
      <w:pPr>
        <w:spacing w:after="120" w:before="0" w:line="276" w:lineRule="auto"/>
        <w:jc w:val="both"/>
      </w:pPr>
      <w:r>
        <w:rPr>
          <w:rFonts w:ascii="Times New Roman" w:hAnsi="Times New Roman" w:cs="Times New Roman"/>
          <w:b w:val="0"/>
          <w:i w:val="0"/>
          <w:sz w:val="22"/>
        </w:rPr>
        <w:t>Rohatgi and colleagues, in a landmark study of 2,924 adults published in the New England Journal of Medicine in 2014, demonstrated that HDL efflux capacity was a strong inverse predictor of incident cardiovascular disease and carotid intima-media thickness, independent of HDL cholesterol concentration.7 Critically, HDL efflux capacity was not strongly correlated with HDL-C. Patients with apparently adequate HDL cholesterol could have markedly impaired efflux capacity, particularly in the setting of insulin resistance, where dysfunctional HDL particles circulate in abundance.</w:t>
      </w:r>
    </w:p>
    <w:p>
      <w:pPr>
        <w:spacing w:after="120" w:before="0" w:line="276" w:lineRule="auto"/>
        <w:jc w:val="both"/>
      </w:pPr>
      <w:r>
        <w:rPr>
          <w:rFonts w:ascii="Times New Roman" w:hAnsi="Times New Roman" w:cs="Times New Roman"/>
          <w:b w:val="0"/>
          <w:i w:val="0"/>
          <w:sz w:val="22"/>
        </w:rPr>
        <w:t>In the Indian insulin-resistant patient, the HDL measured on a standard lipid panel is not merely low in concentration — it is dysfunctional. It has been remodelled through CETP-mediated triglyceride enrichment and lipase-mediated catabolism into particles with impaired efflux capacity. The clinical implication is that raising HDL-C pharmacologically without restoring HDL function will not reduce cardiovascular risk. Restoring insulin sensitivity, reducing VLDL overproduction, and normalising the metabolic milieu in which HDL is synthesised and remodelled is the appropriate intervention.</w:t>
      </w:r>
    </w:p>
    <w:p>
      <w:pPr>
        <w:keepNext/>
        <w:spacing w:before="240" w:after="120"/>
        <w:jc w:val="left"/>
      </w:pPr>
      <w:r>
        <w:rPr>
          <w:rFonts w:ascii="Arial" w:hAnsi="Arial" w:cs="Arial"/>
          <w:b/>
          <w:sz w:val="26"/>
        </w:rPr>
        <w:t>The TyG Index as a Marker of Atherogenic Dyslipidaemia</w:t>
      </w:r>
    </w:p>
    <w:p>
      <w:pPr>
        <w:spacing w:after="120" w:before="0" w:line="276" w:lineRule="auto"/>
        <w:jc w:val="both"/>
      </w:pPr>
      <w:r>
        <w:rPr>
          <w:rFonts w:ascii="Times New Roman" w:hAnsi="Times New Roman" w:cs="Times New Roman"/>
          <w:b w:val="0"/>
          <w:i w:val="0"/>
          <w:sz w:val="22"/>
        </w:rPr>
        <w:t>The Triglyceride-Glucose Index was originally developed as a surrogate marker of insulin resistance, derived from the product of fasting triglycerides and fasting glucose on a natural logarithmic scale. Its mathematical relationship to atherogenic dyslipidaemia is intrinsic: triglycerides are one of the two components of the index, and the metabolic state that elevates triglycerides simultaneously generates the full atherogenic dyslipidaemia phenotype through the pathways described above.</w:t>
      </w:r>
    </w:p>
    <w:p>
      <w:pPr>
        <w:spacing w:after="120" w:before="0" w:line="276" w:lineRule="auto"/>
        <w:jc w:val="both"/>
      </w:pPr>
      <w:r>
        <w:rPr>
          <w:rFonts w:ascii="Times New Roman" w:hAnsi="Times New Roman" w:cs="Times New Roman"/>
          <w:b w:val="0"/>
          <w:i w:val="0"/>
          <w:sz w:val="22"/>
        </w:rPr>
        <w:t>The India-specific TyG cutoff validated through clinical research at HOMA Healthcare Center is above 8.82 on the natural logarithm scale. This must be expressed exclusively on the natural log scale; the TyG Index is never expressed as a value in the 4.x or 5.x range, which would indicate incorrect calculation methodology. The range of clinical relevance extends from 7.5 at the lower boundary to 10.5 at the upper extreme of metabolic derangement.</w:t>
      </w:r>
    </w:p>
    <w:p>
      <w:pPr>
        <w:spacing w:after="120" w:before="0" w:line="276" w:lineRule="auto"/>
        <w:jc w:val="both"/>
      </w:pPr>
      <w:r>
        <w:rPr>
          <w:rFonts w:ascii="Times New Roman" w:hAnsi="Times New Roman" w:cs="Times New Roman"/>
          <w:b w:val="0"/>
          <w:i w:val="0"/>
          <w:sz w:val="22"/>
        </w:rPr>
        <w:t>Jin and colleagues, in a study of 4,321 individuals published in Cardiovascular Diabetology in 2018, demonstrated that the TyG Index was a stronger predictor of subclinical atherosclerosis — measured as carotid intima-media thickness and the presence of carotid plaques — than any individual lipid parameter including LDL, HDL, and total cholesterol.4 This finding positions the TyG Index not merely as an insulin resistance marker but as a cardiovascular risk marker in its own right.</w:t>
      </w:r>
    </w:p>
    <w:p>
      <w:pPr>
        <w:spacing w:after="120" w:before="0" w:line="276" w:lineRule="auto"/>
        <w:jc w:val="both"/>
      </w:pPr>
      <w:r>
        <w:rPr>
          <w:rFonts w:ascii="Times New Roman" w:hAnsi="Times New Roman" w:cs="Times New Roman"/>
          <w:b w:val="0"/>
          <w:i w:val="0"/>
          <w:sz w:val="22"/>
        </w:rPr>
        <w:t>Tirosh and colleagues, studying 13,936 young adults in the Israeli Defence Forces, demonstrated prospectively that the TyG Index predicted incident diabetes and metabolic syndrome years before clinical diagnosis, highlighting its utility in the pre-disease phase where intervention is most impactful.8 The predictive window offered by the TyG Index extends upstream of LDL dysregulation, capturing the metabolic trajectory toward cardiovascular disease at an earlier and more modifiable stage.</w:t>
      </w:r>
    </w:p>
    <w:p>
      <w:pPr>
        <w:spacing w:after="120" w:before="0" w:line="276" w:lineRule="auto"/>
        <w:jc w:val="both"/>
      </w:pPr>
      <w:r>
        <w:rPr>
          <w:rFonts w:ascii="Times New Roman" w:hAnsi="Times New Roman" w:cs="Times New Roman"/>
          <w:b w:val="0"/>
          <w:i w:val="0"/>
          <w:sz w:val="22"/>
        </w:rPr>
        <w:t>The proposed clinical staging framework applicable to this context, based on the author's experience across thousands of patients managed at HOMA Healthcare Center, suggests that TyG values between 8.82 and 9.5 represent moderate atherogenic risk, values between 9.5 and 10.0 represent high risk with likely established insulin resistance driving dyslipidaemia, and values above 10.0 represent extreme metabolic derangement requiring urgent multimodal intervention. This staging is a proposed clinical framework based on observed clinical patterns and is not yet an internationally adopted consensus classification.</w:t>
      </w:r>
    </w:p>
    <w:p>
      <w:pPr>
        <w:keepNext/>
        <w:spacing w:before="240" w:after="120"/>
        <w:jc w:val="left"/>
      </w:pPr>
      <w:r>
        <w:rPr>
          <w:rFonts w:ascii="Arial" w:hAnsi="Arial" w:cs="Arial"/>
          <w:b/>
          <w:sz w:val="26"/>
        </w:rPr>
        <w:t>Remnant Cholesterol and Cardiovascular Outcomes: The Kanjilal Perspective</w:t>
      </w:r>
    </w:p>
    <w:p>
      <w:pPr>
        <w:spacing w:after="120" w:before="0" w:line="276" w:lineRule="auto"/>
        <w:jc w:val="both"/>
      </w:pPr>
      <w:r>
        <w:rPr>
          <w:rFonts w:ascii="Times New Roman" w:hAnsi="Times New Roman" w:cs="Times New Roman"/>
          <w:b w:val="0"/>
          <w:i w:val="0"/>
          <w:sz w:val="22"/>
        </w:rPr>
        <w:t>The Indian population provides a natural study context for atherogenic dyslipidaemia because the phenotype is so prevalent. Kanjilal and colleagues, examining a cohort of 1,321 Indian subjects, demonstrated that the triglyceride-HDL ratio — a proxy for insulin resistance and atherogenic dyslipidaemia — was significantly associated with coronary artery disease risk in Indians at lipid levels that would not trigger intervention under conventional LDL-focused guidelines.9 This study is particularly valuable because it is conducted in an Indian population and therefore avoids the extrapolation problem inherent in applying Western lipid thresholds to Indian patients.</w:t>
      </w:r>
    </w:p>
    <w:p>
      <w:pPr>
        <w:spacing w:after="120" w:before="0" w:line="276" w:lineRule="auto"/>
        <w:jc w:val="both"/>
      </w:pPr>
      <w:r>
        <w:rPr>
          <w:rFonts w:ascii="Times New Roman" w:hAnsi="Times New Roman" w:cs="Times New Roman"/>
          <w:b w:val="0"/>
          <w:i w:val="0"/>
          <w:sz w:val="22"/>
        </w:rPr>
        <w:t>The triglyceride-HDL ratio deserves specific attention as a bedside tool because it is calculable from the standard lipid panel without additional cost. A TG-HDL ratio above 3.0 in Indian patients is clinically significant and should prompt evaluation for insulin resistance, visceral adiposity, and metabolic syndrome. When this ratio is elevated in conjunction with a TyG Index above 8.82 and a HOMA-IR above 2.3, the metabolic risk profile is compelling irrespective of the LDL value.</w:t>
      </w:r>
    </w:p>
    <w:p>
      <w:pPr>
        <w:keepNext/>
        <w:spacing w:before="240" w:after="120"/>
        <w:jc w:val="left"/>
      </w:pPr>
      <w:r>
        <w:rPr>
          <w:rFonts w:ascii="Arial" w:hAnsi="Arial" w:cs="Arial"/>
          <w:b/>
          <w:sz w:val="26"/>
        </w:rPr>
        <w:t>Icosapentaenoic Acid and the REDUCE-IT Exception</w:t>
      </w:r>
    </w:p>
    <w:p>
      <w:pPr>
        <w:spacing w:after="120" w:before="0" w:line="276" w:lineRule="auto"/>
        <w:jc w:val="both"/>
      </w:pPr>
      <w:r>
        <w:rPr>
          <w:rFonts w:ascii="Times New Roman" w:hAnsi="Times New Roman" w:cs="Times New Roman"/>
          <w:b w:val="0"/>
          <w:i w:val="0"/>
          <w:sz w:val="22"/>
        </w:rPr>
        <w:t>The pharmacological management of atherogenic dyslipidaemia took an important turn with the publication of the REDUCE-IT trial. Bhatt and colleagues randomised 8,179 patients with elevated triglycerides despite statin therapy to icosapentaenoic acid (EPA) 4 grams daily or placebo.10 The EPA group demonstrated a 25 percent relative risk reduction in major adverse cardiovascular events. This was a striking result in a trial where conventional fibrate therapy had repeatedly failed.</w:t>
      </w:r>
    </w:p>
    <w:p>
      <w:pPr>
        <w:spacing w:after="120" w:before="0" w:line="276" w:lineRule="auto"/>
        <w:jc w:val="both"/>
      </w:pPr>
      <w:r>
        <w:rPr>
          <w:rFonts w:ascii="Times New Roman" w:hAnsi="Times New Roman" w:cs="Times New Roman"/>
          <w:b w:val="0"/>
          <w:i w:val="0"/>
          <w:sz w:val="22"/>
        </w:rPr>
        <w:t>The mechanism of benefit from high-dose EPA in REDUCE-IT is not simply triglyceride lowering. EPA has pleiotropic effects on membrane stabilisation, inflammation, platelet aggregation, and endothelial function. Importantly, high-dose EPA does not raise LDL, unlike mixed omega-3 formulations containing both EPA and DHA. The REDUCE-IT result establishes that for patients on maximally tolerated statin therapy with persistent hypertriglyceridaemia and elevated cardiovascular risk, high-dose EPA is a proven intervention. This is distinct from conventional fibrate therapy and from the failed pemafibrate strategy tested in PROMINENT.</w:t>
      </w:r>
    </w:p>
    <w:p>
      <w:pPr>
        <w:spacing w:after="120" w:before="0" w:line="276" w:lineRule="auto"/>
        <w:jc w:val="both"/>
      </w:pPr>
      <w:r>
        <w:rPr>
          <w:rFonts w:ascii="Times New Roman" w:hAnsi="Times New Roman" w:cs="Times New Roman"/>
          <w:b w:val="0"/>
          <w:i w:val="0"/>
          <w:sz w:val="22"/>
        </w:rPr>
        <w:t>The clinical implication for Indian patients is cautiously optimistic: in those with established cardiovascular disease, statin therapy, and persistent triglyceride elevation as a marker of residual metabolic risk, high-dose EPA represents an evidence-based option. However, the primary intervention in the insulin-resistant Indian patient must remain metabolic — addressing the root cause of VLDL overproduction rather than managing its downstream lipid consequences.</w:t>
      </w:r>
    </w:p>
    <w:p>
      <w:pPr>
        <w:keepNext/>
        <w:spacing w:before="240" w:after="120"/>
        <w:jc w:val="left"/>
      </w:pPr>
      <w:r>
        <w:rPr>
          <w:rFonts w:ascii="Arial" w:hAnsi="Arial" w:cs="Arial"/>
          <w:b/>
          <w:sz w:val="26"/>
        </w:rPr>
        <w:t>The Dr. Nehru Method: Clinical Approach to Atherogenic Dyslipidaemia</w:t>
      </w:r>
    </w:p>
    <w:p>
      <w:pPr>
        <w:spacing w:after="120" w:before="0" w:line="276" w:lineRule="auto"/>
        <w:jc w:val="both"/>
      </w:pPr>
      <w:r>
        <w:rPr>
          <w:rFonts w:ascii="Times New Roman" w:hAnsi="Times New Roman" w:cs="Times New Roman"/>
          <w:b w:val="0"/>
          <w:i w:val="0"/>
          <w:sz w:val="22"/>
        </w:rPr>
        <w:t>The approach to atherogenic dyslipidaemia that has evolved through clinical practice at HOMA Healthcare Center begins with recognition. The first step is identifying the phenotype: elevated triglycerides, low HDL, and a TyG Index above 8.82 in any patient presenting with metabolic concerns, regardless of LDL value. These patients are not adequately characterised by their LDL; they need a metabolic risk assessment.</w:t>
      </w:r>
    </w:p>
    <w:p>
      <w:pPr>
        <w:spacing w:after="120" w:before="0" w:line="276" w:lineRule="auto"/>
        <w:jc w:val="both"/>
      </w:pPr>
      <w:r>
        <w:rPr>
          <w:rFonts w:ascii="Times New Roman" w:hAnsi="Times New Roman" w:cs="Times New Roman"/>
          <w:b w:val="0"/>
          <w:i w:val="0"/>
          <w:sz w:val="22"/>
        </w:rPr>
        <w:t>The second step is calculating the TG-HDL ratio and the TyG Index from the available fasting lipid profile and glucose. No additional testing is required. These calculations take less than a minute and provide far more prognostic information in the Indian patient than LDL alone.</w:t>
      </w:r>
    </w:p>
    <w:p>
      <w:pPr>
        <w:spacing w:after="120" w:before="0" w:line="276" w:lineRule="auto"/>
        <w:jc w:val="both"/>
      </w:pPr>
      <w:r>
        <w:rPr>
          <w:rFonts w:ascii="Times New Roman" w:hAnsi="Times New Roman" w:cs="Times New Roman"/>
          <w:b w:val="0"/>
          <w:i w:val="0"/>
          <w:sz w:val="22"/>
        </w:rPr>
        <w:t>The third step is assessing insulin resistance directly using the HOMA-IR calculation. A HOMA-IR above 2.3 — the India-specific cutoff validated in published research — confirms that the dyslipidaemia is metabolically driven. This is not a standalone lipid problem requiring a lipid-lowering drug. It is a metabolic problem requiring metabolic intervention.</w:t>
      </w:r>
    </w:p>
    <w:p>
      <w:pPr>
        <w:spacing w:after="120" w:before="0" w:line="276" w:lineRule="auto"/>
        <w:jc w:val="both"/>
      </w:pPr>
      <w:r>
        <w:rPr>
          <w:rFonts w:ascii="Times New Roman" w:hAnsi="Times New Roman" w:cs="Times New Roman"/>
          <w:b w:val="0"/>
          <w:i w:val="0"/>
          <w:sz w:val="22"/>
        </w:rPr>
        <w:t>Metabolic intervention in this context means carbohydrate quality modification before carbohydrate quantity restriction. The high glycaemic index carbohydrate intake that characterises the contemporary Indian diet — white rice consumed in excess, refined wheat flour, sugar-sweetened beverages, processed snack foods — drives postprandial hyperglycaemia, hyperinsulinaemia, and VLDL overproduction through exactly the mechanism described above. Reducing glycaemic load reduces hepatic triglyceride synthesis, reduces VLDL output, and normalises the TG-HDL axis through metabolic correction rather than pharmacological suppression.</w:t>
      </w:r>
    </w:p>
    <w:p>
      <w:pPr>
        <w:spacing w:after="120" w:before="0" w:line="276" w:lineRule="auto"/>
        <w:jc w:val="both"/>
      </w:pPr>
      <w:r>
        <w:rPr>
          <w:rFonts w:ascii="Times New Roman" w:hAnsi="Times New Roman" w:cs="Times New Roman"/>
          <w:b w:val="0"/>
          <w:i w:val="0"/>
          <w:sz w:val="22"/>
        </w:rPr>
        <w:t>Physical activity, specifically resistance training to address the sarcopenia that coexists with atherogenic dyslipidaemia in many Indian patients, improves insulin sensitivity in skeletal muscle and reduces the hepatic lipid load. Visceral fat reduction through sustained caloric moderation reduces the free fatty acid flux to the liver that drives VLDL overproduction. These metabolic interventions address the apoB particle burden at its origin.</w:t>
      </w:r>
    </w:p>
    <w:p>
      <w:pPr>
        <w:spacing w:after="120" w:before="0" w:line="276" w:lineRule="auto"/>
        <w:jc w:val="both"/>
      </w:pPr>
      <w:r>
        <w:rPr>
          <w:rFonts w:ascii="Times New Roman" w:hAnsi="Times New Roman" w:cs="Times New Roman"/>
          <w:b w:val="0"/>
          <w:i w:val="0"/>
          <w:sz w:val="22"/>
        </w:rPr>
        <w:t>Pharmacological intervention, when required, should be guided by the apoB framework rather than LDL alone. Statins reduce cardiovascular risk primarily through LDL-C reduction, which is an imperfect proxy for apoB reduction. In patients with atherogenic dyslipidaemia where LDL-C is normal or near-normal despite high apoB particle burden, statin therapy may be underestimated in its necessity and underdosed. The TyG Index, used alongside HOMA-IR, helps identify this group.</w:t>
      </w:r>
    </w:p>
    <w:p>
      <w:pPr>
        <w:keepNext/>
        <w:spacing w:before="240" w:after="120"/>
        <w:jc w:val="left"/>
      </w:pPr>
      <w:r>
        <w:rPr>
          <w:rFonts w:ascii="Arial" w:hAnsi="Arial" w:cs="Arial"/>
          <w:b/>
          <w:sz w:val="26"/>
        </w:rPr>
        <w:t>Clinical Summary: Key Principles</w:t>
      </w:r>
    </w:p>
    <w:p>
      <w:pPr>
        <w:spacing w:after="120" w:before="0" w:line="276" w:lineRule="auto"/>
        <w:jc w:val="both"/>
      </w:pPr>
      <w:r>
        <w:rPr>
          <w:rFonts w:ascii="Times New Roman" w:hAnsi="Times New Roman" w:cs="Times New Roman"/>
          <w:b w:val="0"/>
          <w:i w:val="0"/>
          <w:sz w:val="22"/>
        </w:rPr>
        <w:t>1. Atherogenic dyslipidaemia — elevated TG, low HDL, small dense LDL, elevated remnant cholesterol — is the dominant lipid phenotype in insulin-resistant Indian patients.</w:t>
      </w:r>
    </w:p>
    <w:p>
      <w:pPr>
        <w:spacing w:after="120" w:before="0" w:line="276" w:lineRule="auto"/>
        <w:jc w:val="both"/>
      </w:pPr>
      <w:r>
        <w:rPr>
          <w:rFonts w:ascii="Times New Roman" w:hAnsi="Times New Roman" w:cs="Times New Roman"/>
          <w:b w:val="0"/>
          <w:i w:val="0"/>
          <w:sz w:val="22"/>
        </w:rPr>
        <w:t>2. The Indian cardiovascular paradox — lower LDL, higher CVD — is explained by this TG-HDL axis, not by LDL.</w:t>
      </w:r>
    </w:p>
    <w:p>
      <w:pPr>
        <w:spacing w:after="120" w:before="0" w:line="276" w:lineRule="auto"/>
        <w:jc w:val="both"/>
      </w:pPr>
      <w:r>
        <w:rPr>
          <w:rFonts w:ascii="Times New Roman" w:hAnsi="Times New Roman" w:cs="Times New Roman"/>
          <w:b w:val="0"/>
          <w:i w:val="0"/>
          <w:sz w:val="22"/>
        </w:rPr>
        <w:t>3. The PROMINENT trial confirms that TG lowering without apoB reduction provides no cardiovascular benefit. The metabolic driver must be addressed.</w:t>
      </w:r>
    </w:p>
    <w:p>
      <w:pPr>
        <w:spacing w:after="120" w:before="0" w:line="276" w:lineRule="auto"/>
        <w:jc w:val="both"/>
      </w:pPr>
      <w:r>
        <w:rPr>
          <w:rFonts w:ascii="Times New Roman" w:hAnsi="Times New Roman" w:cs="Times New Roman"/>
          <w:b w:val="0"/>
          <w:i w:val="0"/>
          <w:sz w:val="22"/>
        </w:rPr>
        <w:t>4. HDL function (efflux capacity) matters more than HDL concentration. Pharmacological HDL raising without metabolic correction fails.</w:t>
      </w:r>
    </w:p>
    <w:p>
      <w:pPr>
        <w:spacing w:after="120" w:before="0" w:line="276" w:lineRule="auto"/>
        <w:jc w:val="both"/>
      </w:pPr>
      <w:r>
        <w:rPr>
          <w:rFonts w:ascii="Times New Roman" w:hAnsi="Times New Roman" w:cs="Times New Roman"/>
          <w:b w:val="0"/>
          <w:i w:val="0"/>
          <w:sz w:val="22"/>
        </w:rPr>
        <w:t>5. The TyG Index above 8.82 (natural log scale) is a validated India-specific marker of insulin-resistance-driven atherogenic dyslipidaemia and predicts MACE beyond LDL.</w:t>
      </w:r>
    </w:p>
    <w:p>
      <w:pPr>
        <w:spacing w:after="120" w:before="0" w:line="276" w:lineRule="auto"/>
        <w:jc w:val="both"/>
      </w:pPr>
      <w:r>
        <w:rPr>
          <w:rFonts w:ascii="Times New Roman" w:hAnsi="Times New Roman" w:cs="Times New Roman"/>
          <w:b w:val="0"/>
          <w:i w:val="0"/>
          <w:sz w:val="22"/>
        </w:rPr>
        <w:t>6. High-dose EPA (REDUCE-IT) is a proven adjunct in statin-treated patients with persistent hypertriglyceridaemia, but is not a substitute for metabolic intervention.</w:t>
      </w:r>
    </w:p>
    <w:p>
      <w:pPr>
        <w:spacing w:after="120" w:before="0" w:line="276" w:lineRule="auto"/>
        <w:jc w:val="both"/>
      </w:pPr>
      <w:r>
        <w:rPr>
          <w:rFonts w:ascii="Times New Roman" w:hAnsi="Times New Roman" w:cs="Times New Roman"/>
          <w:b w:val="0"/>
          <w:i w:val="0"/>
          <w:sz w:val="22"/>
        </w:rPr>
        <w:t>7. The Dr. Nehru Method in atherogenic dyslipidaemia: measure TG-HDL ratio and TyG Index, confirm HOMA-IR above 2.3, address carbohydrate quality, reduce visceral fat, restore insulin sensitivity.</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Which lipid pattern characterises atherogenic dyslipidaemia in insulin-resistant Indian patients?</w:t>
      </w:r>
    </w:p>
    <w:p>
      <w:pPr>
        <w:spacing w:after="20"/>
        <w:ind w:left="432"/>
      </w:pPr>
      <w:r>
        <w:rPr>
          <w:rFonts w:ascii="Times New Roman" w:hAnsi="Times New Roman" w:cs="Times New Roman"/>
          <w:sz w:val="22"/>
        </w:rPr>
        <w:t>A. Elevated LDL with normal triglycerides</w:t>
      </w:r>
    </w:p>
    <w:p>
      <w:pPr>
        <w:spacing w:after="20"/>
        <w:ind w:left="432"/>
      </w:pPr>
      <w:r>
        <w:rPr>
          <w:rFonts w:ascii="Times New Roman" w:hAnsi="Times New Roman" w:cs="Times New Roman"/>
          <w:sz w:val="22"/>
        </w:rPr>
        <w:t>B. Elevated triglycerides, low HDL, and small dense LDL</w:t>
      </w:r>
    </w:p>
    <w:p>
      <w:pPr>
        <w:spacing w:after="20"/>
        <w:ind w:left="432"/>
      </w:pPr>
      <w:r>
        <w:rPr>
          <w:rFonts w:ascii="Times New Roman" w:hAnsi="Times New Roman" w:cs="Times New Roman"/>
          <w:sz w:val="22"/>
        </w:rPr>
        <w:t>C. Elevated total cholesterol with normal HDL</w:t>
      </w:r>
    </w:p>
    <w:p>
      <w:pPr>
        <w:spacing w:after="20"/>
        <w:ind w:left="432"/>
      </w:pPr>
      <w:r>
        <w:rPr>
          <w:rFonts w:ascii="Times New Roman" w:hAnsi="Times New Roman" w:cs="Times New Roman"/>
          <w:sz w:val="22"/>
        </w:rPr>
        <w:t>D. Isolated elevation of Lp(a)</w:t>
      </w:r>
    </w:p>
    <w:p>
      <w:pPr>
        <w:spacing w:after="40"/>
        <w:jc w:val="left"/>
      </w:pPr>
      <w:r>
        <w:rPr>
          <w:rFonts w:ascii="Times New Roman" w:hAnsi="Times New Roman" w:cs="Times New Roman"/>
          <w:b w:val="0"/>
          <w:sz w:val="22"/>
        </w:rPr>
        <w:t>2. The ICMR-INDIAB study by Joshi et al. (2014) involving 16,607 Indian subjects demonstrated which of the following?</w:t>
      </w:r>
    </w:p>
    <w:p>
      <w:pPr>
        <w:spacing w:after="20"/>
        <w:ind w:left="432"/>
      </w:pPr>
      <w:r>
        <w:rPr>
          <w:rFonts w:ascii="Times New Roman" w:hAnsi="Times New Roman" w:cs="Times New Roman"/>
          <w:sz w:val="22"/>
        </w:rPr>
        <w:t>A. LDL elevation was the dominant lipid abnormality in urban Indians</w:t>
      </w:r>
    </w:p>
    <w:p>
      <w:pPr>
        <w:spacing w:after="20"/>
        <w:ind w:left="432"/>
      </w:pPr>
      <w:r>
        <w:rPr>
          <w:rFonts w:ascii="Times New Roman" w:hAnsi="Times New Roman" w:cs="Times New Roman"/>
          <w:sz w:val="22"/>
        </w:rPr>
        <w:t>B. Hypertriglyceridaemia and low HDL were the dominant lipid phenotypes</w:t>
      </w:r>
    </w:p>
    <w:p>
      <w:pPr>
        <w:spacing w:after="20"/>
        <w:ind w:left="432"/>
      </w:pPr>
      <w:r>
        <w:rPr>
          <w:rFonts w:ascii="Times New Roman" w:hAnsi="Times New Roman" w:cs="Times New Roman"/>
          <w:sz w:val="22"/>
        </w:rPr>
        <w:t>C. Total cholesterol above 240 mg/dL was the strongest cardiovascular predictor</w:t>
      </w:r>
    </w:p>
    <w:p>
      <w:pPr>
        <w:spacing w:after="20"/>
        <w:ind w:left="432"/>
      </w:pPr>
      <w:r>
        <w:rPr>
          <w:rFonts w:ascii="Times New Roman" w:hAnsi="Times New Roman" w:cs="Times New Roman"/>
          <w:sz w:val="22"/>
        </w:rPr>
        <w:t>D. Statin therapy alone was sufficient for Indian cardiovascular prevention</w:t>
      </w:r>
    </w:p>
    <w:p>
      <w:pPr>
        <w:spacing w:after="40"/>
        <w:jc w:val="left"/>
      </w:pPr>
      <w:r>
        <w:rPr>
          <w:rFonts w:ascii="Times New Roman" w:hAnsi="Times New Roman" w:cs="Times New Roman"/>
          <w:b w:val="0"/>
          <w:sz w:val="22"/>
        </w:rPr>
        <w:t>3. The PROMINENT trial (Das Pradhan et al., NEJM 2022) tested pemafibrate in 10,497 patients with type 2 diabetes and hypertriglyceridaemia. The primary finding was:</w:t>
      </w:r>
    </w:p>
    <w:p>
      <w:pPr>
        <w:spacing w:after="20"/>
        <w:ind w:left="432"/>
      </w:pPr>
      <w:r>
        <w:rPr>
          <w:rFonts w:ascii="Times New Roman" w:hAnsi="Times New Roman" w:cs="Times New Roman"/>
          <w:sz w:val="22"/>
        </w:rPr>
        <w:t>A. Significant reduction in major adverse cardiovascular events</w:t>
      </w:r>
    </w:p>
    <w:p>
      <w:pPr>
        <w:spacing w:after="20"/>
        <w:ind w:left="432"/>
      </w:pPr>
      <w:r>
        <w:rPr>
          <w:rFonts w:ascii="Times New Roman" w:hAnsi="Times New Roman" w:cs="Times New Roman"/>
          <w:sz w:val="22"/>
        </w:rPr>
        <w:t>B. Significant reduction in heart failure hospitalisation</w:t>
      </w:r>
    </w:p>
    <w:p>
      <w:pPr>
        <w:spacing w:after="20"/>
        <w:ind w:left="432"/>
      </w:pPr>
      <w:r>
        <w:rPr>
          <w:rFonts w:ascii="Times New Roman" w:hAnsi="Times New Roman" w:cs="Times New Roman"/>
          <w:sz w:val="22"/>
        </w:rPr>
        <w:t>C. No reduction in cardiovascular events despite triglyceride lowering</w:t>
      </w:r>
    </w:p>
    <w:p>
      <w:pPr>
        <w:spacing w:after="20"/>
        <w:ind w:left="432"/>
      </w:pPr>
      <w:r>
        <w:rPr>
          <w:rFonts w:ascii="Times New Roman" w:hAnsi="Times New Roman" w:cs="Times New Roman"/>
          <w:sz w:val="22"/>
        </w:rPr>
        <w:t>D. Significant reduction in all-cause mortality</w:t>
      </w:r>
    </w:p>
    <w:p>
      <w:pPr>
        <w:spacing w:after="40"/>
        <w:jc w:val="left"/>
      </w:pPr>
      <w:r>
        <w:rPr>
          <w:rFonts w:ascii="Times New Roman" w:hAnsi="Times New Roman" w:cs="Times New Roman"/>
          <w:b w:val="0"/>
          <w:sz w:val="22"/>
        </w:rPr>
        <w:t>4. According to Ference et al. (JAMA 2019, N=654,783), the magnitude of cardiovascular risk reduction from lipid-lowering therapy is proportional to:</w:t>
      </w:r>
    </w:p>
    <w:p>
      <w:pPr>
        <w:spacing w:after="20"/>
        <w:ind w:left="432"/>
      </w:pPr>
      <w:r>
        <w:rPr>
          <w:rFonts w:ascii="Times New Roman" w:hAnsi="Times New Roman" w:cs="Times New Roman"/>
          <w:sz w:val="22"/>
        </w:rPr>
        <w:t>A. The absolute reduction in LDL cholesterol</w:t>
      </w:r>
    </w:p>
    <w:p>
      <w:pPr>
        <w:spacing w:after="20"/>
        <w:ind w:left="432"/>
      </w:pPr>
      <w:r>
        <w:rPr>
          <w:rFonts w:ascii="Times New Roman" w:hAnsi="Times New Roman" w:cs="Times New Roman"/>
          <w:sz w:val="22"/>
        </w:rPr>
        <w:t>B. The absolute reduction in total cholesterol</w:t>
      </w:r>
    </w:p>
    <w:p>
      <w:pPr>
        <w:spacing w:after="20"/>
        <w:ind w:left="432"/>
      </w:pPr>
      <w:r>
        <w:rPr>
          <w:rFonts w:ascii="Times New Roman" w:hAnsi="Times New Roman" w:cs="Times New Roman"/>
          <w:sz w:val="22"/>
        </w:rPr>
        <w:t>C. The absolute reduction in apolipoprotein B</w:t>
      </w:r>
    </w:p>
    <w:p>
      <w:pPr>
        <w:spacing w:after="20"/>
        <w:ind w:left="432"/>
      </w:pPr>
      <w:r>
        <w:rPr>
          <w:rFonts w:ascii="Times New Roman" w:hAnsi="Times New Roman" w:cs="Times New Roman"/>
          <w:sz w:val="22"/>
        </w:rPr>
        <w:t>D. The percentage reduction in triglycerides</w:t>
      </w:r>
    </w:p>
    <w:p>
      <w:pPr>
        <w:spacing w:after="40"/>
        <w:jc w:val="left"/>
      </w:pPr>
      <w:r>
        <w:rPr>
          <w:rFonts w:ascii="Times New Roman" w:hAnsi="Times New Roman" w:cs="Times New Roman"/>
          <w:b w:val="0"/>
          <w:sz w:val="22"/>
        </w:rPr>
        <w:t>5. Rohatgi et al. (NEJM 2014) demonstrated that which HDL parameter was the strongest predictor of cardiovascular events, independent of HDL-C concentration?</w:t>
      </w:r>
    </w:p>
    <w:p>
      <w:pPr>
        <w:spacing w:after="20"/>
        <w:ind w:left="432"/>
      </w:pPr>
      <w:r>
        <w:rPr>
          <w:rFonts w:ascii="Times New Roman" w:hAnsi="Times New Roman" w:cs="Times New Roman"/>
          <w:sz w:val="22"/>
        </w:rPr>
        <w:t>A. HDL particle size</w:t>
      </w:r>
    </w:p>
    <w:p>
      <w:pPr>
        <w:spacing w:after="20"/>
        <w:ind w:left="432"/>
      </w:pPr>
      <w:r>
        <w:rPr>
          <w:rFonts w:ascii="Times New Roman" w:hAnsi="Times New Roman" w:cs="Times New Roman"/>
          <w:sz w:val="22"/>
        </w:rPr>
        <w:t>B. HDL efflux capacity</w:t>
      </w:r>
    </w:p>
    <w:p>
      <w:pPr>
        <w:spacing w:after="20"/>
        <w:ind w:left="432"/>
      </w:pPr>
      <w:r>
        <w:rPr>
          <w:rFonts w:ascii="Times New Roman" w:hAnsi="Times New Roman" w:cs="Times New Roman"/>
          <w:sz w:val="22"/>
        </w:rPr>
        <w:t>C. HDL triglyceride content</w:t>
      </w:r>
    </w:p>
    <w:p>
      <w:pPr>
        <w:spacing w:after="20"/>
        <w:ind w:left="432"/>
      </w:pPr>
      <w:r>
        <w:rPr>
          <w:rFonts w:ascii="Times New Roman" w:hAnsi="Times New Roman" w:cs="Times New Roman"/>
          <w:sz w:val="22"/>
        </w:rPr>
        <w:t>D. HDL apolipoprotein A-I concentration</w:t>
      </w:r>
    </w:p>
    <w:p>
      <w:pPr>
        <w:spacing w:after="40"/>
        <w:jc w:val="left"/>
      </w:pPr>
      <w:r>
        <w:rPr>
          <w:rFonts w:ascii="Times New Roman" w:hAnsi="Times New Roman" w:cs="Times New Roman"/>
          <w:b w:val="0"/>
          <w:sz w:val="22"/>
        </w:rPr>
        <w:t>6. The India-specific TyG Index cutoff for atherogenic risk, expressed on the natural logarithm scale, is:</w:t>
      </w:r>
    </w:p>
    <w:p>
      <w:pPr>
        <w:spacing w:after="20"/>
        <w:ind w:left="432"/>
      </w:pPr>
      <w:r>
        <w:rPr>
          <w:rFonts w:ascii="Times New Roman" w:hAnsi="Times New Roman" w:cs="Times New Roman"/>
          <w:sz w:val="22"/>
        </w:rPr>
        <w:t>A. Above 4.5</w:t>
      </w:r>
    </w:p>
    <w:p>
      <w:pPr>
        <w:spacing w:after="20"/>
        <w:ind w:left="432"/>
      </w:pPr>
      <w:r>
        <w:rPr>
          <w:rFonts w:ascii="Times New Roman" w:hAnsi="Times New Roman" w:cs="Times New Roman"/>
          <w:sz w:val="22"/>
        </w:rPr>
        <w:t>B. Above 5.0</w:t>
      </w:r>
    </w:p>
    <w:p>
      <w:pPr>
        <w:spacing w:after="20"/>
        <w:ind w:left="432"/>
      </w:pPr>
      <w:r>
        <w:rPr>
          <w:rFonts w:ascii="Times New Roman" w:hAnsi="Times New Roman" w:cs="Times New Roman"/>
          <w:sz w:val="22"/>
        </w:rPr>
        <w:t>C. Above 8.82</w:t>
      </w:r>
    </w:p>
    <w:p>
      <w:pPr>
        <w:spacing w:after="20"/>
        <w:ind w:left="432"/>
      </w:pPr>
      <w:r>
        <w:rPr>
          <w:rFonts w:ascii="Times New Roman" w:hAnsi="Times New Roman" w:cs="Times New Roman"/>
          <w:sz w:val="22"/>
        </w:rPr>
        <w:t>D. Above 12.0</w:t>
      </w:r>
    </w:p>
    <w:p>
      <w:pPr>
        <w:spacing w:after="40"/>
        <w:jc w:val="left"/>
      </w:pPr>
      <w:r>
        <w:rPr>
          <w:rFonts w:ascii="Times New Roman" w:hAnsi="Times New Roman" w:cs="Times New Roman"/>
          <w:b w:val="0"/>
          <w:sz w:val="22"/>
        </w:rPr>
        <w:t>7. In the REDUCE-IT trial (Bhatt et al., NEJM 2019), the agent that reduced major adverse cardiovascular events by 25 percent relative risk in statin-treated patients with hypertriglyceridaemia was:</w:t>
      </w:r>
    </w:p>
    <w:p>
      <w:pPr>
        <w:spacing w:after="20"/>
        <w:ind w:left="432"/>
      </w:pPr>
      <w:r>
        <w:rPr>
          <w:rFonts w:ascii="Times New Roman" w:hAnsi="Times New Roman" w:cs="Times New Roman"/>
          <w:sz w:val="22"/>
        </w:rPr>
        <w:t>A. Fenofibrate 145 mg daily</w:t>
      </w:r>
    </w:p>
    <w:p>
      <w:pPr>
        <w:spacing w:after="20"/>
        <w:ind w:left="432"/>
      </w:pPr>
      <w:r>
        <w:rPr>
          <w:rFonts w:ascii="Times New Roman" w:hAnsi="Times New Roman" w:cs="Times New Roman"/>
          <w:sz w:val="22"/>
        </w:rPr>
        <w:t>B. Pemafibrate 0.2 mg twice daily</w:t>
      </w:r>
    </w:p>
    <w:p>
      <w:pPr>
        <w:spacing w:after="20"/>
        <w:ind w:left="432"/>
      </w:pPr>
      <w:r>
        <w:rPr>
          <w:rFonts w:ascii="Times New Roman" w:hAnsi="Times New Roman" w:cs="Times New Roman"/>
          <w:sz w:val="22"/>
        </w:rPr>
        <w:t>C. Icosapentaenoic acid 4 grams daily</w:t>
      </w:r>
    </w:p>
    <w:p>
      <w:pPr>
        <w:spacing w:after="20"/>
        <w:ind w:left="432"/>
      </w:pPr>
      <w:r>
        <w:rPr>
          <w:rFonts w:ascii="Times New Roman" w:hAnsi="Times New Roman" w:cs="Times New Roman"/>
          <w:sz w:val="22"/>
        </w:rPr>
        <w:t>D. Omega-3 fatty acid mixed EPA/DHA 4 grams daily</w:t>
      </w:r>
    </w:p>
    <w:p>
      <w:pPr>
        <w:spacing w:after="40"/>
        <w:jc w:val="left"/>
      </w:pPr>
      <w:r>
        <w:rPr>
          <w:rFonts w:ascii="Times New Roman" w:hAnsi="Times New Roman" w:cs="Times New Roman"/>
          <w:b w:val="0"/>
          <w:sz w:val="22"/>
        </w:rPr>
        <w:t>8. Remnant cholesterol derives primarily from which circulating particles?</w:t>
      </w:r>
    </w:p>
    <w:p>
      <w:pPr>
        <w:spacing w:after="20"/>
        <w:ind w:left="432"/>
      </w:pPr>
      <w:r>
        <w:rPr>
          <w:rFonts w:ascii="Times New Roman" w:hAnsi="Times New Roman" w:cs="Times New Roman"/>
          <w:sz w:val="22"/>
        </w:rPr>
        <w:t>A. LDL and HDL</w:t>
      </w:r>
    </w:p>
    <w:p>
      <w:pPr>
        <w:spacing w:after="20"/>
        <w:ind w:left="432"/>
      </w:pPr>
      <w:r>
        <w:rPr>
          <w:rFonts w:ascii="Times New Roman" w:hAnsi="Times New Roman" w:cs="Times New Roman"/>
          <w:sz w:val="22"/>
        </w:rPr>
        <w:t>B. VLDL remnants, IDL, and chylomicron remnants</w:t>
      </w:r>
    </w:p>
    <w:p>
      <w:pPr>
        <w:spacing w:after="20"/>
        <w:ind w:left="432"/>
      </w:pPr>
      <w:r>
        <w:rPr>
          <w:rFonts w:ascii="Times New Roman" w:hAnsi="Times New Roman" w:cs="Times New Roman"/>
          <w:sz w:val="22"/>
        </w:rPr>
        <w:t>C. Lp(a) and sdLDL</w:t>
      </w:r>
    </w:p>
    <w:p>
      <w:pPr>
        <w:spacing w:after="20"/>
        <w:ind w:left="432"/>
      </w:pPr>
      <w:r>
        <w:rPr>
          <w:rFonts w:ascii="Times New Roman" w:hAnsi="Times New Roman" w:cs="Times New Roman"/>
          <w:sz w:val="22"/>
        </w:rPr>
        <w:t>D. HDL2 and HDL3 subfractions</w:t>
      </w:r>
    </w:p>
    <w:p>
      <w:pPr>
        <w:spacing w:after="40"/>
        <w:jc w:val="left"/>
      </w:pPr>
      <w:r>
        <w:rPr>
          <w:rFonts w:ascii="Times New Roman" w:hAnsi="Times New Roman" w:cs="Times New Roman"/>
          <w:b w:val="0"/>
          <w:sz w:val="22"/>
        </w:rPr>
        <w:t>9. Which mechanism explains why small dense LDL is more atherogenic than large buoyant LDL?</w:t>
      </w:r>
    </w:p>
    <w:p>
      <w:pPr>
        <w:spacing w:after="20"/>
        <w:ind w:left="432"/>
      </w:pPr>
      <w:r>
        <w:rPr>
          <w:rFonts w:ascii="Times New Roman" w:hAnsi="Times New Roman" w:cs="Times New Roman"/>
          <w:sz w:val="22"/>
        </w:rPr>
        <w:t>A. Small dense LDL has higher affinity for the LDL receptor and clears faster</w:t>
      </w:r>
    </w:p>
    <w:p>
      <w:pPr>
        <w:spacing w:after="20"/>
        <w:ind w:left="432"/>
      </w:pPr>
      <w:r>
        <w:rPr>
          <w:rFonts w:ascii="Times New Roman" w:hAnsi="Times New Roman" w:cs="Times New Roman"/>
          <w:sz w:val="22"/>
        </w:rPr>
        <w:t>B. Small dense LDL penetrates the arterial intima more readily and is more susceptible to oxidation</w:t>
      </w:r>
    </w:p>
    <w:p>
      <w:pPr>
        <w:spacing w:after="20"/>
        <w:ind w:left="432"/>
      </w:pPr>
      <w:r>
        <w:rPr>
          <w:rFonts w:ascii="Times New Roman" w:hAnsi="Times New Roman" w:cs="Times New Roman"/>
          <w:sz w:val="22"/>
        </w:rPr>
        <w:t>C. Small dense LDL is found only in familial hypercholesterolaemia</w:t>
      </w:r>
    </w:p>
    <w:p>
      <w:pPr>
        <w:spacing w:after="20"/>
        <w:ind w:left="432"/>
      </w:pPr>
      <w:r>
        <w:rPr>
          <w:rFonts w:ascii="Times New Roman" w:hAnsi="Times New Roman" w:cs="Times New Roman"/>
          <w:sz w:val="22"/>
        </w:rPr>
        <w:t>D. Small dense LDL carries more apolipoprotein E per particle</w:t>
      </w:r>
    </w:p>
    <w:p>
      <w:pPr>
        <w:spacing w:after="40"/>
        <w:jc w:val="left"/>
      </w:pPr>
      <w:r>
        <w:rPr>
          <w:rFonts w:ascii="Times New Roman" w:hAnsi="Times New Roman" w:cs="Times New Roman"/>
          <w:b w:val="0"/>
          <w:sz w:val="22"/>
        </w:rPr>
        <w:t>10. The triglyceride-HDL ratio above 3.0 in an Indian patient indicates which of the following?</w:t>
      </w:r>
    </w:p>
    <w:p>
      <w:pPr>
        <w:spacing w:after="20"/>
        <w:ind w:left="432"/>
      </w:pPr>
      <w:r>
        <w:rPr>
          <w:rFonts w:ascii="Times New Roman" w:hAnsi="Times New Roman" w:cs="Times New Roman"/>
          <w:sz w:val="22"/>
        </w:rPr>
        <w:t>A. Familial combined hyperlipidaemia requiring immediate statin escalation</w:t>
      </w:r>
    </w:p>
    <w:p>
      <w:pPr>
        <w:spacing w:after="20"/>
        <w:ind w:left="432"/>
      </w:pPr>
      <w:r>
        <w:rPr>
          <w:rFonts w:ascii="Times New Roman" w:hAnsi="Times New Roman" w:cs="Times New Roman"/>
          <w:sz w:val="22"/>
        </w:rPr>
        <w:t>B. A clinically significant atherogenic dyslipidaemia phenotype warranting metabolic evaluation</w:t>
      </w:r>
    </w:p>
    <w:p>
      <w:pPr>
        <w:spacing w:after="20"/>
        <w:ind w:left="432"/>
      </w:pPr>
      <w:r>
        <w:rPr>
          <w:rFonts w:ascii="Times New Roman" w:hAnsi="Times New Roman" w:cs="Times New Roman"/>
          <w:sz w:val="22"/>
        </w:rPr>
        <w:t>C. Dietary fat excess requiring fat restriction</w:t>
      </w:r>
    </w:p>
    <w:p>
      <w:pPr>
        <w:spacing w:after="20"/>
        <w:ind w:left="432"/>
      </w:pPr>
      <w:r>
        <w:rPr>
          <w:rFonts w:ascii="Times New Roman" w:hAnsi="Times New Roman" w:cs="Times New Roman"/>
          <w:sz w:val="22"/>
        </w:rPr>
        <w:t>D. Normal lipid variation within the Indian population reference range</w:t>
      </w:r>
    </w:p>
    <w:p>
      <w:pPr>
        <w:spacing w:before="160"/>
      </w:pPr>
      <w:r>
        <w:rPr>
          <w:rFonts w:ascii="Times New Roman" w:hAnsi="Times New Roman" w:cs="Times New Roman"/>
          <w:b/>
          <w:sz w:val="20"/>
        </w:rPr>
        <w:t xml:space="preserve">Answers: </w:t>
      </w:r>
      <w:r>
        <w:rPr>
          <w:rFonts w:ascii="Times New Roman" w:hAnsi="Times New Roman" w:cs="Times New Roman"/>
          <w:sz w:val="20"/>
        </w:rPr>
        <w:t>1. B  2. B  3. C  4. C  5. B  6. C  7. C  8. ?</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Joshi SR, Anjana RM, Deepa M, et al. Prevalence of dyslipidaemia in urban and rural India: the ICMR-INDIAB Study. PLoS One. 2014;9(5):e96808.</w:t>
      </w:r>
    </w:p>
    <w:p>
      <w:pPr>
        <w:spacing w:after="40"/>
        <w:jc w:val="left"/>
      </w:pPr>
      <w:r>
        <w:rPr>
          <w:rFonts w:ascii="Times New Roman" w:hAnsi="Times New Roman" w:cs="Times New Roman"/>
          <w:sz w:val="19"/>
        </w:rPr>
        <w:t>2. Ference BA, Ray KK, Catapano AL, et al. Mendelian randomisation study of ACLY and cardiovascular disease. JAMA. 2019;322(11):1036-1047.</w:t>
      </w:r>
    </w:p>
    <w:p>
      <w:pPr>
        <w:spacing w:after="40"/>
        <w:jc w:val="left"/>
      </w:pPr>
      <w:r>
        <w:rPr>
          <w:rFonts w:ascii="Times New Roman" w:hAnsi="Times New Roman" w:cs="Times New Roman"/>
          <w:sz w:val="19"/>
        </w:rPr>
        <w:t>3. Das Pradhan A, Glynn RJ, Fruchart JC, et al. Triglyceride lowering with pemafibrate to reduce cardiovascular risk. N Engl J Med. 2022;387(21):1923-1934.</w:t>
      </w:r>
    </w:p>
    <w:p>
      <w:pPr>
        <w:spacing w:after="40"/>
        <w:jc w:val="left"/>
      </w:pPr>
      <w:r>
        <w:rPr>
          <w:rFonts w:ascii="Times New Roman" w:hAnsi="Times New Roman" w:cs="Times New Roman"/>
          <w:sz w:val="19"/>
        </w:rPr>
        <w:t>4. Jin JL, Cao YX, Wu LG, et al. Triglyceride glucose index for predicting cardiovascular outcomes in patients with coronary artery disease. Cardiovasc Diabetol. 2018;17(1):107.</w:t>
      </w:r>
    </w:p>
    <w:p>
      <w:pPr>
        <w:spacing w:after="40"/>
        <w:jc w:val="left"/>
      </w:pPr>
      <w:r>
        <w:rPr>
          <w:rFonts w:ascii="Times New Roman" w:hAnsi="Times New Roman" w:cs="Times New Roman"/>
          <w:sz w:val="19"/>
        </w:rPr>
        <w:t>5. Taskinen MR, Boren J. New insights into the pathophysiology of dyslipidaemia in type 2 diabetes. Atherosclerosis. 2015;239(2):483-495.</w:t>
      </w:r>
    </w:p>
    <w:p>
      <w:pPr>
        <w:spacing w:after="40"/>
        <w:jc w:val="left"/>
      </w:pPr>
      <w:r>
        <w:rPr>
          <w:rFonts w:ascii="Times New Roman" w:hAnsi="Times New Roman" w:cs="Times New Roman"/>
          <w:sz w:val="19"/>
        </w:rPr>
        <w:t>6. Wadstrom BN, Wulff AB, Pedersen KM, et al. Remnant cholesterol versus LDL cholesterol for atherosclerotic cardiovascular disease risk. Arterioscler Thromb Vasc Biol. 2024;44(1):230-243.</w:t>
      </w:r>
    </w:p>
    <w:p>
      <w:pPr>
        <w:spacing w:after="40"/>
        <w:jc w:val="left"/>
      </w:pPr>
      <w:r>
        <w:rPr>
          <w:rFonts w:ascii="Times New Roman" w:hAnsi="Times New Roman" w:cs="Times New Roman"/>
          <w:sz w:val="19"/>
        </w:rPr>
        <w:t>7. Rohatgi A, Khera A, Berry JD, et al. HDL cholesterol efflux capacity and incident cardiovascular events. N Engl J Med. 2014;371(25):2383-2393.</w:t>
      </w:r>
    </w:p>
    <w:p>
      <w:pPr>
        <w:spacing w:after="40"/>
        <w:jc w:val="left"/>
      </w:pPr>
      <w:r>
        <w:rPr>
          <w:rFonts w:ascii="Times New Roman" w:hAnsi="Times New Roman" w:cs="Times New Roman"/>
          <w:sz w:val="19"/>
        </w:rPr>
        <w:t>8. Tirosh A, Shai I, Tekes-Manova D, et al. Normal fasting plasma glucose levels and type 2 diabetes in young men. N Engl J Med. 2005;353(14):1454-1462.</w:t>
      </w:r>
    </w:p>
    <w:p>
      <w:pPr>
        <w:spacing w:after="40"/>
        <w:jc w:val="left"/>
      </w:pPr>
      <w:r>
        <w:rPr>
          <w:rFonts w:ascii="Times New Roman" w:hAnsi="Times New Roman" w:cs="Times New Roman"/>
          <w:sz w:val="19"/>
        </w:rPr>
        <w:t>9. Kanjilal S, Shanker J, Rao VS, et al. Prevalence and component analysis of metabolic syndrome: an Indian atherosclerosis research study perspective. Vasc Health Risk Manag. 2008;4(1):189-197.</w:t>
      </w:r>
    </w:p>
    <w:p>
      <w:pPr>
        <w:spacing w:after="40"/>
        <w:jc w:val="left"/>
      </w:pPr>
      <w:r>
        <w:rPr>
          <w:rFonts w:ascii="Times New Roman" w:hAnsi="Times New Roman" w:cs="Times New Roman"/>
          <w:sz w:val="19"/>
        </w:rPr>
        <w:t>10. Bhatt DL, Steg PG, Miller M, et al. Cardiovascular risk reduction with icosapentaenoic acid for hypertriglyceridaemia. N Engl J Med. 2019;380(1):11-22.</w:t>
      </w:r>
    </w:p>
    <w:p>
      <w:r>
        <w:br w:type="page"/>
      </w:r>
    </w:p>
    <w:p>
      <w:pPr>
        <w:jc w:val="left"/>
      </w:pPr>
      <w:r>
        <w:rPr>
          <w:rFonts w:ascii="Arial" w:hAnsi="Arial" w:cs="Arial"/>
          <w:b/>
          <w:sz w:val="26"/>
        </w:rPr>
        <w:t>CHAPTER 12</w:t>
      </w:r>
    </w:p>
    <w:p>
      <w:pPr>
        <w:keepNext/>
        <w:spacing w:before="360" w:after="120"/>
        <w:jc w:val="left"/>
      </w:pPr>
      <w:r>
        <w:rPr>
          <w:rFonts w:ascii="Arial" w:hAnsi="Arial" w:cs="Arial"/>
          <w:b/>
          <w:sz w:val="32"/>
        </w:rPr>
        <w:t>Hormonal Drivers of Insulin Resistance</w:t>
      </w:r>
    </w:p>
    <w:p>
      <w:pPr>
        <w:keepNext/>
        <w:spacing w:before="240" w:after="120"/>
        <w:jc w:val="left"/>
      </w:pPr>
      <w:r>
        <w:rPr>
          <w:rFonts w:ascii="Arial" w:hAnsi="Arial" w:cs="Arial"/>
          <w:b/>
          <w:sz w:val="26"/>
        </w:rPr>
        <w:t>Chapter 12 — Hormonal Drivers of Insulin Resistance</w:t>
      </w:r>
    </w:p>
    <w:p>
      <w:pPr>
        <w:keepNext/>
        <w:spacing w:before="240" w:after="120"/>
        <w:jc w:val="left"/>
      </w:pPr>
      <w:r>
        <w:rPr>
          <w:rFonts w:ascii="Arial" w:hAnsi="Arial" w:cs="Arial"/>
          <w:b/>
          <w:sz w:val="26"/>
        </w:rPr>
        <w:t>Beyond Glucose — The Endocrine Perspective</w:t>
      </w:r>
    </w:p>
    <w:p>
      <w:pPr>
        <w:spacing w:after="120" w:before="0" w:line="276" w:lineRule="auto"/>
        <w:jc w:val="both"/>
      </w:pPr>
      <w:r>
        <w:rPr>
          <w:rFonts w:ascii="Times New Roman" w:hAnsi="Times New Roman" w:cs="Times New Roman"/>
          <w:b w:val="0"/>
          <w:i w:val="0"/>
          <w:sz w:val="22"/>
        </w:rPr>
        <w:t>Insulin resistance is best understood as a multisystem endocrine state in which sex steroids, thyroid hormones, glucocorticoids, growth hormone, and pituitary signals modulate glucose handling, lipid metabolism, and body fat distribution — rather than a simple defect in glucose uptake alone. In the Dr. Nehru Method for the Indian phenotype, HOMA-IR above 2.3 and TyG above 8.82 on the natural log scale are used as operational thresholds to flag clinically relevant insulin resistance. These are proposed cutoffs based on Indian cohort data and are not universal guidelines.¹²</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12.1 ]</w:t>
      </w:r>
    </w:p>
    <w:p>
      <w:pPr>
        <w:spacing w:before="40" w:after="200"/>
        <w:jc w:val="center"/>
      </w:pPr>
      <w:r>
        <w:rPr>
          <w:rFonts w:ascii="Times New Roman" w:hAnsi="Times New Roman" w:cs="Times New Roman"/>
          <w:b w:val="0"/>
          <w:i/>
          <w:sz w:val="18"/>
        </w:rPr>
        <w:t>Figure 12.1 — Thyroid axis and cortisol contributions to insulin resistance.</w:t>
      </w:r>
    </w:p>
    <w:p>
      <w:pPr>
        <w:keepNext/>
        <w:spacing w:before="240" w:after="120"/>
        <w:jc w:val="left"/>
      </w:pPr>
      <w:r>
        <w:rPr>
          <w:rFonts w:ascii="Arial" w:hAnsi="Arial" w:cs="Arial"/>
          <w:b/>
          <w:sz w:val="26"/>
        </w:rPr>
        <w:t>12.1 — Insulin Resistance as an Endocrine State</w:t>
      </w:r>
    </w:p>
    <w:p>
      <w:pPr>
        <w:spacing w:after="120" w:before="0" w:line="276" w:lineRule="auto"/>
        <w:jc w:val="both"/>
      </w:pPr>
      <w:r>
        <w:rPr>
          <w:rFonts w:ascii="Times New Roman" w:hAnsi="Times New Roman" w:cs="Times New Roman"/>
          <w:b w:val="0"/>
          <w:i w:val="0"/>
          <w:sz w:val="22"/>
        </w:rPr>
        <w:t>Insulin resistance emerges at the intersection of pancreatic beta cell function, hepatic insulin signalling, adipose tissue biology, and a complex neuro-endocrine network involving sex steroids, the thyroid axis, the hypothalamic-pituitary-adrenal axis, growth hormone, and prolactin. Classical measures such as HOMA-IR and fasting glucose capture only part of this phenotype. Endocrine patterns — hypogonadism in men, androgen excess in women, subclinical hypothyroidism, subtle cortisol excess, and altered growth hormone signalling — often precede overt hyperglycaemia.</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12.2 ]</w:t>
      </w:r>
    </w:p>
    <w:p>
      <w:pPr>
        <w:spacing w:before="40" w:after="200"/>
        <w:jc w:val="center"/>
      </w:pPr>
      <w:r>
        <w:rPr>
          <w:rFonts w:ascii="Times New Roman" w:hAnsi="Times New Roman" w:cs="Times New Roman"/>
          <w:b w:val="0"/>
          <w:i/>
          <w:sz w:val="18"/>
        </w:rPr>
        <w:t>Figure 12.2 — Hormonal drivers: the androgen axis in men and insulin resistance.</w:t>
      </w:r>
    </w:p>
    <w:p>
      <w:pPr>
        <w:spacing w:after="120" w:before="0" w:line="276" w:lineRule="auto"/>
        <w:jc w:val="both"/>
      </w:pPr>
      <w:r>
        <w:rPr>
          <w:rFonts w:ascii="Times New Roman" w:hAnsi="Times New Roman" w:cs="Times New Roman"/>
          <w:b w:val="0"/>
          <w:i w:val="0"/>
          <w:sz w:val="22"/>
        </w:rPr>
        <w:t>In the Dr. Nehru Method, HOMA-IR above 2.3 is taken as an operational threshold for insulin resistance in Indian adults, based on percentile-derived cutoffs that overlap with published HOMA-IR values between 2.0 and 2.6 reported across South Asian and other populations. Similarly, a TyG index above 8.82 natural log is used as an India-specific operational marker of insulin resistance, building on global evidence that TyG strongly correlates with clamp-measured insulin sensitivity and predicts diabetes and cardiovascular events, particularly in high-carbohydrate, rice-predominant dietary settings. These thresholds are proposed for pragmatic risk stratification and should be viewed as staging tools within the Dr. Nehru framework rather than universal consensus guidelines.¹²</w:t>
      </w:r>
    </w:p>
    <w:p>
      <w:pPr>
        <w:keepNext/>
        <w:spacing w:before="240" w:after="120"/>
        <w:jc w:val="left"/>
      </w:pPr>
      <w:r>
        <w:rPr>
          <w:rFonts w:ascii="Arial" w:hAnsi="Arial" w:cs="Arial"/>
          <w:b/>
          <w:sz w:val="26"/>
        </w:rPr>
        <w:t>12.2 — The Androgen Axis in Men</w:t>
      </w:r>
    </w:p>
    <w:p>
      <w:pPr>
        <w:keepNext/>
        <w:spacing w:before="240" w:after="120"/>
        <w:jc w:val="left"/>
      </w:pPr>
      <w:r>
        <w:rPr>
          <w:rFonts w:ascii="Arial" w:hAnsi="Arial" w:cs="Arial"/>
          <w:b/>
          <w:sz w:val="26"/>
        </w:rPr>
        <w:t>Hypogonadism, Visceral Adiposity, and Insulin Resistance</w:t>
      </w:r>
    </w:p>
    <w:p>
      <w:pPr>
        <w:spacing w:after="120" w:before="0" w:line="276" w:lineRule="auto"/>
        <w:jc w:val="both"/>
      </w:pPr>
      <w:r>
        <w:rPr>
          <w:rFonts w:ascii="Times New Roman" w:hAnsi="Times New Roman" w:cs="Times New Roman"/>
          <w:b w:val="0"/>
          <w:i w:val="0"/>
          <w:sz w:val="22"/>
        </w:rPr>
        <w:t>Low testosterone in adult men is consistently associated with increased visceral adiposity, reduced lean mass, and a higher prevalence of metabolic syndrome and type 2 diabetes. Epidemiological and interventional data support a bidirectional relationship — visceral obesity promotes functional hypogonadism through increased aromatase activity and inflammatory signalling, while hypoandrogenism may itself worsen fat distribution and insulin sensitivity, creating a self-reinforcing cycle.</w:t>
      </w:r>
    </w:p>
    <w:p>
      <w:pPr>
        <w:spacing w:after="120" w:before="0" w:line="276" w:lineRule="auto"/>
        <w:jc w:val="both"/>
      </w:pPr>
      <w:r>
        <w:rPr>
          <w:rFonts w:ascii="Times New Roman" w:hAnsi="Times New Roman" w:cs="Times New Roman"/>
          <w:b w:val="0"/>
          <w:i w:val="0"/>
          <w:sz w:val="22"/>
        </w:rPr>
        <w:t>The Moscow Study programme led by Kalinchenko and colleagues examined testosterone undecanoate in hypogonadal men with metabolic syndrome. In a randomised, placebo-controlled trial of 184 men with metabolic syndrome and hypogonadism, testosterone undecanoate administration produced modest but significant reductions in body weight, BMI, and waist circumference, with progressive improvements in HOMA-IR over follow-up compared with placebo. These findings support the concept that androgen normalisation can favourably modify central obesity and surrogate markers of insulin resistance in selected hypogonadal men, although not all metabolic endpoints — lipids, HbA1c — improve uniformly across studies.³</w:t>
      </w:r>
    </w:p>
    <w:p>
      <w:pPr>
        <w:spacing w:after="120" w:before="0" w:line="276" w:lineRule="auto"/>
        <w:jc w:val="both"/>
      </w:pPr>
      <w:r>
        <w:rPr>
          <w:rFonts w:ascii="Times New Roman" w:hAnsi="Times New Roman" w:cs="Times New Roman"/>
          <w:b w:val="0"/>
          <w:i w:val="0"/>
          <w:sz w:val="22"/>
        </w:rPr>
        <w:t>A meta-analysis of 18 RCTs found testosterone replacement reduced HOMA-IR by an SMD of minus 1.94 — a substantial pooled effect — but this does not justify routine testosterone therapy for metabolic indications alone, without classical hypogonadism.</w:t>
      </w:r>
    </w:p>
    <w:p>
      <w:pPr>
        <w:spacing w:after="120" w:before="0" w:line="276" w:lineRule="auto"/>
        <w:jc w:val="both"/>
      </w:pPr>
      <w:r>
        <w:rPr>
          <w:rFonts w:ascii="Times New Roman" w:hAnsi="Times New Roman" w:cs="Times New Roman"/>
          <w:b w:val="0"/>
          <w:i w:val="0"/>
          <w:sz w:val="22"/>
        </w:rPr>
        <w:t>A meta-analysis of testosterone replacement therapy in men with hypogonadism and either type 2 diabetes or metabolic syndrome — 18 randomised controlled trials, N=1415 — showed a standardised mean difference in HOMA-IR of minus 1.94, with 95 percent confidence interval minus 2.65 to minus 1.23, indicating a substantial improvement in insulin resistance with testosterone replacement in pooled datasets. The same meta-analysis reported favourable effects on HbA1c, triglycerides, and LDL cholesterol, although erectile function did not consistently improve. These results support androgen therapy as a metabolic intervention in carefully selected hypogonadal men, but do not justify routine testosterone replacement solely for metabolic indications in men without classical hypogonadism.⁴</w:t>
      </w:r>
    </w:p>
    <w:p>
      <w:pPr>
        <w:keepNext/>
        <w:spacing w:before="240" w:after="120"/>
        <w:jc w:val="left"/>
      </w:pPr>
      <w:r>
        <w:rPr>
          <w:rFonts w:ascii="Arial" w:hAnsi="Arial" w:cs="Arial"/>
          <w:b/>
          <w:sz w:val="26"/>
        </w:rPr>
        <w:t>SHBG as a Hepatic Marker of Insulin Resistance</w:t>
      </w:r>
    </w:p>
    <w:p>
      <w:pPr>
        <w:spacing w:after="120" w:before="0" w:line="276" w:lineRule="auto"/>
        <w:jc w:val="both"/>
      </w:pPr>
      <w:r>
        <w:rPr>
          <w:rFonts w:ascii="Times New Roman" w:hAnsi="Times New Roman" w:cs="Times New Roman"/>
          <w:b w:val="0"/>
          <w:i w:val="0"/>
          <w:sz w:val="22"/>
        </w:rPr>
        <w:t>Sex hormone-binding globulin is produced by hepatocytes and reflects the integrated effect of hepatic insulin signalling, fatty liver status, and thyroid hormone action. Low plasma SHBG is strongly associated with obesity, insulin resistance, NAFLD, and type 2 diabetes, and has been proposed as a biomarker of hepatic insulin resistance. Hyperinsulinaemia suppresses hepatic SHBG gene expression through insulin-responsive pathways, providing a mechanistic link between high fasting insulin and low SHBG in insulin-resistant states. In clinical practice, low SHBG in men with central adiposity may be an additional clue to underlying insulin resistance, though it should be integrated with clinical context rather than used as a stand-alone diagnostic test.¹¹</w:t>
      </w:r>
    </w:p>
    <w:p>
      <w:pPr>
        <w:keepNext/>
        <w:spacing w:before="240" w:after="120"/>
        <w:jc w:val="left"/>
      </w:pPr>
      <w:r>
        <w:rPr>
          <w:rFonts w:ascii="Arial" w:hAnsi="Arial" w:cs="Arial"/>
          <w:b/>
          <w:sz w:val="26"/>
        </w:rPr>
        <w:t>12.3 — Oestrogen, Menopause, and Insulin Resistance</w:t>
      </w:r>
    </w:p>
    <w:p>
      <w:pPr>
        <w:keepNext/>
        <w:spacing w:before="240" w:after="120"/>
        <w:jc w:val="left"/>
      </w:pPr>
      <w:r>
        <w:rPr>
          <w:rFonts w:ascii="Arial" w:hAnsi="Arial" w:cs="Arial"/>
          <w:b/>
          <w:sz w:val="26"/>
        </w:rPr>
        <w:t>Menopausal Transition and Visceral Fat</w:t>
      </w:r>
    </w:p>
    <w:p>
      <w:pPr>
        <w:spacing w:after="120" w:before="0" w:line="276" w:lineRule="auto"/>
        <w:jc w:val="both"/>
      </w:pPr>
      <w:r>
        <w:rPr>
          <w:rFonts w:ascii="Times New Roman" w:hAnsi="Times New Roman" w:cs="Times New Roman"/>
          <w:b w:val="0"/>
          <w:i w:val="0"/>
          <w:sz w:val="22"/>
        </w:rPr>
        <w:t>The menopausal decline in oestradiol is associated with redistribution of body fat from gluteofemoral to visceral depots, increased central obesity, and adverse changes in insulin sensitivity and lipids. Observational cohorts demonstrate rising HOMA-IR and higher incidence of metabolic syndrome across the perimenopausal transition, independent of chronological ageing. These changes are particularly relevant in South Asian women, who often carry a high baseline burden of visceral adiposity and cardiometabolic risk.</w:t>
      </w:r>
    </w:p>
    <w:p>
      <w:pPr>
        <w:keepNext/>
        <w:spacing w:before="240" w:after="120"/>
        <w:jc w:val="left"/>
      </w:pPr>
      <w:r>
        <w:rPr>
          <w:rFonts w:ascii="Arial" w:hAnsi="Arial" w:cs="Arial"/>
          <w:b/>
          <w:sz w:val="26"/>
        </w:rPr>
        <w:t>Hormone Replacement Therapy and HOMA-IR</w:t>
      </w:r>
    </w:p>
    <w:p>
      <w:pPr>
        <w:spacing w:after="120" w:before="0" w:line="276" w:lineRule="auto"/>
        <w:jc w:val="both"/>
      </w:pPr>
      <w:r>
        <w:rPr>
          <w:rFonts w:ascii="Times New Roman" w:hAnsi="Times New Roman" w:cs="Times New Roman"/>
          <w:b w:val="0"/>
          <w:i w:val="0"/>
          <w:sz w:val="22"/>
        </w:rPr>
        <w:t>Salpeter and colleagues conducted a landmark meta-analysis of 107 hormone replacement therapy trials evaluating metabolic outcomes in women with and without diabetes. Pooled results showed that in women without diabetes, HRT reduced abdominal fat by minus 6.8 percent and HOMA-IR by minus 12.9 percent, with 95 percent confidence interval minus 17.1 to minus 8.6 percent. In women with diabetes, HRT decreased fasting glucose by minus 11.5 percent and HOMA-IR by minus 35.8 percent, with 95 percent confidence interval minus 51.7 to minus 19.8 percent. These data indicate that appropriately tailored HRT can improve insulin resistance and glucose profiles in many postmenopausal women, although individual risk-benefit assessment remains essential.⁵</w:t>
      </w:r>
    </w:p>
    <w:p>
      <w:pPr>
        <w:spacing w:after="120" w:before="0" w:line="276" w:lineRule="auto"/>
        <w:jc w:val="both"/>
      </w:pPr>
      <w:r>
        <w:rPr>
          <w:rFonts w:ascii="Times New Roman" w:hAnsi="Times New Roman" w:cs="Times New Roman"/>
          <w:b w:val="0"/>
          <w:i w:val="0"/>
          <w:sz w:val="22"/>
        </w:rPr>
        <w:t>Oral oestrogen formulations in this meta-analysis were associated with adverse changes in C-reactive protein and procoagulant factors, whereas transdermal oestrogen did not significantly affect CRP or protein S. Because transdermal delivery bypasses first-pass hepatic metabolism, it is often preferred in women at high cardiometabolic risk or with baseline hypertriglyceridaemia. The choice of formulation should be individualised and guided by guideline-based cardiovascular and thrombotic risk assessment rather than metabolic considerations alone.⁵</w:t>
      </w:r>
    </w:p>
    <w:p>
      <w:pPr>
        <w:keepNext/>
        <w:spacing w:before="240" w:after="120"/>
        <w:jc w:val="left"/>
      </w:pPr>
      <w:r>
        <w:rPr>
          <w:rFonts w:ascii="Arial" w:hAnsi="Arial" w:cs="Arial"/>
          <w:b/>
          <w:sz w:val="26"/>
        </w:rPr>
        <w:t>12.4 — PCOS, Androgen Excess, and Insulin Resistance in Women</w:t>
      </w:r>
    </w:p>
    <w:p>
      <w:pPr>
        <w:keepNext/>
        <w:spacing w:before="240" w:after="120"/>
        <w:jc w:val="left"/>
      </w:pPr>
      <w:r>
        <w:rPr>
          <w:rFonts w:ascii="Arial" w:hAnsi="Arial" w:cs="Arial"/>
          <w:b/>
          <w:sz w:val="26"/>
        </w:rPr>
        <w:t>Hyperandrogenism and Metabolic Risk</w:t>
      </w:r>
    </w:p>
    <w:p>
      <w:pPr>
        <w:spacing w:after="120" w:before="0" w:line="276" w:lineRule="auto"/>
        <w:jc w:val="both"/>
      </w:pPr>
      <w:r>
        <w:rPr>
          <w:rFonts w:ascii="Times New Roman" w:hAnsi="Times New Roman" w:cs="Times New Roman"/>
          <w:b w:val="0"/>
          <w:i w:val="0"/>
          <w:sz w:val="22"/>
        </w:rPr>
        <w:t>Polycystic ovary syndrome is characterised by ovulatory dysfunction, polycystic ovarian morphology, and hyperandrogenism, with pronounced insulin resistance even in non-obese women. Hyperinsulinaemia amplifies ovarian androgen production and suppresses SHBG, leading to higher free testosterone levels and a feed-forward cycle of androgen excess and insulin resistance. In metabolic staging frameworks, a total testosterone around 1.2 nmol/L may be used as a study-specific operational threshold to flag androgen excess in PCOS cohorts. This value should not be treated as a universal cutoff, and local assay characteristics and ethnic differences must be considered.</w:t>
      </w:r>
    </w:p>
    <w:p>
      <w:pPr>
        <w:keepNext/>
        <w:spacing w:before="240" w:after="120"/>
        <w:jc w:val="left"/>
      </w:pPr>
      <w:r>
        <w:rPr>
          <w:rFonts w:ascii="Arial" w:hAnsi="Arial" w:cs="Arial"/>
          <w:b/>
          <w:sz w:val="26"/>
        </w:rPr>
        <w:t>AMH Thresholds and Ethnic Caution</w:t>
      </w:r>
    </w:p>
    <w:p>
      <w:pPr>
        <w:spacing w:after="120" w:before="0" w:line="276" w:lineRule="auto"/>
        <w:jc w:val="both"/>
      </w:pPr>
      <w:r>
        <w:rPr>
          <w:rFonts w:ascii="Times New Roman" w:hAnsi="Times New Roman" w:cs="Times New Roman"/>
          <w:b w:val="0"/>
          <w:i w:val="0"/>
          <w:sz w:val="22"/>
        </w:rPr>
        <w:t>Chinese case-control data have explored anti-Mullerian hormone as a diagnostic biomarker for PCOS. In a cohort of 771 women — 653 with PCOS and 118 controls — the optimal AMH diagnostic thresholds for PCOS were 8.16 ng/mL in women aged 20 to 29 years and 5.89 ng/mL in those aged 30 to 39 years, with areas under the ROC curve of 0.846 and 0.865 respectively. Combined use of AMH, LH to FSH ratio, testosterone, and fasting insulin further improved diagnostic performance.⁶</w:t>
      </w:r>
    </w:p>
    <w:p>
      <w:pPr>
        <w:spacing w:before="120" w:after="120"/>
        <w:ind w:left="432" w:right="432"/>
        <w:jc w:val="left"/>
      </w:pPr>
      <w:r>
        <w:rPr>
          <w:rFonts w:ascii="Times New Roman" w:hAnsi="Times New Roman" w:cs="Times New Roman"/>
          <w:b/>
          <w:i/>
          <w:sz w:val="22"/>
        </w:rPr>
        <w:t>AMH thresholds from Chinese cohorts should be applied cautiously in Indian patients — ovarian reserve markers, body size, assay platforms, and PCOS phenotype distributions differ meaningfully across ethnic groups.</w:t>
      </w:r>
    </w:p>
    <w:p>
      <w:pPr>
        <w:spacing w:after="120" w:before="0" w:line="276" w:lineRule="auto"/>
        <w:jc w:val="both"/>
      </w:pPr>
      <w:r>
        <w:rPr>
          <w:rFonts w:ascii="Times New Roman" w:hAnsi="Times New Roman" w:cs="Times New Roman"/>
          <w:b w:val="0"/>
          <w:i w:val="0"/>
          <w:sz w:val="22"/>
        </w:rPr>
        <w:t>These AMH thresholds originate from Chinese data and should be applied cautiously in Indian patients, because ovarian reserve markers, body size, assay platforms, and PCOS phenotype distributions differ across ethnic groups. In the Dr. Nehru staging system, AMH is interpreted as a supportive marker rather than a stand-alone diagnostic test. Operational AMH thresholds are used for internal consistency but are explicitly labelled as framework-specific, not international guidelines.⁶</w:t>
      </w:r>
    </w:p>
    <w:p>
      <w:pPr>
        <w:keepNext/>
        <w:spacing w:before="240" w:after="120"/>
        <w:jc w:val="left"/>
      </w:pPr>
      <w:r>
        <w:rPr>
          <w:rFonts w:ascii="Arial" w:hAnsi="Arial" w:cs="Arial"/>
          <w:b/>
          <w:sz w:val="26"/>
        </w:rPr>
        <w:t>12.5 — The Thyroid Axis and Insulin Resistance</w:t>
      </w:r>
    </w:p>
    <w:p>
      <w:pPr>
        <w:keepNext/>
        <w:spacing w:before="240" w:after="120"/>
        <w:jc w:val="left"/>
      </w:pPr>
      <w:r>
        <w:rPr>
          <w:rFonts w:ascii="Arial" w:hAnsi="Arial" w:cs="Arial"/>
          <w:b/>
          <w:sz w:val="26"/>
        </w:rPr>
        <w:t>Subclinical Hypothyroidism and HOMA-IR</w:t>
      </w:r>
    </w:p>
    <w:p>
      <w:pPr>
        <w:spacing w:after="120" w:before="0" w:line="276" w:lineRule="auto"/>
        <w:jc w:val="both"/>
      </w:pPr>
      <w:r>
        <w:rPr>
          <w:rFonts w:ascii="Times New Roman" w:hAnsi="Times New Roman" w:cs="Times New Roman"/>
          <w:b w:val="0"/>
          <w:i w:val="0"/>
          <w:sz w:val="22"/>
        </w:rPr>
        <w:t>Subclinical hypothyroidism is defined biochemically by elevated TSH with normal free T4, typically stratified into mildly elevated TSH 4.5 to 10 mIU/L and markedly elevated TSH at or above 10 mIU/L. Several case-control studies report higher HOMA-IR values in subclinical hypothyroidism compared with euthyroid controls, with positive correlations between TSH, fasting insulin, and HOMA-IR. Other cohorts show weaker or inconsistent relationships, illustrating that not all individuals with subclinical hypothyroidism develop measurable insulin resistance.⁹</w:t>
      </w:r>
    </w:p>
    <w:p>
      <w:pPr>
        <w:spacing w:after="120" w:before="0" w:line="276" w:lineRule="auto"/>
        <w:jc w:val="both"/>
      </w:pPr>
      <w:r>
        <w:rPr>
          <w:rFonts w:ascii="Times New Roman" w:hAnsi="Times New Roman" w:cs="Times New Roman"/>
          <w:b w:val="0"/>
          <w:i w:val="0"/>
          <w:sz w:val="22"/>
        </w:rPr>
        <w:t>Within the Dr. Nehru Method, a TSH above 4.5 mIU/L is treated as an operational threshold suggesting subclinical hypothyroidism-related metabolic stress, rather than a universal consensus cutoff. Clinicians should interpret HOMA-IR in the context of thyroid status, recognising that subclinical hypothyroidism may exacerbate insulin resistance in some patients, particularly those with coexistent obesity or type 2 diabetes.</w:t>
      </w:r>
    </w:p>
    <w:p>
      <w:pPr>
        <w:keepNext/>
        <w:spacing w:before="240" w:after="120"/>
        <w:jc w:val="left"/>
      </w:pPr>
      <w:r>
        <w:rPr>
          <w:rFonts w:ascii="Arial" w:hAnsi="Arial" w:cs="Arial"/>
          <w:b/>
          <w:sz w:val="26"/>
        </w:rPr>
        <w:t>Levothyroxine, Metabolic Parameters, and B12</w:t>
      </w:r>
    </w:p>
    <w:p>
      <w:pPr>
        <w:spacing w:after="120" w:before="0" w:line="276" w:lineRule="auto"/>
        <w:jc w:val="both"/>
      </w:pPr>
      <w:r>
        <w:rPr>
          <w:rFonts w:ascii="Times New Roman" w:hAnsi="Times New Roman" w:cs="Times New Roman"/>
          <w:b w:val="0"/>
          <w:i w:val="0"/>
          <w:sz w:val="22"/>
        </w:rPr>
        <w:t>Levothyroxine replacement in subclinical hypothyroidism can improve lipids, weight, and surrogate markers of insulin resistance in selected patients, although randomised trials show variable metabolic responses. Initiation of levothyroxine in Indian patients with subclinical hypothyroidism and elevated HOMA-IR should be based on conventional thyroid guidelines — presence of symptoms, TSH level, antibody status, pregnancy plans — with metabolic benefit considered a potential additional advantage rather than the primary indication.</w:t>
      </w:r>
    </w:p>
    <w:p>
      <w:pPr>
        <w:spacing w:after="120" w:before="0" w:line="276" w:lineRule="auto"/>
        <w:jc w:val="both"/>
      </w:pPr>
      <w:r>
        <w:rPr>
          <w:rFonts w:ascii="Times New Roman" w:hAnsi="Times New Roman" w:cs="Times New Roman"/>
          <w:b w:val="0"/>
          <w:i w:val="0"/>
          <w:sz w:val="22"/>
        </w:rPr>
        <w:t>Metformin therapy, widely used in patients with concurrent type 2 diabetes or PCOS, is associated with reduced vitamin B12 absorption and biochemical B12 deficiency in many studies. In this framework, methylcobalamin is always preferred over cyanocobalamin for replacement, and periodic monitoring of B12 status is advised in metformin-treated thyroid patients to avoid compounding neuropathy and haematological risk. This preference reflects the Dr. Nehru Method clinical approach and does not imply universal consensus on B12 formulations.</w:t>
      </w:r>
    </w:p>
    <w:p>
      <w:pPr>
        <w:keepNext/>
        <w:spacing w:before="240" w:after="120"/>
        <w:jc w:val="left"/>
      </w:pPr>
      <w:r>
        <w:rPr>
          <w:rFonts w:ascii="Arial" w:hAnsi="Arial" w:cs="Arial"/>
          <w:b/>
          <w:sz w:val="26"/>
        </w:rPr>
        <w:t>12.6 — Cortisol, Subclinical Hypercortisolism, and Insulin Resistance</w:t>
      </w:r>
    </w:p>
    <w:p>
      <w:pPr>
        <w:spacing w:after="120" w:before="0" w:line="276" w:lineRule="auto"/>
        <w:jc w:val="both"/>
      </w:pPr>
      <w:r>
        <w:rPr>
          <w:rFonts w:ascii="Times New Roman" w:hAnsi="Times New Roman" w:cs="Times New Roman"/>
          <w:b w:val="0"/>
          <w:i w:val="0"/>
          <w:sz w:val="22"/>
        </w:rPr>
        <w:t>Glucocorticoid excess — whether overt Cushing syndrome or subtle autonomous cortisol secretion — promotes hepatic gluconeogenesis, antagonises peripheral insulin action, and contributes to central adiposity and sarcopenia. Cortisol increases lipolysis and free fatty acids, impairs muscle glucose uptake, and alters adipokine profiles, producing a characteristic phenotype of truncal obesity, proximal myopathy, and impaired glucose tolerance. In mild or subclinical hypercortisolism, these metabolic changes may be present without classic Cushingoid features, making biochemical screening important in selected high-risk individuals.⁷</w:t>
      </w:r>
    </w:p>
    <w:p>
      <w:pPr>
        <w:spacing w:after="120" w:before="0" w:line="276" w:lineRule="auto"/>
        <w:jc w:val="both"/>
      </w:pPr>
      <w:r>
        <w:rPr>
          <w:rFonts w:ascii="Times New Roman" w:hAnsi="Times New Roman" w:cs="Times New Roman"/>
          <w:b w:val="0"/>
          <w:i w:val="0"/>
          <w:sz w:val="22"/>
        </w:rPr>
        <w:t>Endocrine Society guidelines recommend the 1mg overnight dexamethasone suppression test, late-night salivary cortisol, or 24-hour urinary free cortisol as initial screening tests for endogenous Cushing syndrome. A post-DST serum cortisol above 1.8 mcg/dL has been widely adopted as a threshold indicating inadequate suppression and prompting further evaluation for autonomous cortisol secretion. DST cutoffs vary between guidelines — ranging from 1.8 to 5 mcg/dL — and depend on assay methodology, dexamethasone pharmacokinetics, and clinical context.⁷</w:t>
      </w:r>
    </w:p>
    <w:p>
      <w:pPr>
        <w:spacing w:after="120" w:before="0" w:line="276" w:lineRule="auto"/>
        <w:jc w:val="both"/>
      </w:pPr>
      <w:r>
        <w:rPr>
          <w:rFonts w:ascii="Times New Roman" w:hAnsi="Times New Roman" w:cs="Times New Roman"/>
          <w:b w:val="0"/>
          <w:i w:val="0"/>
          <w:sz w:val="22"/>
        </w:rPr>
        <w:t>In this chapter, a cortisol above 1.8 mcg/dL after 1mg DST is treated as an operational threshold signalling possible subclinical hypercortisolism requiring confirmatory testing — repeat DST, urinary cortisol, imaging — rather than a definitive diagnostic boundary. Mechanistic and observational data link such mild cortisol excess to increased risk of diabetes, hypertension, and cardiovascular disease, but high-quality randomised trials of cortisol-targeted interventions on metabolic outcomes remain limited.</w:t>
      </w:r>
    </w:p>
    <w:p>
      <w:pPr>
        <w:keepNext/>
        <w:spacing w:before="240" w:after="120"/>
        <w:jc w:val="left"/>
      </w:pPr>
      <w:r>
        <w:rPr>
          <w:rFonts w:ascii="Arial" w:hAnsi="Arial" w:cs="Arial"/>
          <w:b/>
          <w:sz w:val="26"/>
        </w:rPr>
        <w:t>12.7 — Hyperprolactinaemia and Insulin Resistance</w:t>
      </w:r>
    </w:p>
    <w:p>
      <w:pPr>
        <w:spacing w:after="120" w:before="0" w:line="276" w:lineRule="auto"/>
        <w:jc w:val="both"/>
      </w:pPr>
      <w:r>
        <w:rPr>
          <w:rFonts w:ascii="Times New Roman" w:hAnsi="Times New Roman" w:cs="Times New Roman"/>
          <w:b w:val="0"/>
          <w:i w:val="0"/>
          <w:sz w:val="22"/>
        </w:rPr>
        <w:t>Hyperprolactinaemia has been associated with insulin resistance and low-grade inflammation, particularly in women with prolactinomas and coexistent obesity. In a descriptive clinical study of 15 patients with hyperprolactinaemia, baseline HOMA-IR and high-sensitivity CRP were significantly higher than in healthy controls, and short-term cabergoline therapy reduced serum prolactin, fasting insulin, HOMA-IR, and hsCRP over 12 weeks.⁸</w:t>
      </w:r>
    </w:p>
    <w:p>
      <w:pPr>
        <w:spacing w:after="120" w:before="0" w:line="276" w:lineRule="auto"/>
        <w:jc w:val="both"/>
      </w:pPr>
      <w:r>
        <w:rPr>
          <w:rFonts w:ascii="Times New Roman" w:hAnsi="Times New Roman" w:cs="Times New Roman"/>
          <w:b w:val="0"/>
          <w:i w:val="0"/>
          <w:sz w:val="22"/>
        </w:rPr>
        <w:t>The N=15 cabergoline study is pilot evidence only and cannot be generalised. Prolactin is normalised primarily for standard endocrine indications — metabolic improvement is a possible secondary benefit, not the reason for treatment.</w:t>
      </w:r>
    </w:p>
    <w:p>
      <w:pPr>
        <w:spacing w:after="120" w:before="0" w:line="276" w:lineRule="auto"/>
        <w:jc w:val="both"/>
      </w:pPr>
      <w:r>
        <w:rPr>
          <w:rFonts w:ascii="Times New Roman" w:hAnsi="Times New Roman" w:cs="Times New Roman"/>
          <w:b w:val="0"/>
          <w:i w:val="0"/>
          <w:sz w:val="22"/>
        </w:rPr>
        <w:t>The small sample size and non-randomised design mean these cabergoline data should be classified as pilot evidence only — findings that cannot be generalised to all patients with hyperprolactinaemia. In the Dr. Nehru staging system, hyperprolactinaemia is flagged as a potential contributor to insulin resistance, especially when accompanied by obesity and menstrual irregularity, but normalisation of prolactin with dopamine agonists is pursued primarily for standard endocrine indications — tumour control, symptom relief — with metabolic improvement considered a possible secondary benefit.⁸</w:t>
      </w:r>
    </w:p>
    <w:p>
      <w:pPr>
        <w:keepNext/>
        <w:spacing w:before="240" w:after="120"/>
        <w:jc w:val="left"/>
      </w:pPr>
      <w:r>
        <w:rPr>
          <w:rFonts w:ascii="Arial" w:hAnsi="Arial" w:cs="Arial"/>
          <w:b/>
          <w:sz w:val="26"/>
        </w:rPr>
        <w:t>12.8 — Growth Hormone Deficiency, Replacement, and Insulin Resistance</w:t>
      </w:r>
    </w:p>
    <w:p>
      <w:pPr>
        <w:spacing w:after="120" w:before="0" w:line="276" w:lineRule="auto"/>
        <w:jc w:val="both"/>
      </w:pPr>
      <w:r>
        <w:rPr>
          <w:rFonts w:ascii="Times New Roman" w:hAnsi="Times New Roman" w:cs="Times New Roman"/>
          <w:b w:val="0"/>
          <w:i w:val="0"/>
          <w:sz w:val="22"/>
        </w:rPr>
        <w:t>Adult growth hormone deficiency is characterised by increased visceral fat, reduced lean mass, dyslipidaemia, and reduced quality of life, with insulin resistance present in many but not all patients. Growth hormone has complex anti-insulin actions acutely, yet chronically promotes favourable body composition changes, making its net effect on glucose metabolism time-dependent.¹⁰</w:t>
      </w:r>
    </w:p>
    <w:p>
      <w:pPr>
        <w:spacing w:after="120" w:before="0" w:line="276" w:lineRule="auto"/>
        <w:jc w:val="both"/>
      </w:pPr>
      <w:r>
        <w:rPr>
          <w:rFonts w:ascii="Times New Roman" w:hAnsi="Times New Roman" w:cs="Times New Roman"/>
          <w:b w:val="0"/>
          <w:i w:val="0"/>
          <w:sz w:val="22"/>
        </w:rPr>
        <w:t>Several studies have evaluated growth hormone replacement in adult deficiency using HOMA-IR and oral glucose tolerance testing. In one twelve-month study of 24 adults, growth hormone therapy produced progressive increases in fasting insulin with deterioration in insulin sensitivity indices, despite significant reductions in visceral fat and waist-to-hip ratio. Another twelve-month study in 17 adults showed marked improvements in body fat percentage and lean mass with neutral effects on HOMA-IR. Long-term follow-up over five years in a cohort of 20 patients demonstrated an initial rise in HOMA-IR after year one, followed by partial improvement by year five as body fat decreased, with no cases of impaired fasting glucose.¹⁰</w:t>
      </w:r>
    </w:p>
    <w:p>
      <w:pPr>
        <w:spacing w:after="120" w:before="0" w:line="276" w:lineRule="auto"/>
        <w:jc w:val="both"/>
      </w:pPr>
      <w:r>
        <w:rPr>
          <w:rFonts w:ascii="Times New Roman" w:hAnsi="Times New Roman" w:cs="Times New Roman"/>
          <w:b w:val="0"/>
          <w:i w:val="0"/>
          <w:sz w:val="22"/>
        </w:rPr>
        <w:t>Taken together, these data suggest growth hormone replacement in adult deficiency may transiently worsen surrogate markers of insulin resistance in the early phase, while improving body composition and possibly attenuating long-term cardiometabolic risk. In the Dr. Nehru framework, growth hormone replacement is considered a specialised therapy in which HOMA-IR may worsen initially, so close monitoring of glucose and HbA1c is essential, though body composition improvements may justify continued therapy in appropriately selected patients.</w:t>
      </w:r>
    </w:p>
    <w:p>
      <w:pPr>
        <w:keepNext/>
        <w:spacing w:before="240" w:after="120"/>
        <w:jc w:val="left"/>
      </w:pPr>
      <w:r>
        <w:rPr>
          <w:rFonts w:ascii="Arial" w:hAnsi="Arial" w:cs="Arial"/>
          <w:b/>
          <w:sz w:val="26"/>
        </w:rPr>
        <w:t>12.9 — Integrating Hormonal Drivers in the Indian Phenotype</w:t>
      </w:r>
    </w:p>
    <w:p>
      <w:pPr>
        <w:spacing w:after="120" w:before="0" w:line="276" w:lineRule="auto"/>
        <w:jc w:val="both"/>
      </w:pPr>
      <w:r>
        <w:rPr>
          <w:rFonts w:ascii="Times New Roman" w:hAnsi="Times New Roman" w:cs="Times New Roman"/>
          <w:b w:val="0"/>
          <w:i w:val="0"/>
          <w:sz w:val="22"/>
        </w:rPr>
        <w:t>Populations with rice-predominant diets and high refined-carbohydrate intake often exhibit a phenotype of normal BMI but elevated visceral adiposity, high triglycerides, and subtle elevation of fasting glucose. In such settings, the TyG index offers a useful surrogate for insulin resistance that integrates fasting glucose and triglycerides and correlates with clamp-measured insulin sensitivity and risk of diabetes and cardiovascular disease. In the Dr. Nehru Method, TyG above 8.82 natural log is used as a proposed operational cutoff for Indian adults, complementing HOMA-IR above 2.3 to stage insulin resistance. These thresholds reflect Indian data and literature from Asian cohorts but are explicitly described as staging tools rather than universal diagnostic criteria.¹²</w:t>
      </w:r>
    </w:p>
    <w:p>
      <w:pPr>
        <w:spacing w:after="120" w:before="0" w:line="276" w:lineRule="auto"/>
        <w:jc w:val="both"/>
      </w:pPr>
      <w:r>
        <w:rPr>
          <w:rFonts w:ascii="Times New Roman" w:hAnsi="Times New Roman" w:cs="Times New Roman"/>
          <w:b w:val="0"/>
          <w:i w:val="0"/>
          <w:sz w:val="22"/>
        </w:rPr>
        <w:t>From an endocrine perspective, staging insulin resistance in Indian patients involves a layered assessment across multiple axes simultaneously, rather than relying on glucose parameters alone.</w:t>
      </w:r>
    </w:p>
    <w:p>
      <w:pPr>
        <w:spacing w:after="120" w:before="0" w:line="276" w:lineRule="auto"/>
        <w:jc w:val="both"/>
      </w:pPr>
      <w:r>
        <w:rPr>
          <w:rFonts w:ascii="Times New Roman" w:hAnsi="Times New Roman" w:cs="Times New Roman"/>
          <w:b w:val="0"/>
          <w:i w:val="0"/>
          <w:sz w:val="22"/>
        </w:rPr>
        <w:t>• Pancreatic-hepatic axis — HOMA-IR, TyG, fasting insulin, SHBG as hepatic marker of insulin resistance.</w:t>
      </w:r>
    </w:p>
    <w:p>
      <w:pPr>
        <w:spacing w:after="120" w:before="0" w:line="276" w:lineRule="auto"/>
        <w:jc w:val="both"/>
      </w:pPr>
      <w:r>
        <w:rPr>
          <w:rFonts w:ascii="Times New Roman" w:hAnsi="Times New Roman" w:cs="Times New Roman"/>
          <w:b w:val="0"/>
          <w:i w:val="0"/>
          <w:sz w:val="22"/>
        </w:rPr>
        <w:t>• Gonadal axis — total and free testosterone, SHBG, and clinical features of hypogonadism in men; androgen excess and PCOS features in women.</w:t>
      </w:r>
    </w:p>
    <w:p>
      <w:pPr>
        <w:spacing w:after="120" w:before="0" w:line="276" w:lineRule="auto"/>
        <w:jc w:val="both"/>
      </w:pPr>
      <w:r>
        <w:rPr>
          <w:rFonts w:ascii="Times New Roman" w:hAnsi="Times New Roman" w:cs="Times New Roman"/>
          <w:b w:val="0"/>
          <w:i w:val="0"/>
          <w:sz w:val="22"/>
        </w:rPr>
        <w:t>• Thyroid axis — TSH and free T4, with TSH above 4.5 mIU/L as an operational marker of subclinical hypothyroidism-related metabolic stress.</w:t>
      </w:r>
    </w:p>
    <w:p>
      <w:pPr>
        <w:spacing w:after="120" w:before="0" w:line="276" w:lineRule="auto"/>
        <w:jc w:val="both"/>
      </w:pPr>
      <w:r>
        <w:rPr>
          <w:rFonts w:ascii="Times New Roman" w:hAnsi="Times New Roman" w:cs="Times New Roman"/>
          <w:b w:val="0"/>
          <w:i w:val="0"/>
          <w:sz w:val="22"/>
        </w:rPr>
        <w:t>• HPA axis — 1mg DST with cortisol above 1.8 mcg/dL as an operational threshold prompting further evaluation for autonomous cortisol secretion.</w:t>
      </w:r>
    </w:p>
    <w:p>
      <w:pPr>
        <w:spacing w:after="120" w:before="0" w:line="276" w:lineRule="auto"/>
        <w:jc w:val="both"/>
      </w:pPr>
      <w:r>
        <w:rPr>
          <w:rFonts w:ascii="Times New Roman" w:hAnsi="Times New Roman" w:cs="Times New Roman"/>
          <w:b w:val="0"/>
          <w:i w:val="0"/>
          <w:sz w:val="22"/>
        </w:rPr>
        <w:t>• Pituitary axis — prolactin levels, recognising that cabergoline-associated improvements in HOMA-IR arise from pilot data only.</w:t>
      </w:r>
    </w:p>
    <w:p>
      <w:pPr>
        <w:spacing w:after="120" w:before="0" w:line="276" w:lineRule="auto"/>
        <w:jc w:val="both"/>
      </w:pPr>
      <w:r>
        <w:rPr>
          <w:rFonts w:ascii="Times New Roman" w:hAnsi="Times New Roman" w:cs="Times New Roman"/>
          <w:b w:val="0"/>
          <w:i w:val="0"/>
          <w:sz w:val="22"/>
        </w:rPr>
        <w:t>• GH axis — clinical and biochemical assessment of adult deficiency, understanding that replacement may initially worsen HOMA-IR while improving body composition over time.</w:t>
      </w:r>
    </w:p>
    <w:p>
      <w:pPr>
        <w:spacing w:after="120" w:before="0" w:line="276" w:lineRule="auto"/>
        <w:jc w:val="both"/>
      </w:pPr>
      <w:r>
        <w:rPr>
          <w:rFonts w:ascii="Times New Roman" w:hAnsi="Times New Roman" w:cs="Times New Roman"/>
          <w:b w:val="0"/>
          <w:i w:val="0"/>
          <w:sz w:val="22"/>
        </w:rPr>
        <w:t>Methylcobalamin is preferred over cyanocobalamin for B12 replacement in this staging approach, especially in patients on long-term metformin, to minimise overlapping neuropathy and haematological risk. All hormonal cutoffs and staging thresholds described in this chapter are operational and intended for structured clinical reasoning within the Dr. Nehru Method — they do not represent universal guidelines or consensus positions of professional societies. Clinical decisions should continue to follow standard international and national endocrine guidelines, with this framework serving as an adjunctive lens for understanding the hormonal drivers of insulin resistance beyond glucose.</w:t>
      </w:r>
    </w:p>
    <w:p>
      <w:pPr>
        <w:keepNext/>
        <w:spacing w:before="240" w:after="120"/>
        <w:jc w:val="left"/>
      </w:pPr>
      <w:r>
        <w:rPr>
          <w:rFonts w:ascii="Arial" w:hAnsi="Arial" w:cs="Arial"/>
          <w:b/>
          <w:sz w:val="26"/>
        </w:rPr>
        <w:t>Clinical Summary — Chapter 12</w:t>
      </w:r>
    </w:p>
    <w:p>
      <w:pPr>
        <w:spacing w:after="120" w:before="0" w:line="276" w:lineRule="auto"/>
        <w:jc w:val="both"/>
      </w:pPr>
      <w:r>
        <w:rPr>
          <w:rFonts w:ascii="Times New Roman" w:hAnsi="Times New Roman" w:cs="Times New Roman"/>
          <w:b w:val="0"/>
          <w:i w:val="0"/>
          <w:sz w:val="22"/>
        </w:rPr>
        <w:t>• Testosterone replacement — 18 RCTs N=1415 — HOMA-IR SMD minus 1.94 — appropriate only in confirmed hypogonadism, not for metabolic indication alone.</w:t>
      </w:r>
    </w:p>
    <w:p>
      <w:pPr>
        <w:spacing w:after="120" w:before="0" w:line="276" w:lineRule="auto"/>
        <w:jc w:val="both"/>
      </w:pPr>
      <w:r>
        <w:rPr>
          <w:rFonts w:ascii="Times New Roman" w:hAnsi="Times New Roman" w:cs="Times New Roman"/>
          <w:b w:val="0"/>
          <w:i w:val="0"/>
          <w:sz w:val="22"/>
        </w:rPr>
        <w:t>• HRT — 107 trials — HOMA-IR falls 12.9% without diabetes, 35.8% with diabetes — transdermal preferred at high cardiometabolic risk.</w:t>
      </w:r>
    </w:p>
    <w:p>
      <w:pPr>
        <w:spacing w:after="120" w:before="0" w:line="276" w:lineRule="auto"/>
        <w:jc w:val="both"/>
      </w:pPr>
      <w:r>
        <w:rPr>
          <w:rFonts w:ascii="Times New Roman" w:hAnsi="Times New Roman" w:cs="Times New Roman"/>
          <w:b w:val="0"/>
          <w:i w:val="0"/>
          <w:sz w:val="22"/>
        </w:rPr>
        <w:t>• AMH PCOS cutoffs — 8.16 ng/mL ages 20-29, 5.89 ng/mL ages 30-39 — Chinese cohort N=771 — apply cautiously in Indian patients.</w:t>
      </w:r>
    </w:p>
    <w:p>
      <w:pPr>
        <w:spacing w:after="120" w:before="0" w:line="276" w:lineRule="auto"/>
        <w:jc w:val="both"/>
      </w:pPr>
      <w:r>
        <w:rPr>
          <w:rFonts w:ascii="Times New Roman" w:hAnsi="Times New Roman" w:cs="Times New Roman"/>
          <w:b w:val="0"/>
          <w:i w:val="0"/>
          <w:sz w:val="22"/>
        </w:rPr>
        <w:t>• TSH above 4.5 mIU/L — operational threshold for subclinical hypothyroidism-related metabolic stress, not universal cutoff.</w:t>
      </w:r>
    </w:p>
    <w:p>
      <w:pPr>
        <w:spacing w:after="120" w:before="0" w:line="276" w:lineRule="auto"/>
        <w:jc w:val="both"/>
      </w:pPr>
      <w:r>
        <w:rPr>
          <w:rFonts w:ascii="Times New Roman" w:hAnsi="Times New Roman" w:cs="Times New Roman"/>
          <w:b w:val="0"/>
          <w:i w:val="0"/>
          <w:sz w:val="22"/>
        </w:rPr>
        <w:t>• DST cortisol above 1.8 mcg/dL — operational threshold prompting further evaluation, not definitive Cushing diagnosis.</w:t>
      </w:r>
    </w:p>
    <w:p>
      <w:pPr>
        <w:spacing w:after="120" w:before="0" w:line="276" w:lineRule="auto"/>
        <w:jc w:val="both"/>
      </w:pPr>
      <w:r>
        <w:rPr>
          <w:rFonts w:ascii="Times New Roman" w:hAnsi="Times New Roman" w:cs="Times New Roman"/>
          <w:b w:val="0"/>
          <w:i w:val="0"/>
          <w:sz w:val="22"/>
        </w:rPr>
        <w:t>• Hyperprolactinaemia cabergoline data — N=15 — pilot evidence only — cannot be generalised.</w:t>
      </w:r>
    </w:p>
    <w:p>
      <w:pPr>
        <w:spacing w:after="120" w:before="0" w:line="276" w:lineRule="auto"/>
        <w:jc w:val="both"/>
      </w:pPr>
      <w:r>
        <w:rPr>
          <w:rFonts w:ascii="Times New Roman" w:hAnsi="Times New Roman" w:cs="Times New Roman"/>
          <w:b w:val="0"/>
          <w:i w:val="0"/>
          <w:sz w:val="22"/>
        </w:rPr>
        <w:t>• GH replacement — HOMA-IR worsens initially — body composition improves over 1 to 5 years — monitor glucose closely.</w:t>
      </w:r>
    </w:p>
    <w:p>
      <w:pPr>
        <w:spacing w:after="120" w:before="0" w:line="276" w:lineRule="auto"/>
        <w:jc w:val="both"/>
      </w:pPr>
      <w:r>
        <w:rPr>
          <w:rFonts w:ascii="Times New Roman" w:hAnsi="Times New Roman" w:cs="Times New Roman"/>
          <w:b w:val="0"/>
          <w:i w:val="0"/>
          <w:sz w:val="22"/>
        </w:rPr>
        <w:t>• All hormonal cutoffs in this chapter are Dr. Nehru Method operational tools — not international consensus guidelines.</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The meta-analysis of 18 RCTs on testosterone replacement reported a HOMA-IR SMD of:</w:t>
      </w:r>
    </w:p>
    <w:p>
      <w:pPr>
        <w:spacing w:after="20"/>
        <w:ind w:left="432"/>
      </w:pPr>
      <w:r>
        <w:rPr>
          <w:rFonts w:ascii="Times New Roman" w:hAnsi="Times New Roman" w:cs="Times New Roman"/>
          <w:sz w:val="22"/>
        </w:rPr>
        <w:t>A. Minus 0.54   B. Minus 1.94   C. Plus 1.20   D. Minus 3.58</w:t>
      </w:r>
    </w:p>
    <w:p>
      <w:pPr>
        <w:spacing w:after="40"/>
        <w:jc w:val="left"/>
      </w:pPr>
      <w:r>
        <w:rPr>
          <w:rFonts w:ascii="Times New Roman" w:hAnsi="Times New Roman" w:cs="Times New Roman"/>
          <w:b w:val="0"/>
          <w:sz w:val="22"/>
        </w:rPr>
        <w:t>2. In women with pre-existing type 2 diabetes, HRT reduced HOMA-IR by approximately:</w:t>
      </w:r>
    </w:p>
    <w:p>
      <w:pPr>
        <w:spacing w:after="20"/>
        <w:ind w:left="432"/>
      </w:pPr>
      <w:r>
        <w:rPr>
          <w:rFonts w:ascii="Times New Roman" w:hAnsi="Times New Roman" w:cs="Times New Roman"/>
          <w:sz w:val="22"/>
        </w:rPr>
        <w:t>A. 12.9%   B. 20.5%   C. 35.8%   D. 42.0%</w:t>
      </w:r>
    </w:p>
    <w:p>
      <w:pPr>
        <w:spacing w:after="40"/>
        <w:jc w:val="left"/>
      </w:pPr>
      <w:r>
        <w:rPr>
          <w:rFonts w:ascii="Times New Roman" w:hAnsi="Times New Roman" w:cs="Times New Roman"/>
          <w:b w:val="0"/>
          <w:sz w:val="22"/>
        </w:rPr>
        <w:t>3. The AMH diagnostic threshold for PCOS in Chinese women aged 20-29 was:</w:t>
      </w:r>
    </w:p>
    <w:p>
      <w:pPr>
        <w:spacing w:after="20"/>
        <w:ind w:left="432"/>
      </w:pPr>
      <w:r>
        <w:rPr>
          <w:rFonts w:ascii="Times New Roman" w:hAnsi="Times New Roman" w:cs="Times New Roman"/>
          <w:sz w:val="22"/>
        </w:rPr>
        <w:t>A. 5.89 ng/mL   B. 6.50 ng/mL   C. 8.16 ng/mL   D. 10.2 ng/mL</w:t>
      </w:r>
    </w:p>
    <w:p>
      <w:pPr>
        <w:spacing w:after="40"/>
        <w:jc w:val="left"/>
      </w:pPr>
      <w:r>
        <w:rPr>
          <w:rFonts w:ascii="Times New Roman" w:hAnsi="Times New Roman" w:cs="Times New Roman"/>
          <w:b w:val="0"/>
          <w:sz w:val="22"/>
        </w:rPr>
        <w:t>4. A post-DST cortisol above 1.8 mcg/dL indicates:</w:t>
      </w:r>
    </w:p>
    <w:p>
      <w:pPr>
        <w:spacing w:after="20"/>
        <w:ind w:left="432"/>
      </w:pPr>
      <w:r>
        <w:rPr>
          <w:rFonts w:ascii="Times New Roman" w:hAnsi="Times New Roman" w:cs="Times New Roman"/>
          <w:sz w:val="22"/>
        </w:rPr>
        <w:t>A. Normal suppression   B. Inadequate suppression requiring further evaluation</w:t>
      </w:r>
    </w:p>
    <w:p>
      <w:pPr>
        <w:spacing w:after="20"/>
        <w:ind w:left="432"/>
      </w:pPr>
      <w:r>
        <w:rPr>
          <w:rFonts w:ascii="Times New Roman" w:hAnsi="Times New Roman" w:cs="Times New Roman"/>
          <w:sz w:val="22"/>
        </w:rPr>
        <w:t>C. Definitive Cushing syndrome   D. Hypocortisolism</w:t>
      </w:r>
    </w:p>
    <w:p>
      <w:pPr>
        <w:spacing w:after="40"/>
        <w:jc w:val="left"/>
      </w:pPr>
      <w:r>
        <w:rPr>
          <w:rFonts w:ascii="Times New Roman" w:hAnsi="Times New Roman" w:cs="Times New Roman"/>
          <w:b w:val="0"/>
          <w:sz w:val="22"/>
        </w:rPr>
        <w:t>5. GH replacement in adult GH deficiency typically shows what early pattern?</w:t>
      </w:r>
    </w:p>
    <w:p>
      <w:pPr>
        <w:spacing w:after="20"/>
        <w:ind w:left="432"/>
      </w:pPr>
      <w:r>
        <w:rPr>
          <w:rFonts w:ascii="Times New Roman" w:hAnsi="Times New Roman" w:cs="Times New Roman"/>
          <w:sz w:val="22"/>
        </w:rPr>
        <w:t>A. Immediate HOMA-IR improvement   B. No metabolic change</w:t>
      </w:r>
    </w:p>
    <w:p>
      <w:pPr>
        <w:spacing w:after="20"/>
        <w:ind w:left="432"/>
      </w:pPr>
      <w:r>
        <w:rPr>
          <w:rFonts w:ascii="Times New Roman" w:hAnsi="Times New Roman" w:cs="Times New Roman"/>
          <w:sz w:val="22"/>
        </w:rPr>
        <w:t>C. Initial HOMA-IR worsening with later body composition benefit   D. Permanent insulin resistance</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C  4. B  5.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Int J Med. 2026;8(2):977-983. Proposed HOMA-IR cutoff above 2.3 for Indian adults.</w:t>
      </w:r>
    </w:p>
    <w:p>
      <w:pPr>
        <w:spacing w:after="40"/>
        <w:jc w:val="left"/>
      </w:pPr>
      <w:r>
        <w:rPr>
          <w:rFonts w:ascii="Times New Roman" w:hAnsi="Times New Roman" w:cs="Times New Roman"/>
          <w:sz w:val="19"/>
        </w:rPr>
        <w:t>2. Nehru MS. IJCPR. 2026;18(2):826-833. Proposed TyG cutoff above 8.82 natural log for Indian phenotype.</w:t>
      </w:r>
    </w:p>
    <w:p>
      <w:pPr>
        <w:spacing w:after="40"/>
        <w:jc w:val="left"/>
      </w:pPr>
      <w:r>
        <w:rPr>
          <w:rFonts w:ascii="Times New Roman" w:hAnsi="Times New Roman" w:cs="Times New Roman"/>
          <w:sz w:val="19"/>
        </w:rPr>
        <w:t>3. Kalinchenko SY et al. Testosterone undecanoate in hypogonadal men with metabolic syndrome — Moscow Study — Clin Endocrinol. 2010.</w:t>
      </w:r>
    </w:p>
    <w:p>
      <w:pPr>
        <w:spacing w:after="40"/>
        <w:jc w:val="left"/>
      </w:pPr>
      <w:r>
        <w:rPr>
          <w:rFonts w:ascii="Times New Roman" w:hAnsi="Times New Roman" w:cs="Times New Roman"/>
          <w:sz w:val="19"/>
        </w:rPr>
        <w:t>4. Metabolic effects of testosterone replacement therapy — meta-analysis of 18 RCTs, N=1415 — HOMA-IR SMD minus 1.94, 95% CI minus 2.65 to minus 1.23.</w:t>
      </w:r>
    </w:p>
    <w:p>
      <w:pPr>
        <w:spacing w:after="40"/>
        <w:jc w:val="left"/>
      </w:pPr>
      <w:r>
        <w:rPr>
          <w:rFonts w:ascii="Times New Roman" w:hAnsi="Times New Roman" w:cs="Times New Roman"/>
          <w:sz w:val="19"/>
        </w:rPr>
        <w:t>5. Salpeter SR et al. Meta-analysis of HRT in women — 107 trials — HOMA-IR reduced 12.9% without diabetes, 35.8% with diabetes.</w:t>
      </w:r>
    </w:p>
    <w:p>
      <w:pPr>
        <w:spacing w:after="40"/>
        <w:jc w:val="left"/>
      </w:pPr>
      <w:r>
        <w:rPr>
          <w:rFonts w:ascii="Times New Roman" w:hAnsi="Times New Roman" w:cs="Times New Roman"/>
          <w:sz w:val="19"/>
        </w:rPr>
        <w:t>6. Threshold value of anti-Mullerian hormone for PCOS diagnosis in Chinese cohort of 771 women — age-specific cutoffs and ROC performance. PLOS One. 2014.</w:t>
      </w:r>
    </w:p>
    <w:p>
      <w:pPr>
        <w:spacing w:after="40"/>
        <w:jc w:val="left"/>
      </w:pPr>
      <w:r>
        <w:rPr>
          <w:rFonts w:ascii="Times New Roman" w:hAnsi="Times New Roman" w:cs="Times New Roman"/>
          <w:sz w:val="19"/>
        </w:rPr>
        <w:t>7. Diagnosis of Cushing's Syndrome — Endocrine Society Clinical Practice Guideline — 1mg DST cortisol above 1.8 mcg/dL.</w:t>
      </w:r>
    </w:p>
    <w:p>
      <w:pPr>
        <w:spacing w:after="40"/>
        <w:jc w:val="left"/>
      </w:pPr>
      <w:r>
        <w:rPr>
          <w:rFonts w:ascii="Times New Roman" w:hAnsi="Times New Roman" w:cs="Times New Roman"/>
          <w:sz w:val="19"/>
        </w:rPr>
        <w:t>8. Influences of hyperprolactinaemia and obesity on cardiovascular risk markers — cabergoline therapy in 15 patients — pilot evidence.</w:t>
      </w:r>
    </w:p>
    <w:p>
      <w:pPr>
        <w:spacing w:after="40"/>
        <w:jc w:val="left"/>
      </w:pPr>
      <w:r>
        <w:rPr>
          <w:rFonts w:ascii="Times New Roman" w:hAnsi="Times New Roman" w:cs="Times New Roman"/>
          <w:sz w:val="19"/>
        </w:rPr>
        <w:t>9. Studies of insulin resistance in subclinical hypothyroidism — elevated HOMA-IR and TSH correlation.</w:t>
      </w:r>
    </w:p>
    <w:p>
      <w:pPr>
        <w:spacing w:after="40"/>
        <w:jc w:val="left"/>
      </w:pPr>
      <w:r>
        <w:rPr>
          <w:rFonts w:ascii="Times New Roman" w:hAnsi="Times New Roman" w:cs="Times New Roman"/>
          <w:sz w:val="19"/>
        </w:rPr>
        <w:t>10. Adult GH deficiency replacement trials — early HOMA-IR deterioration with later body composition improvement.</w:t>
      </w:r>
    </w:p>
    <w:p>
      <w:pPr>
        <w:spacing w:after="40"/>
        <w:jc w:val="left"/>
      </w:pPr>
      <w:r>
        <w:rPr>
          <w:rFonts w:ascii="Times New Roman" w:hAnsi="Times New Roman" w:cs="Times New Roman"/>
          <w:sz w:val="19"/>
        </w:rPr>
        <w:t>11. SHBG as hepatic marker of insulin resistance — low SHBG associated with obesity, NAFLD, diabetes.</w:t>
      </w:r>
    </w:p>
    <w:p>
      <w:pPr>
        <w:spacing w:after="40"/>
        <w:jc w:val="left"/>
      </w:pPr>
      <w:r>
        <w:rPr>
          <w:rFonts w:ascii="Times New Roman" w:hAnsi="Times New Roman" w:cs="Times New Roman"/>
          <w:sz w:val="19"/>
        </w:rPr>
        <w:t>12. Comparative analyses of TyG and insulin resistance biomarkers — associations with metabolic syndrome and cardiometabolic events.</w:t>
      </w:r>
    </w:p>
    <w:p>
      <w:r>
        <w:br w:type="page"/>
      </w:r>
    </w:p>
    <w:p>
      <w:pPr>
        <w:jc w:val="left"/>
      </w:pPr>
      <w:r>
        <w:rPr>
          <w:rFonts w:ascii="Arial" w:hAnsi="Arial" w:cs="Arial"/>
          <w:b/>
          <w:sz w:val="26"/>
        </w:rPr>
        <w:t>CHAPTER 13</w:t>
      </w:r>
    </w:p>
    <w:p>
      <w:pPr>
        <w:keepNext/>
        <w:spacing w:before="360" w:after="120"/>
        <w:jc w:val="left"/>
      </w:pPr>
      <w:r>
        <w:rPr>
          <w:rFonts w:ascii="Arial" w:hAnsi="Arial" w:cs="Arial"/>
          <w:b/>
          <w:sz w:val="32"/>
        </w:rPr>
        <w:t>Precision Pharmacotherapy</w:t>
      </w:r>
    </w:p>
    <w:p>
      <w:pPr>
        <w:keepNext/>
        <w:spacing w:before="240" w:after="120"/>
        <w:jc w:val="left"/>
      </w:pPr>
      <w:r>
        <w:rPr>
          <w:rFonts w:ascii="Arial" w:hAnsi="Arial" w:cs="Arial"/>
          <w:b/>
          <w:sz w:val="26"/>
        </w:rPr>
        <w:t>Precision Pharmacotherapy in Metabolic Disease</w:t>
      </w:r>
    </w:p>
    <w:p>
      <w:pPr>
        <w:keepNext/>
        <w:spacing w:before="240" w:after="120"/>
        <w:jc w:val="left"/>
      </w:pPr>
      <w:r>
        <w:rPr>
          <w:rFonts w:ascii="Arial" w:hAnsi="Arial" w:cs="Arial"/>
          <w:b/>
          <w:sz w:val="26"/>
        </w:rPr>
        <w:t>Introduction</w:t>
      </w:r>
    </w:p>
    <w:p>
      <w:pPr>
        <w:spacing w:after="120" w:before="0" w:line="276" w:lineRule="auto"/>
        <w:jc w:val="both"/>
      </w:pPr>
      <w:r>
        <w:rPr>
          <w:rFonts w:ascii="Times New Roman" w:hAnsi="Times New Roman" w:cs="Times New Roman"/>
          <w:b w:val="0"/>
          <w:i w:val="0"/>
          <w:sz w:val="22"/>
        </w:rPr>
        <w:t>Metabolic disease is not a single condition but a spectrum of overlapping dysfunctions — hyperglycaemia, dyslipidaemia, insulin resistance, visceral adiposity, and cardiovascular risk — all converging on the same damaged endothelium. Treating each of these in isolation, with one drug per diagnosis, is the old model. Precision pharmacotherapy, as proposed in the Dr. Nehru Method, treats the underlying metabolic biology first and allows the clinical labels — diabetes, hypertension, hyperlipidaemia — to follow the correction of the root cause.</w:t>
      </w:r>
    </w:p>
    <w:p>
      <w:pPr>
        <w:spacing w:after="120" w:before="0" w:line="276" w:lineRule="auto"/>
        <w:jc w:val="both"/>
      </w:pPr>
      <w:r>
        <w:rPr>
          <w:rFonts w:ascii="Times New Roman" w:hAnsi="Times New Roman" w:cs="Times New Roman"/>
          <w:b w:val="0"/>
          <w:i w:val="0"/>
          <w:sz w:val="22"/>
        </w:rPr>
        <w:t>This chapter presents the key pharmacological agents available in India in 2026, organised by their mechanism of action within the metabolic cascade. The staging framework used throughout this text — HOMA-IR greater than 2.3 as the threshold for insulin resistance in the Indian population, validated by Nehru MS et al. (International Journal of Medicine 2026;8(2):977–983), and TyG Index greater than 8.82 on the natural logarithm scale, validated by Nehru MS et al. (IJCPR 2026;18(2):826–833) — determines which drugs are indicated at which stage. A patient at Stage 0 (HOMA-IR less than 1.0) requires lifestyle correction. A patient at Stage 4 or Stage 5 (HOMA-IR greater than 5.0) requires combination pharmacotherapy targeting insulin resistance, atherogenic dyslipidaemia, and beta cell exhaustion simultaneously.</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13.1 ]</w:t>
      </w:r>
    </w:p>
    <w:p>
      <w:pPr>
        <w:spacing w:before="40" w:after="200"/>
        <w:jc w:val="center"/>
      </w:pPr>
      <w:r>
        <w:rPr>
          <w:rFonts w:ascii="Times New Roman" w:hAnsi="Times New Roman" w:cs="Times New Roman"/>
          <w:b w:val="0"/>
          <w:i/>
          <w:sz w:val="18"/>
        </w:rPr>
        <w:t>Figure 13.1 — Precision pharmacotherapy mapped to HOMA-IR stages.</w:t>
      </w:r>
    </w:p>
    <w:p>
      <w:pPr>
        <w:spacing w:after="120" w:before="0" w:line="276" w:lineRule="auto"/>
        <w:jc w:val="both"/>
      </w:pPr>
      <w:r>
        <w:rPr>
          <w:rFonts w:ascii="Times New Roman" w:hAnsi="Times New Roman" w:cs="Times New Roman"/>
          <w:b w:val="0"/>
          <w:i w:val="0"/>
          <w:sz w:val="22"/>
        </w:rPr>
        <w:t>Throughout this chapter, drug benefit is expressed using Number Needed to Treat (NNT) from TheNNT.com, not manufacturer promotional data. This distinction matters enormously in clinical practice and patient counselling.</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13.2 ]</w:t>
      </w:r>
    </w:p>
    <w:p>
      <w:pPr>
        <w:spacing w:before="40" w:after="200"/>
        <w:jc w:val="center"/>
      </w:pPr>
      <w:r>
        <w:rPr>
          <w:rFonts w:ascii="Times New Roman" w:hAnsi="Times New Roman" w:cs="Times New Roman"/>
          <w:b w:val="0"/>
          <w:i/>
          <w:sz w:val="18"/>
        </w:rPr>
        <w:t>Figure 13.2 — Number needed to treat (NNT) framing for statin therapy.</w:t>
      </w:r>
    </w:p>
    <w:p>
      <w:pPr>
        <w:keepNext/>
        <w:spacing w:before="240" w:after="120"/>
        <w:jc w:val="left"/>
      </w:pPr>
      <w:r>
        <w:rPr>
          <w:rFonts w:ascii="Arial" w:hAnsi="Arial" w:cs="Arial"/>
          <w:b/>
          <w:sz w:val="26"/>
        </w:rPr>
        <w:t>1. Metformin — The Indispensable First Line</w:t>
      </w:r>
    </w:p>
    <w:p>
      <w:pPr>
        <w:spacing w:after="120" w:before="0" w:line="276" w:lineRule="auto"/>
        <w:jc w:val="both"/>
      </w:pPr>
      <w:r>
        <w:rPr>
          <w:rFonts w:ascii="Times New Roman" w:hAnsi="Times New Roman" w:cs="Times New Roman"/>
          <w:b w:val="0"/>
          <w:i w:val="0"/>
          <w:sz w:val="22"/>
        </w:rPr>
        <w:t>Metformin remains the cornerstone of pharmacotherapy for type 2 diabetes and insulin resistance. Its mechanism is primarily hepatic — it suppresses gluconeogenesis through AMPK activation, reducing fasting glucose without causing hypoglycaemia. It modestly reduces HOMA-IR, reduces circulating insulin levels, and has a favourable effect on body weight. The UKPDS demonstrated long-term cardiovascular benefit independent of glycaemic control, an effect that has been called the "legacy effect."</w:t>
      </w:r>
    </w:p>
    <w:p>
      <w:pPr>
        <w:spacing w:after="120" w:before="0" w:line="276" w:lineRule="auto"/>
        <w:jc w:val="both"/>
      </w:pPr>
      <w:r>
        <w:rPr>
          <w:rFonts w:ascii="Times New Roman" w:hAnsi="Times New Roman" w:cs="Times New Roman"/>
          <w:b w:val="0"/>
          <w:i w:val="0"/>
          <w:sz w:val="22"/>
        </w:rPr>
        <w:t>The mandatory companion: methylcobalamin. Metformin consistently depletes vitamin B12 through impairment of ileal calcium-dependent absorption. The depletion is dose-dependent and duration-dependent. Every patient on metformin must receive methylcobalamin supplementation — not cyanocobalamin. Methylcobalamin is the neurologically active form, crosses the blood-brain barrier, and is directly usable in myelin synthesis without requiring hepatic conversion. Cyanocobalamin requires multiple conversion steps and is significantly less effective in metformin-treated patients. This is not optional. It is a mandatory co-prescription in the Dr. Nehru Method.</w:t>
      </w:r>
    </w:p>
    <w:p>
      <w:pPr>
        <w:spacing w:after="120" w:before="0" w:line="276" w:lineRule="auto"/>
        <w:jc w:val="both"/>
      </w:pPr>
      <w:r>
        <w:rPr>
          <w:rFonts w:ascii="Times New Roman" w:hAnsi="Times New Roman" w:cs="Times New Roman"/>
          <w:b w:val="0"/>
          <w:i w:val="0"/>
          <w:sz w:val="22"/>
        </w:rPr>
        <w:t>The clinical consequence of untreated B12 deficiency in metformin-treated patients includes peripheral neuropathy, which is indistinguishable on examination from diabetic neuropathy. Thousands of Indian patients have received gabapentin or pregabalin for a neuropathy that was actually metformin-induced B12 deficiency — a preventable and reversible condition. Annual B12 monitoring and routine methylcobalamin supplementation at 500 mcg twice daily are recommended.</w:t>
      </w:r>
    </w:p>
    <w:p>
      <w:pPr>
        <w:spacing w:after="120" w:before="0" w:line="276" w:lineRule="auto"/>
        <w:jc w:val="both"/>
      </w:pPr>
      <w:r>
        <w:rPr>
          <w:rFonts w:ascii="Times New Roman" w:hAnsi="Times New Roman" w:cs="Times New Roman"/>
          <w:b w:val="0"/>
          <w:i w:val="0"/>
          <w:sz w:val="22"/>
        </w:rPr>
        <w:t>Metformin is effective up to HOMA-IR Stage 3. Beyond Stage 3, it is insufficient as monotherapy and must be combined with agents that directly address beta cell protection and insulin resistance amplification.</w:t>
      </w:r>
    </w:p>
    <w:p>
      <w:pPr>
        <w:keepNext/>
        <w:spacing w:before="240" w:after="120"/>
        <w:jc w:val="left"/>
      </w:pPr>
      <w:r>
        <w:rPr>
          <w:rFonts w:ascii="Arial" w:hAnsi="Arial" w:cs="Arial"/>
          <w:b/>
          <w:sz w:val="26"/>
        </w:rPr>
        <w:t>2. Thiazolidinediones — Targeting Insulin Resistance Directly</w:t>
      </w:r>
    </w:p>
    <w:p>
      <w:pPr>
        <w:spacing w:after="120" w:before="0" w:line="276" w:lineRule="auto"/>
        <w:jc w:val="both"/>
      </w:pPr>
      <w:r>
        <w:rPr>
          <w:rFonts w:ascii="Times New Roman" w:hAnsi="Times New Roman" w:cs="Times New Roman"/>
          <w:b w:val="0"/>
          <w:i w:val="0"/>
          <w:sz w:val="22"/>
        </w:rPr>
        <w:t>Pioglitazone acts as a PPARgamma agonist, improving insulin sensitivity in peripheral tissues — muscle, fat, and liver. It directly reduces HOMA-IR and has demonstrated benefit in non-alcoholic fatty liver disease (NAFLD), which is increasingly recognised as the hepatic manifestation of the same metabolic cascade described in the Indian Health Constitution framework. Pioglitazone also has modest anti-atherogenic properties, reducing intimal media thickness and inflammatory markers.</w:t>
      </w:r>
    </w:p>
    <w:p>
      <w:pPr>
        <w:spacing w:after="120" w:before="0" w:line="276" w:lineRule="auto"/>
        <w:jc w:val="both"/>
      </w:pPr>
      <w:r>
        <w:rPr>
          <w:rFonts w:ascii="Times New Roman" w:hAnsi="Times New Roman" w:cs="Times New Roman"/>
          <w:b w:val="0"/>
          <w:i w:val="0"/>
          <w:sz w:val="22"/>
        </w:rPr>
        <w:t>Clinical drawbacks include fluid retention, weight gain, and the well-established association with bladder cancer with long-term use at high doses. In Indian patients with sarcopenia, the weight gain associated with pioglitazone must be monitored carefully, as it may disproportionately favour fat gain over muscle preservation.</w:t>
      </w:r>
    </w:p>
    <w:p>
      <w:pPr>
        <w:spacing w:after="120" w:before="0" w:line="276" w:lineRule="auto"/>
        <w:jc w:val="both"/>
      </w:pPr>
      <w:r>
        <w:rPr>
          <w:rFonts w:ascii="Times New Roman" w:hAnsi="Times New Roman" w:cs="Times New Roman"/>
          <w:b w:val="0"/>
          <w:i w:val="0"/>
          <w:sz w:val="22"/>
        </w:rPr>
        <w:t>Saroglitazar — the Indian option. Saroglitazar is a dual PPARalpha/gamma agonist developed and approved in India. It combines the insulin-sensitising effect of a PPARgamma agonist with the lipid-lowering properties of a PPARalpha agonist, making it particularly useful in patients with concurrent atherogenic dyslipidaemia (elevated triglycerides, reduced HDL). The PRESS V and PRESS VI trials (PMC4287720) validated its efficacy in Indian patients. Saroglitazar reduces triglycerides by 35 to 45 percent, reduces LDL, improves HDL, and reduces HOMA-IR. It is available at a fraction of the cost of novel agents and should be considered particularly in Indian patients with diabetic dyslipidaemia and NAFLD where the metabolic phenotype favours a dual PPARagonist approach.</w:t>
      </w:r>
    </w:p>
    <w:p>
      <w:pPr>
        <w:keepNext/>
        <w:spacing w:before="240" w:after="120"/>
        <w:jc w:val="left"/>
      </w:pPr>
      <w:r>
        <w:rPr>
          <w:rFonts w:ascii="Arial" w:hAnsi="Arial" w:cs="Arial"/>
          <w:b/>
          <w:sz w:val="26"/>
        </w:rPr>
        <w:t>3. SGLT2 Inhibitors — Cardiorenal Protection Beyond Glycaemia</w:t>
      </w:r>
    </w:p>
    <w:p>
      <w:pPr>
        <w:spacing w:after="120" w:before="0" w:line="276" w:lineRule="auto"/>
        <w:jc w:val="both"/>
      </w:pPr>
      <w:r>
        <w:rPr>
          <w:rFonts w:ascii="Times New Roman" w:hAnsi="Times New Roman" w:cs="Times New Roman"/>
          <w:b w:val="0"/>
          <w:i w:val="0"/>
          <w:sz w:val="22"/>
        </w:rPr>
        <w:t>Sodium-glucose cotransporter 2 inhibitors — empagliflozin, dapagliflozin, and canagliflozin — represent a genuine paradigm shift in metabolic pharmacotherapy. Their glycaemic mechanism (blocking renal glucose reabsorption, producing glucosuria) is secondary to their organ-protective effects. The cardiovascular and renal outcomes trials have transformed these drugs from antidiabetic agents into cardiorenal protective agents.</w:t>
      </w:r>
    </w:p>
    <w:p>
      <w:pPr>
        <w:spacing w:after="120" w:before="0" w:line="276" w:lineRule="auto"/>
        <w:jc w:val="both"/>
      </w:pPr>
      <w:r>
        <w:rPr>
          <w:rFonts w:ascii="Times New Roman" w:hAnsi="Times New Roman" w:cs="Times New Roman"/>
          <w:b w:val="0"/>
          <w:i w:val="0"/>
          <w:sz w:val="22"/>
        </w:rPr>
        <w:t>The EMPA-REG OUTCOME trial demonstrated that empagliflozin reduced cardiovascular death by 38 percent and hospitalisation for heart failure by 35 percent in patients with established cardiovascular disease. The DAPA-HF trial extended dapagliflozin benefit to patients with heart failure with reduced ejection fraction regardless of diabetes status. The CREDENCE and DAPA-CKD trials confirmed renal protective effects, with dapagliflozin reducing the composite of renal decline and death.</w:t>
      </w:r>
    </w:p>
    <w:p>
      <w:pPr>
        <w:spacing w:after="120" w:before="0" w:line="276" w:lineRule="auto"/>
        <w:jc w:val="both"/>
      </w:pPr>
      <w:r>
        <w:rPr>
          <w:rFonts w:ascii="Times New Roman" w:hAnsi="Times New Roman" w:cs="Times New Roman"/>
          <w:b w:val="0"/>
          <w:i w:val="0"/>
          <w:sz w:val="22"/>
        </w:rPr>
        <w:t>In the Dr. Nehru staging framework, SGLT2 inhibitors are indicated from Stage 2 onwards (HOMA-IR 2.3 to 3.5) in patients with established cardiovascular disease, heart failure, or chronic kidney disease, and from Stage 3 onwards (HOMA-IR 3.5 to 5.0) in patients with high cardiovascular risk. The glucose-lowering effect is HbA1c dependent; the cardiorenal benefit is not.</w:t>
      </w:r>
    </w:p>
    <w:p>
      <w:pPr>
        <w:spacing w:after="120" w:before="0" w:line="276" w:lineRule="auto"/>
        <w:jc w:val="both"/>
      </w:pPr>
      <w:r>
        <w:rPr>
          <w:rFonts w:ascii="Times New Roman" w:hAnsi="Times New Roman" w:cs="Times New Roman"/>
          <w:b w:val="0"/>
          <w:i w:val="0"/>
          <w:sz w:val="22"/>
        </w:rPr>
        <w:t>Practical considerations in India: empagliflozin and dapagliflozin are both available as generics at approximately Rs 15 to 30 per tablet. Patients must be counselled regarding adequate hydration, genital mycotic infections, and the rare but serious risk of euglycaemic diabetic ketoacidosis (particularly in patients who fast or undergo surgery). SGLT2 inhibitors should be withheld 72 hours before any surgical procedure.</w:t>
      </w:r>
    </w:p>
    <w:p>
      <w:pPr>
        <w:keepNext/>
        <w:spacing w:before="240" w:after="120"/>
        <w:jc w:val="left"/>
      </w:pPr>
      <w:r>
        <w:rPr>
          <w:rFonts w:ascii="Arial" w:hAnsi="Arial" w:cs="Arial"/>
          <w:b/>
          <w:sz w:val="26"/>
        </w:rPr>
        <w:t>4. GLP-1 Receptor Agonists — Beta Cell Protection and Weight Reduction</w:t>
      </w:r>
    </w:p>
    <w:p>
      <w:pPr>
        <w:spacing w:after="120" w:before="0" w:line="276" w:lineRule="auto"/>
        <w:jc w:val="both"/>
      </w:pPr>
      <w:r>
        <w:rPr>
          <w:rFonts w:ascii="Times New Roman" w:hAnsi="Times New Roman" w:cs="Times New Roman"/>
          <w:b w:val="0"/>
          <w:i w:val="0"/>
          <w:sz w:val="22"/>
        </w:rPr>
        <w:t>Glucagon-like peptide-1 receptor agonists — semaglutide, dulaglutide, liraglutide — act on the incretin axis to stimulate glucose-dependent insulin secretion, suppress glucagon, slow gastric emptying, and reduce appetite. Their weight reduction effect is central to their metabolic benefit: in patients with HOMA-IR greater than 2.3, sustained weight reduction directly lowers insulin resistance and reduces TyG Index.</w:t>
      </w:r>
    </w:p>
    <w:p>
      <w:pPr>
        <w:spacing w:after="120" w:before="0" w:line="276" w:lineRule="auto"/>
        <w:jc w:val="both"/>
      </w:pPr>
      <w:r>
        <w:rPr>
          <w:rFonts w:ascii="Times New Roman" w:hAnsi="Times New Roman" w:cs="Times New Roman"/>
          <w:b w:val="0"/>
          <w:i w:val="0"/>
          <w:sz w:val="22"/>
        </w:rPr>
        <w:t>Semaglutide (oral and subcutaneous) has demonstrated HbA1c reductions of 1.5 to 2.0 percent and weight reduction of 4 to 6 kg in the SUSTAIN and PIONEER trials. The LEADER trial (liraglutide) and REWIND trial (dulaglutide) demonstrated significant cardiovascular mortality reduction in patients with established cardiovascular disease.</w:t>
      </w:r>
    </w:p>
    <w:p>
      <w:pPr>
        <w:spacing w:after="120" w:before="0" w:line="276" w:lineRule="auto"/>
        <w:jc w:val="both"/>
      </w:pPr>
      <w:r>
        <w:rPr>
          <w:rFonts w:ascii="Times New Roman" w:hAnsi="Times New Roman" w:cs="Times New Roman"/>
          <w:b w:val="0"/>
          <w:i w:val="0"/>
          <w:sz w:val="22"/>
        </w:rPr>
        <w:t>Triglyceride reduction. GLP-1 receptor agonists reduce triglycerides by 20 to 30 percent through reduced hepatic VLDL synthesis and enhanced lipoprotein lipase activity. In the Dr. Nehru Method, this TG-lowering effect contributes directly to reduction in TyG Index — a dual benefit that amplifies the metabolic impact beyond glycaemic control alone.</w:t>
      </w:r>
    </w:p>
    <w:p>
      <w:pPr>
        <w:spacing w:after="120" w:before="0" w:line="276" w:lineRule="auto"/>
        <w:jc w:val="both"/>
      </w:pPr>
      <w:r>
        <w:rPr>
          <w:rFonts w:ascii="Times New Roman" w:hAnsi="Times New Roman" w:cs="Times New Roman"/>
          <w:b w:val="0"/>
          <w:i w:val="0"/>
          <w:sz w:val="22"/>
        </w:rPr>
        <w:t>Beta cell protection is a critical and underappreciated benefit. GLP-1 receptor agonists reduce beta cell apoptosis in animal models and appear to preserve beta cell function in early-stage disease. Initiating GLP-1 receptor agonists at HOMA-IR Stage 2 (HOMA-IR 2.3 to 3.5, before clinical diabetes) may represent the optimal window for beta cell preservation.</w:t>
      </w:r>
    </w:p>
    <w:p>
      <w:pPr>
        <w:spacing w:after="120" w:before="0" w:line="276" w:lineRule="auto"/>
        <w:jc w:val="both"/>
      </w:pPr>
      <w:r>
        <w:rPr>
          <w:rFonts w:ascii="Times New Roman" w:hAnsi="Times New Roman" w:cs="Times New Roman"/>
          <w:b w:val="0"/>
          <w:i w:val="0"/>
          <w:sz w:val="22"/>
        </w:rPr>
        <w:t>Dulaglutide (0.75 mg and 1.5 mg weekly injection) is the most cost-accessible option in India at approximately Rs 1,200 to 2,500 per month. Once-weekly injection supports adherence in the Indian outpatient setting.</w:t>
      </w:r>
    </w:p>
    <w:p>
      <w:pPr>
        <w:keepNext/>
        <w:spacing w:before="240" w:after="120"/>
        <w:jc w:val="left"/>
      </w:pPr>
      <w:r>
        <w:rPr>
          <w:rFonts w:ascii="Arial" w:hAnsi="Arial" w:cs="Arial"/>
          <w:b/>
          <w:sz w:val="26"/>
        </w:rPr>
        <w:t>5. Tirzepatide — Dual GIP/GLP-1 Agonism</w:t>
      </w:r>
    </w:p>
    <w:p>
      <w:pPr>
        <w:spacing w:after="120" w:before="0" w:line="276" w:lineRule="auto"/>
        <w:jc w:val="both"/>
      </w:pPr>
      <w:r>
        <w:rPr>
          <w:rFonts w:ascii="Times New Roman" w:hAnsi="Times New Roman" w:cs="Times New Roman"/>
          <w:b w:val="0"/>
          <w:i w:val="0"/>
          <w:sz w:val="22"/>
        </w:rPr>
        <w:t>Tirzepatide is a dual glucose-dependent insulinotropic polypeptide (GIP) and GLP-1 receptor agonist. The SURMOUNT and SURPASS trial programmes have demonstrated weight reduction of 15 to 22 percent — substantially greater than any previous pharmacological intervention — with HbA1c reductions exceeding 2.0 percent. The SURMOUNT-1 trial in non-diabetic obese individuals demonstrated that 72 weeks of tirzepatide at the 15 mg dose produced mean weight loss of 20.9 percent.</w:t>
      </w:r>
    </w:p>
    <w:p>
      <w:pPr>
        <w:spacing w:after="120" w:before="0" w:line="276" w:lineRule="auto"/>
        <w:jc w:val="both"/>
      </w:pPr>
      <w:r>
        <w:rPr>
          <w:rFonts w:ascii="Times New Roman" w:hAnsi="Times New Roman" w:cs="Times New Roman"/>
          <w:b w:val="0"/>
          <w:i w:val="0"/>
          <w:sz w:val="22"/>
        </w:rPr>
        <w:t>In the context of the Dr. Nehru Method, tirzepatide is the most powerful single agent available to reduce HOMA-IR and TyG Index simultaneously. Its dual mechanism — GIP agonism promoting insulin sensitivity in adipose tissue combined with GLP-1 mediated appetite suppression and beta cell protection — addresses multiple nodes of the metabolic cascade in a single injection.</w:t>
      </w:r>
    </w:p>
    <w:p>
      <w:pPr>
        <w:spacing w:after="120" w:before="0" w:line="276" w:lineRule="auto"/>
        <w:jc w:val="both"/>
      </w:pPr>
      <w:r>
        <w:rPr>
          <w:rFonts w:ascii="Times New Roman" w:hAnsi="Times New Roman" w:cs="Times New Roman"/>
          <w:b w:val="0"/>
          <w:i w:val="0"/>
          <w:sz w:val="22"/>
        </w:rPr>
        <w:t>India cost reality. Tirzepatide (Mounjaro, Eli Lilly) is currently priced at approximately Rs 25,000 to Rs 40,000 per month in India (verified approximate; verify before advising patients). This places it beyond the reach of the majority of Indian patients. It is appropriate to discuss tirzepatide with patients who have Stage 4 or Stage 5 metabolic disease (HOMA-IR greater than 5.0) with established cardiovascular disease or severe obesity, particularly those with the financial capacity to sustain treatment. Biosimilar development is expected to reduce costs significantly within the next three to five years.</w:t>
      </w:r>
    </w:p>
    <w:p>
      <w:pPr>
        <w:keepNext/>
        <w:spacing w:before="240" w:after="120"/>
        <w:jc w:val="left"/>
      </w:pPr>
      <w:r>
        <w:rPr>
          <w:rFonts w:ascii="Arial" w:hAnsi="Arial" w:cs="Arial"/>
          <w:b/>
          <w:sz w:val="26"/>
        </w:rPr>
        <w:t>6. Statins — The NNT Conversation</w:t>
      </w:r>
    </w:p>
    <w:p>
      <w:pPr>
        <w:spacing w:after="120" w:before="0" w:line="276" w:lineRule="auto"/>
        <w:jc w:val="both"/>
      </w:pPr>
      <w:r>
        <w:rPr>
          <w:rFonts w:ascii="Times New Roman" w:hAnsi="Times New Roman" w:cs="Times New Roman"/>
          <w:b w:val="0"/>
          <w:i w:val="0"/>
          <w:sz w:val="22"/>
        </w:rPr>
        <w:t>Statins are the most prescribed class of drugs in cardiovascular medicine globally, yet the gap between public perception of their benefit and the evidence base deserves honest discussion in clinical practice.</w:t>
      </w:r>
    </w:p>
    <w:p>
      <w:pPr>
        <w:spacing w:after="120" w:before="0" w:line="276" w:lineRule="auto"/>
        <w:jc w:val="both"/>
      </w:pPr>
      <w:r>
        <w:rPr>
          <w:rFonts w:ascii="Times New Roman" w:hAnsi="Times New Roman" w:cs="Times New Roman"/>
          <w:b w:val="0"/>
          <w:i w:val="0"/>
          <w:sz w:val="22"/>
        </w:rPr>
        <w:t>NNT in primary prevention. Per TheNNT.com analysis of primary prevention trials, the NNT to prevent one major adverse cardiovascular event over 5 years is approximately 70 to 100. This means that 70 to 100 patients must be treated for 5 years for one patient to benefit. Absolute risk reduction in primary prevention is approximately 1 percent. This must be disclosed to patients making informed decisions about long-term statin therapy.</w:t>
      </w:r>
    </w:p>
    <w:p>
      <w:pPr>
        <w:spacing w:after="120" w:before="0" w:line="276" w:lineRule="auto"/>
        <w:jc w:val="both"/>
      </w:pPr>
      <w:r>
        <w:rPr>
          <w:rFonts w:ascii="Times New Roman" w:hAnsi="Times New Roman" w:cs="Times New Roman"/>
          <w:b w:val="0"/>
          <w:i w:val="0"/>
          <w:sz w:val="22"/>
        </w:rPr>
        <w:t>NNT in secondary prevention. In patients with established cardiovascular disease, the NNT drops to approximately 30 to 40 over 5 years — a clinically significant and defensible benefit. All patients with established coronary artery disease, prior myocardial infarction, stroke, or peripheral arterial disease should be on high-intensity statin therapy unless contraindicated.</w:t>
      </w:r>
    </w:p>
    <w:p>
      <w:pPr>
        <w:spacing w:after="120" w:before="0" w:line="276" w:lineRule="auto"/>
        <w:jc w:val="both"/>
      </w:pPr>
      <w:r>
        <w:rPr>
          <w:rFonts w:ascii="Times New Roman" w:hAnsi="Times New Roman" w:cs="Times New Roman"/>
          <w:b w:val="0"/>
          <w:i w:val="0"/>
          <w:sz w:val="22"/>
        </w:rPr>
        <w:t>In Indian patients, several considerations modify statin choice. Indians have higher rates of statin-induced myopathy at standard Western doses, partly due to pharmacogenomic differences in CYP2C9 and SLCO1B1 polymorphisms. Rosuvastatin and atorvastatin remain the evidence-based choices for LDL reduction. Pitavastatin deserves particular mention: it is relatively glucose-neutral compared to atorvastatin and rosuvastatin, which have documented dose-dependent diabetogenic effects. For patients at the pre-diabetes stage (HOMA-IR 2.3 to 3.5 with borderline fasting glucose), pitavastatin represents a more metabolically appropriate statin choice.</w:t>
      </w:r>
    </w:p>
    <w:p>
      <w:pPr>
        <w:keepNext/>
        <w:spacing w:before="240" w:after="120"/>
        <w:jc w:val="left"/>
      </w:pPr>
      <w:r>
        <w:rPr>
          <w:rFonts w:ascii="Arial" w:hAnsi="Arial" w:cs="Arial"/>
          <w:b/>
          <w:sz w:val="26"/>
        </w:rPr>
        <w:t>7. Ezetimibe and Bempedoic Acid — Non-Statin LDL Reduction</w:t>
      </w:r>
    </w:p>
    <w:p>
      <w:pPr>
        <w:spacing w:after="120" w:before="0" w:line="276" w:lineRule="auto"/>
        <w:jc w:val="both"/>
      </w:pPr>
      <w:r>
        <w:rPr>
          <w:rFonts w:ascii="Times New Roman" w:hAnsi="Times New Roman" w:cs="Times New Roman"/>
          <w:b w:val="0"/>
          <w:i w:val="0"/>
          <w:sz w:val="22"/>
        </w:rPr>
        <w:t>Ezetimibe. Ezetimibe inhibits intestinal cholesterol absorption via the NPC1L1 transporter, reducing LDL by 15 to 20 percent as monotherapy and an additional 15 to 20 percent when added to statin therapy. The IMPROVE-IT trial demonstrated modest but statistically significant cardiovascular benefit when ezetimibe was added to simvastatin in post-ACS patients (NNT approximately 50 over 7 years). Ezetimibe is well tolerated, relatively inexpensive in India (Rs 10 to 20 per day), and should be considered in all patients who cannot tolerate high-dose statins or who require further LDL reduction beyond statin monotherapy.</w:t>
      </w:r>
    </w:p>
    <w:p>
      <w:pPr>
        <w:spacing w:after="120" w:before="0" w:line="276" w:lineRule="auto"/>
        <w:jc w:val="both"/>
      </w:pPr>
      <w:r>
        <w:rPr>
          <w:rFonts w:ascii="Times New Roman" w:hAnsi="Times New Roman" w:cs="Times New Roman"/>
          <w:b w:val="0"/>
          <w:i w:val="0"/>
          <w:sz w:val="22"/>
        </w:rPr>
        <w:t>Bempedoic acid. Bempedoic acid inhibits ATP-citrate lyase, an enzyme upstream of HMG-CoA reductase in the cholesterol synthesis pathway, reducing LDL by 15 to 25 percent. Its critical advantage is that it is not activated in muscle tissue, making it an option for statin-intolerant patients. The CLEAR Outcomes trial (Nissen SE et al., NEJM 2023) demonstrated a 13 percent relative reduction in major adverse cardiovascular events (MACE) — the first non-statin LDL-lowering agent to demonstrate primary cardiovascular event reduction in statin-intolerant patients. Bempedoic acid availability in India is limited in 2026 but is expected to expand as global generic manufacturing scales up.</w:t>
      </w:r>
    </w:p>
    <w:p>
      <w:pPr>
        <w:keepNext/>
        <w:spacing w:before="240" w:after="120"/>
        <w:jc w:val="left"/>
      </w:pPr>
      <w:r>
        <w:rPr>
          <w:rFonts w:ascii="Arial" w:hAnsi="Arial" w:cs="Arial"/>
          <w:b/>
          <w:sz w:val="26"/>
        </w:rPr>
        <w:t>8. PCSK9 Inhibitors — Evolocumab Biosimilars in India</w:t>
      </w:r>
    </w:p>
    <w:p>
      <w:pPr>
        <w:spacing w:after="120" w:before="0" w:line="276" w:lineRule="auto"/>
        <w:jc w:val="both"/>
      </w:pPr>
      <w:r>
        <w:rPr>
          <w:rFonts w:ascii="Times New Roman" w:hAnsi="Times New Roman" w:cs="Times New Roman"/>
          <w:b w:val="0"/>
          <w:i w:val="0"/>
          <w:sz w:val="22"/>
        </w:rPr>
        <w:t>PCSK9 inhibitors — evolocumab and alirocumab — reduce LDL by 50 to 60 percent through prevention of LDL receptor degradation, resulting in dramatically enhanced LDL clearance. The FOURIER trial (evolocumab) demonstrated a 15 percent reduction in cardiovascular events in patients with established cardiovascular disease on maximally tolerated statin therapy. The ODYSSEY OUTCOMES trial confirmed similar benefits with alirocumab.</w:t>
      </w:r>
    </w:p>
    <w:p>
      <w:pPr>
        <w:spacing w:after="120" w:before="0" w:line="276" w:lineRule="auto"/>
        <w:jc w:val="both"/>
      </w:pPr>
      <w:r>
        <w:rPr>
          <w:rFonts w:ascii="Times New Roman" w:hAnsi="Times New Roman" w:cs="Times New Roman"/>
          <w:b w:val="0"/>
          <w:i w:val="0"/>
          <w:sz w:val="22"/>
        </w:rPr>
        <w:t>Biosimilar access in India. The Drugs Controller General of India (DCGI) has approved evolocumab biosimilars manufactured by Zydus and Lupin, with pricing in the range of Rs 5,000 to Rs 8,000 per injection (approximate; verify before advising patients). This represents a significant reduction from the originator product cost but remains a substantial outpatient expenditure. In the Indian context, evolocumab biosimilars are appropriate for patients with familial hypercholesterolaemia, established cardiovascular disease with LDL above 70 mg/dL despite maximal statin plus ezetimibe therapy, or statin-intolerant patients with very high cardiovascular risk.</w:t>
      </w:r>
    </w:p>
    <w:p>
      <w:pPr>
        <w:keepNext/>
        <w:spacing w:before="240" w:after="120"/>
        <w:jc w:val="left"/>
      </w:pPr>
      <w:r>
        <w:rPr>
          <w:rFonts w:ascii="Arial" w:hAnsi="Arial" w:cs="Arial"/>
          <w:b/>
          <w:sz w:val="26"/>
        </w:rPr>
        <w:t>9. Fenofibrate and Omega-3 — Targeting Atherogenic Dyslipidaemia</w:t>
      </w:r>
    </w:p>
    <w:p>
      <w:pPr>
        <w:spacing w:after="120" w:before="0" w:line="276" w:lineRule="auto"/>
        <w:jc w:val="both"/>
      </w:pPr>
      <w:r>
        <w:rPr>
          <w:rFonts w:ascii="Times New Roman" w:hAnsi="Times New Roman" w:cs="Times New Roman"/>
          <w:b w:val="0"/>
          <w:i w:val="0"/>
          <w:sz w:val="22"/>
        </w:rPr>
        <w:t>Fenofibrate. Fenofibrate is a PPARalpha agonist that reduces triglycerides by 30 to 50 percent and raises HDL by 10 to 20 percent. It is the cornerstone of treatment for severe hypertriglyceridaemia (TG greater than 500 mg/dL) and has a role in mixed dyslipidaemia when TG and non-HDL cholesterol remain elevated despite statin therapy. In the Dr. Nehru framework, fenofibrate directly lowers the TyG Index by reducing the triglyceride component. Patients with TyG Index greater than 8.82 and fasting triglycerides greater than 300 mg/dL are candidates for fenofibrate in addition to lifestyle modification. A critical interaction: fenofibrate combined with statin increases the risk of myopathy; the combination should be used only when the clinical benefit clearly outweighs the risk, and creatine kinase should be monitored.</w:t>
      </w:r>
    </w:p>
    <w:p>
      <w:pPr>
        <w:spacing w:after="120" w:before="0" w:line="276" w:lineRule="auto"/>
        <w:jc w:val="both"/>
      </w:pPr>
      <w:r>
        <w:rPr>
          <w:rFonts w:ascii="Times New Roman" w:hAnsi="Times New Roman" w:cs="Times New Roman"/>
          <w:b w:val="0"/>
          <w:i w:val="0"/>
          <w:sz w:val="22"/>
        </w:rPr>
        <w:t>Omega-3 fatty acids — REDUCE-IT. The REDUCE-IT trial (Bhatt DL et al., NEJM 2019; N=8,179) demonstrated that icosapentaenoic acid (EPA) at 4g/day (Vascepa/icosapent ethyl) reduced major cardiovascular events by 25 percent in statin-treated patients with elevated triglycerides (150 to 499 mg/dL) and established cardiovascular disease or diabetes. This is a robust result with a relatively low NNT of approximately 21 over 4.9 years for cardiovascular death, MI, stroke, coronary revascularisation, or unstable angina. The mechanism goes beyond simple TG reduction and likely involves membrane stabilisation, anti-inflammatory effects, and plaque stabilisation. Standard over-the-counter omega-3 supplements contain mixed EPA and DHA and do not replicate the REDUCE-IT results; the trial used pharmaceutical-grade pure EPA. Icosapent ethyl availability in India is limited; standard omega-3 1–4g/day may be used as an adjunct with appropriate patient counselling about the limitations of the evidence.</w:t>
      </w:r>
    </w:p>
    <w:p>
      <w:pPr>
        <w:keepNext/>
        <w:spacing w:before="240" w:after="120"/>
        <w:jc w:val="left"/>
      </w:pPr>
      <w:r>
        <w:rPr>
          <w:rFonts w:ascii="Arial" w:hAnsi="Arial" w:cs="Arial"/>
          <w:b/>
          <w:sz w:val="26"/>
        </w:rPr>
        <w:t>10. Rational Combination Strategy by HOMA-IR Stage</w:t>
      </w:r>
    </w:p>
    <w:p>
      <w:pPr>
        <w:spacing w:after="120" w:before="0" w:line="276" w:lineRule="auto"/>
        <w:jc w:val="both"/>
      </w:pPr>
      <w:r>
        <w:rPr>
          <w:rFonts w:ascii="Times New Roman" w:hAnsi="Times New Roman" w:cs="Times New Roman"/>
          <w:b w:val="0"/>
          <w:i w:val="0"/>
          <w:sz w:val="22"/>
        </w:rPr>
        <w:t>The Dr. Nehru Method does not prescribe by HbA1c alone. The pharmacological approach is staged according to HOMA-IR and TyG Index:</w:t>
      </w:r>
    </w:p>
    <w:p>
      <w:pPr>
        <w:spacing w:after="120" w:before="0" w:line="276" w:lineRule="auto"/>
        <w:jc w:val="both"/>
      </w:pPr>
      <w:r>
        <w:rPr>
          <w:rFonts w:ascii="Times New Roman" w:hAnsi="Times New Roman" w:cs="Times New Roman"/>
          <w:b w:val="0"/>
          <w:i w:val="0"/>
          <w:sz w:val="22"/>
        </w:rPr>
        <w:t>Stage 0 (HOMA-IR less than 1.0): Lifestyle only. No pharmacotherapy required. Reassess annually.</w:t>
      </w:r>
    </w:p>
    <w:p>
      <w:pPr>
        <w:spacing w:after="120" w:before="0" w:line="276" w:lineRule="auto"/>
        <w:jc w:val="both"/>
      </w:pPr>
      <w:r>
        <w:rPr>
          <w:rFonts w:ascii="Times New Roman" w:hAnsi="Times New Roman" w:cs="Times New Roman"/>
          <w:b w:val="0"/>
          <w:i w:val="0"/>
          <w:sz w:val="22"/>
        </w:rPr>
        <w:t>Stage 1 (HOMA-IR 1.0 to 2.3): Lifestyle intensification. Consider methylcobalamin and vitamin D supplementation if deficient. No hypoglycaemic agent indicated.</w:t>
      </w:r>
    </w:p>
    <w:p>
      <w:pPr>
        <w:spacing w:after="120" w:before="0" w:line="276" w:lineRule="auto"/>
        <w:jc w:val="both"/>
      </w:pPr>
      <w:r>
        <w:rPr>
          <w:rFonts w:ascii="Times New Roman" w:hAnsi="Times New Roman" w:cs="Times New Roman"/>
          <w:b w:val="0"/>
          <w:i w:val="0"/>
          <w:sz w:val="22"/>
        </w:rPr>
        <w:t>Stage 2 (HOMA-IR 2.3 to 3.5): Metformin with mandatory methylcobalamin. Add SGLT2 inhibitor if cardiovascular disease or heart failure present. Consider GLP-1 receptor agonist if obesity (BMI greater than 25 kg/m2 Indian cutoff) and high cardiovascular risk.</w:t>
      </w:r>
    </w:p>
    <w:p>
      <w:pPr>
        <w:spacing w:after="120" w:before="0" w:line="276" w:lineRule="auto"/>
        <w:jc w:val="both"/>
      </w:pPr>
      <w:r>
        <w:rPr>
          <w:rFonts w:ascii="Times New Roman" w:hAnsi="Times New Roman" w:cs="Times New Roman"/>
          <w:b w:val="0"/>
          <w:i w:val="0"/>
          <w:sz w:val="22"/>
        </w:rPr>
        <w:t>Stage 3 (HOMA-IR 3.5 to 5.0): Metformin plus SGLT2 inhibitor plus GLP-1 receptor agonist. Add saroglitazar if TyG Index remains above 8.82 and TG elevated. Statin if LDL above target. Ezetimibe if LDL target not achieved on statin alone.</w:t>
      </w:r>
    </w:p>
    <w:p>
      <w:pPr>
        <w:spacing w:after="120" w:before="0" w:line="276" w:lineRule="auto"/>
        <w:jc w:val="both"/>
      </w:pPr>
      <w:r>
        <w:rPr>
          <w:rFonts w:ascii="Times New Roman" w:hAnsi="Times New Roman" w:cs="Times New Roman"/>
          <w:b w:val="0"/>
          <w:i w:val="0"/>
          <w:sz w:val="22"/>
        </w:rPr>
        <w:t>Stage 4 (HOMA-IR 5.0 to 10.0): Combination of three or four agents targeting different nodes. Consider tirzepatide if patient can sustain cost. PCSK9 inhibitor biosimilar if established cardiovascular disease with residual LDL burden.</w:t>
      </w:r>
    </w:p>
    <w:p>
      <w:pPr>
        <w:spacing w:after="120" w:before="0" w:line="276" w:lineRule="auto"/>
        <w:jc w:val="both"/>
      </w:pPr>
      <w:r>
        <w:rPr>
          <w:rFonts w:ascii="Times New Roman" w:hAnsi="Times New Roman" w:cs="Times New Roman"/>
          <w:b w:val="0"/>
          <w:i w:val="0"/>
          <w:sz w:val="22"/>
        </w:rPr>
        <w:t>Stage 5 (HOMA-IR greater than 10.0): Maximum combination therapy. Consider endocrinology or bariatric surgery referral. Methylcobalamin, vitamin D, and iron correction are mandatory as micronutrient deficiencies at this stage amplify metabolic dysfunction.</w:t>
      </w:r>
    </w:p>
    <w:p>
      <w:pPr>
        <w:spacing w:after="120" w:before="0" w:line="276" w:lineRule="auto"/>
        <w:jc w:val="both"/>
      </w:pPr>
      <w:r>
        <w:rPr>
          <w:rFonts w:ascii="Times New Roman" w:hAnsi="Times New Roman" w:cs="Times New Roman"/>
          <w:b w:val="0"/>
          <w:i w:val="0"/>
          <w:sz w:val="22"/>
        </w:rPr>
        <w:t>All drug costs cited in this chapter are approximate figures for 2026 and are subject to market variation. The author recommends verifying current pricing before advising patients. Costs of biosimilars and generics in India are expected to continue declining as the patent landscape evolves.</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1. A 48-year-old man with type 2 diabetes has been on metformin 1000 mg twice daily for 4 years. He presents with tingling in both feet. His HbA1c is 7.1%. What is the most important investigation to order first?</w:t>
      </w:r>
    </w:p>
    <w:p>
      <w:pPr>
        <w:spacing w:after="20"/>
        <w:ind w:left="432"/>
      </w:pPr>
      <w:r>
        <w:rPr>
          <w:rFonts w:ascii="Times New Roman" w:hAnsi="Times New Roman" w:cs="Times New Roman"/>
          <w:sz w:val="22"/>
        </w:rPr>
        <w:t>A. Nerve conduction velocity</w:t>
      </w:r>
    </w:p>
    <w:p>
      <w:pPr>
        <w:spacing w:after="20"/>
        <w:ind w:left="432"/>
      </w:pPr>
      <w:r>
        <w:rPr>
          <w:rFonts w:ascii="Times New Roman" w:hAnsi="Times New Roman" w:cs="Times New Roman"/>
          <w:sz w:val="22"/>
        </w:rPr>
        <w:t>B. Serum vitamin B12 level</w:t>
      </w:r>
    </w:p>
    <w:p>
      <w:pPr>
        <w:spacing w:after="20"/>
        <w:ind w:left="432"/>
      </w:pPr>
      <w:r>
        <w:rPr>
          <w:rFonts w:ascii="Times New Roman" w:hAnsi="Times New Roman" w:cs="Times New Roman"/>
          <w:sz w:val="22"/>
        </w:rPr>
        <w:t>C. Fasting blood glucose</w:t>
      </w:r>
    </w:p>
    <w:p>
      <w:pPr>
        <w:spacing w:after="20"/>
        <w:ind w:left="432"/>
      </w:pPr>
      <w:r>
        <w:rPr>
          <w:rFonts w:ascii="Times New Roman" w:hAnsi="Times New Roman" w:cs="Times New Roman"/>
          <w:sz w:val="22"/>
        </w:rPr>
        <w:t>D. Doppler study of lower limb vessels</w:t>
      </w:r>
    </w:p>
    <w:p>
      <w:pPr>
        <w:spacing w:after="40"/>
        <w:jc w:val="left"/>
      </w:pPr>
      <w:r>
        <w:rPr>
          <w:rFonts w:ascii="Times New Roman" w:hAnsi="Times New Roman" w:cs="Times New Roman"/>
          <w:b w:val="0"/>
          <w:sz w:val="22"/>
        </w:rPr>
        <w:t>2. Which of the following statements about NNT for statins in primary prevention is most accurate according to evidence from TheNNT.com?</w:t>
      </w:r>
    </w:p>
    <w:p>
      <w:pPr>
        <w:spacing w:after="20"/>
        <w:ind w:left="432"/>
      </w:pPr>
      <w:r>
        <w:rPr>
          <w:rFonts w:ascii="Times New Roman" w:hAnsi="Times New Roman" w:cs="Times New Roman"/>
          <w:sz w:val="22"/>
        </w:rPr>
        <w:t>A. NNT is approximately 10 over 5 years</w:t>
      </w:r>
    </w:p>
    <w:p>
      <w:pPr>
        <w:spacing w:after="20"/>
        <w:ind w:left="432"/>
      </w:pPr>
      <w:r>
        <w:rPr>
          <w:rFonts w:ascii="Times New Roman" w:hAnsi="Times New Roman" w:cs="Times New Roman"/>
          <w:sz w:val="22"/>
        </w:rPr>
        <w:t>B. NNT is approximately 30 to 40 over 5 years</w:t>
      </w:r>
    </w:p>
    <w:p>
      <w:pPr>
        <w:spacing w:after="20"/>
        <w:ind w:left="432"/>
      </w:pPr>
      <w:r>
        <w:rPr>
          <w:rFonts w:ascii="Times New Roman" w:hAnsi="Times New Roman" w:cs="Times New Roman"/>
          <w:sz w:val="22"/>
        </w:rPr>
        <w:t>C. NNT is approximately 70 to 100 over 5 years</w:t>
      </w:r>
    </w:p>
    <w:p>
      <w:pPr>
        <w:spacing w:after="20"/>
        <w:ind w:left="432"/>
      </w:pPr>
      <w:r>
        <w:rPr>
          <w:rFonts w:ascii="Times New Roman" w:hAnsi="Times New Roman" w:cs="Times New Roman"/>
          <w:sz w:val="22"/>
        </w:rPr>
        <w:t>D. NNT is less than 5 over 5 years</w:t>
      </w:r>
    </w:p>
    <w:p>
      <w:pPr>
        <w:spacing w:after="40"/>
        <w:jc w:val="left"/>
      </w:pPr>
      <w:r>
        <w:rPr>
          <w:rFonts w:ascii="Times New Roman" w:hAnsi="Times New Roman" w:cs="Times New Roman"/>
          <w:b w:val="0"/>
          <w:sz w:val="22"/>
        </w:rPr>
        <w:t>3. A patient with HOMA-IR of 4.2 and TyG Index of 9.1 (natural log scale) has fasting triglycerides of 380 mg/dL and HDL of 32 mg/dL. Which Indian drug would best address both the insulin resistance and the atherogenic dyslipidaemia in a single agent?</w:t>
      </w:r>
    </w:p>
    <w:p>
      <w:pPr>
        <w:spacing w:after="20"/>
        <w:ind w:left="432"/>
      </w:pPr>
      <w:r>
        <w:rPr>
          <w:rFonts w:ascii="Times New Roman" w:hAnsi="Times New Roman" w:cs="Times New Roman"/>
          <w:sz w:val="22"/>
        </w:rPr>
        <w:t>A. Pioglitazone</w:t>
      </w:r>
    </w:p>
    <w:p>
      <w:pPr>
        <w:spacing w:after="20"/>
        <w:ind w:left="432"/>
      </w:pPr>
      <w:r>
        <w:rPr>
          <w:rFonts w:ascii="Times New Roman" w:hAnsi="Times New Roman" w:cs="Times New Roman"/>
          <w:sz w:val="22"/>
        </w:rPr>
        <w:t>B. Saroglitazar</w:t>
      </w:r>
    </w:p>
    <w:p>
      <w:pPr>
        <w:spacing w:after="20"/>
        <w:ind w:left="432"/>
      </w:pPr>
      <w:r>
        <w:rPr>
          <w:rFonts w:ascii="Times New Roman" w:hAnsi="Times New Roman" w:cs="Times New Roman"/>
          <w:sz w:val="22"/>
        </w:rPr>
        <w:t>C. Fenofibrate</w:t>
      </w:r>
    </w:p>
    <w:p>
      <w:pPr>
        <w:spacing w:after="20"/>
        <w:ind w:left="432"/>
      </w:pPr>
      <w:r>
        <w:rPr>
          <w:rFonts w:ascii="Times New Roman" w:hAnsi="Times New Roman" w:cs="Times New Roman"/>
          <w:sz w:val="22"/>
        </w:rPr>
        <w:t>D. Ezetimibe</w:t>
      </w:r>
    </w:p>
    <w:p>
      <w:pPr>
        <w:spacing w:after="40"/>
        <w:jc w:val="left"/>
      </w:pPr>
      <w:r>
        <w:rPr>
          <w:rFonts w:ascii="Times New Roman" w:hAnsi="Times New Roman" w:cs="Times New Roman"/>
          <w:b w:val="0"/>
          <w:sz w:val="22"/>
        </w:rPr>
        <w:t>4. The REDUCE-IT trial demonstrated cardiovascular benefit with high-dose EPA (4g/day) in patients with elevated triglycerides on statins. What was the approximate NNT for the primary composite endpoint over 4.9 years?</w:t>
      </w:r>
    </w:p>
    <w:p>
      <w:pPr>
        <w:spacing w:after="20"/>
        <w:ind w:left="432"/>
      </w:pPr>
      <w:r>
        <w:rPr>
          <w:rFonts w:ascii="Times New Roman" w:hAnsi="Times New Roman" w:cs="Times New Roman"/>
          <w:sz w:val="22"/>
        </w:rPr>
        <w:t>A. 5</w:t>
      </w:r>
    </w:p>
    <w:p>
      <w:pPr>
        <w:spacing w:after="20"/>
        <w:ind w:left="432"/>
      </w:pPr>
      <w:r>
        <w:rPr>
          <w:rFonts w:ascii="Times New Roman" w:hAnsi="Times New Roman" w:cs="Times New Roman"/>
          <w:sz w:val="22"/>
        </w:rPr>
        <w:t>B. 21</w:t>
      </w:r>
    </w:p>
    <w:p>
      <w:pPr>
        <w:spacing w:after="20"/>
        <w:ind w:left="432"/>
      </w:pPr>
      <w:r>
        <w:rPr>
          <w:rFonts w:ascii="Times New Roman" w:hAnsi="Times New Roman" w:cs="Times New Roman"/>
          <w:sz w:val="22"/>
        </w:rPr>
        <w:t>C. 50</w:t>
      </w:r>
    </w:p>
    <w:p>
      <w:pPr>
        <w:spacing w:after="20"/>
        <w:ind w:left="432"/>
      </w:pPr>
      <w:r>
        <w:rPr>
          <w:rFonts w:ascii="Times New Roman" w:hAnsi="Times New Roman" w:cs="Times New Roman"/>
          <w:sz w:val="22"/>
        </w:rPr>
        <w:t>D. 100</w:t>
      </w:r>
    </w:p>
    <w:p>
      <w:pPr>
        <w:spacing w:after="40"/>
        <w:jc w:val="left"/>
      </w:pPr>
      <w:r>
        <w:rPr>
          <w:rFonts w:ascii="Times New Roman" w:hAnsi="Times New Roman" w:cs="Times New Roman"/>
          <w:b w:val="0"/>
          <w:sz w:val="22"/>
        </w:rPr>
        <w:t>5. Which statin is considered relatively glucose-neutral and is a preferred choice for a patient with pre-diabetes (HOMA-IR 2.6, FPG 108 mg/dL) who requires LDL lowering?</w:t>
      </w:r>
    </w:p>
    <w:p>
      <w:pPr>
        <w:spacing w:after="20"/>
        <w:ind w:left="432"/>
      </w:pPr>
      <w:r>
        <w:rPr>
          <w:rFonts w:ascii="Times New Roman" w:hAnsi="Times New Roman" w:cs="Times New Roman"/>
          <w:sz w:val="22"/>
        </w:rPr>
        <w:t>A. Atorvastatin 40 mg</w:t>
      </w:r>
    </w:p>
    <w:p>
      <w:pPr>
        <w:spacing w:after="20"/>
        <w:ind w:left="432"/>
      </w:pPr>
      <w:r>
        <w:rPr>
          <w:rFonts w:ascii="Times New Roman" w:hAnsi="Times New Roman" w:cs="Times New Roman"/>
          <w:sz w:val="22"/>
        </w:rPr>
        <w:t>B. Rosuvastatin 20 mg</w:t>
      </w:r>
    </w:p>
    <w:p>
      <w:pPr>
        <w:spacing w:after="20"/>
        <w:ind w:left="432"/>
      </w:pPr>
      <w:r>
        <w:rPr>
          <w:rFonts w:ascii="Times New Roman" w:hAnsi="Times New Roman" w:cs="Times New Roman"/>
          <w:sz w:val="22"/>
        </w:rPr>
        <w:t>C. Pitavastatin 2 mg</w:t>
      </w:r>
    </w:p>
    <w:p>
      <w:pPr>
        <w:spacing w:after="20"/>
        <w:ind w:left="432"/>
      </w:pPr>
      <w:r>
        <w:rPr>
          <w:rFonts w:ascii="Times New Roman" w:hAnsi="Times New Roman" w:cs="Times New Roman"/>
          <w:sz w:val="22"/>
        </w:rPr>
        <w:t>D. Simvastatin 40 mg</w:t>
      </w:r>
    </w:p>
    <w:p>
      <w:pPr>
        <w:spacing w:after="40"/>
        <w:jc w:val="left"/>
      </w:pPr>
      <w:r>
        <w:rPr>
          <w:rFonts w:ascii="Times New Roman" w:hAnsi="Times New Roman" w:cs="Times New Roman"/>
          <w:b w:val="0"/>
          <w:sz w:val="22"/>
        </w:rPr>
        <w:t>6. Bempedoic acid acts by inhibiting ATP-citrate lyase. What is its major clinical advantage over statins for patients with statin-associated muscle symptoms?</w:t>
      </w:r>
    </w:p>
    <w:p>
      <w:pPr>
        <w:spacing w:after="20"/>
        <w:ind w:left="432"/>
      </w:pPr>
      <w:r>
        <w:rPr>
          <w:rFonts w:ascii="Times New Roman" w:hAnsi="Times New Roman" w:cs="Times New Roman"/>
          <w:sz w:val="22"/>
        </w:rPr>
        <w:t>A. It works only in the liver and is not activated in muscle tissue</w:t>
      </w:r>
    </w:p>
    <w:p>
      <w:pPr>
        <w:spacing w:after="20"/>
        <w:ind w:left="432"/>
      </w:pPr>
      <w:r>
        <w:rPr>
          <w:rFonts w:ascii="Times New Roman" w:hAnsi="Times New Roman" w:cs="Times New Roman"/>
          <w:sz w:val="22"/>
        </w:rPr>
        <w:t>B. It has stronger LDL reduction than any statin</w:t>
      </w:r>
    </w:p>
    <w:p>
      <w:pPr>
        <w:spacing w:after="20"/>
        <w:ind w:left="432"/>
      </w:pPr>
      <w:r>
        <w:rPr>
          <w:rFonts w:ascii="Times New Roman" w:hAnsi="Times New Roman" w:cs="Times New Roman"/>
          <w:sz w:val="22"/>
        </w:rPr>
        <w:t>C. It also reduces blood glucose and HbA1c</w:t>
      </w:r>
    </w:p>
    <w:p>
      <w:pPr>
        <w:spacing w:after="20"/>
        <w:ind w:left="432"/>
      </w:pPr>
      <w:r>
        <w:rPr>
          <w:rFonts w:ascii="Times New Roman" w:hAnsi="Times New Roman" w:cs="Times New Roman"/>
          <w:sz w:val="22"/>
        </w:rPr>
        <w:t>D. It can be given once weekly as an injection</w:t>
      </w:r>
    </w:p>
    <w:p>
      <w:pPr>
        <w:spacing w:after="40"/>
        <w:jc w:val="left"/>
      </w:pPr>
      <w:r>
        <w:rPr>
          <w:rFonts w:ascii="Times New Roman" w:hAnsi="Times New Roman" w:cs="Times New Roman"/>
          <w:b w:val="0"/>
          <w:sz w:val="22"/>
        </w:rPr>
        <w:t>7. According to the Dr. Nehru India-specific cutoffs, the TyG Index threshold for metabolic risk in the Indian population is:</w:t>
      </w:r>
    </w:p>
    <w:p>
      <w:pPr>
        <w:spacing w:after="20"/>
        <w:ind w:left="432"/>
      </w:pPr>
      <w:r>
        <w:rPr>
          <w:rFonts w:ascii="Times New Roman" w:hAnsi="Times New Roman" w:cs="Times New Roman"/>
          <w:sz w:val="22"/>
        </w:rPr>
        <w:t>A. Greater than 4.5 on natural log scale</w:t>
      </w:r>
    </w:p>
    <w:p>
      <w:pPr>
        <w:spacing w:after="20"/>
        <w:ind w:left="432"/>
      </w:pPr>
      <w:r>
        <w:rPr>
          <w:rFonts w:ascii="Times New Roman" w:hAnsi="Times New Roman" w:cs="Times New Roman"/>
          <w:sz w:val="22"/>
        </w:rPr>
        <w:t>B. Greater than 8.82 on natural log scale</w:t>
      </w:r>
    </w:p>
    <w:p>
      <w:pPr>
        <w:spacing w:after="20"/>
        <w:ind w:left="432"/>
      </w:pPr>
      <w:r>
        <w:rPr>
          <w:rFonts w:ascii="Times New Roman" w:hAnsi="Times New Roman" w:cs="Times New Roman"/>
          <w:sz w:val="22"/>
        </w:rPr>
        <w:t>C. Greater than 10.5 on natural log scale</w:t>
      </w:r>
    </w:p>
    <w:p>
      <w:pPr>
        <w:spacing w:after="20"/>
        <w:ind w:left="432"/>
      </w:pPr>
      <w:r>
        <w:rPr>
          <w:rFonts w:ascii="Times New Roman" w:hAnsi="Times New Roman" w:cs="Times New Roman"/>
          <w:sz w:val="22"/>
        </w:rPr>
        <w:t>D. Greater than 5.0 on natural log scale</w:t>
      </w:r>
    </w:p>
    <w:p>
      <w:pPr>
        <w:spacing w:after="40"/>
        <w:jc w:val="left"/>
      </w:pPr>
      <w:r>
        <w:rPr>
          <w:rFonts w:ascii="Times New Roman" w:hAnsi="Times New Roman" w:cs="Times New Roman"/>
          <w:b w:val="0"/>
          <w:sz w:val="22"/>
        </w:rPr>
        <w:t>8. A 55-year-old woman with established coronary artery disease, LDL 110 mg/dL on maximum-dose rosuvastatin plus ezetimibe, cannot tolerate further lipid therapy due to myalgia. Which of the following is the most appropriate next step?</w:t>
      </w:r>
    </w:p>
    <w:p>
      <w:pPr>
        <w:spacing w:after="20"/>
        <w:ind w:left="432"/>
      </w:pPr>
      <w:r>
        <w:rPr>
          <w:rFonts w:ascii="Times New Roman" w:hAnsi="Times New Roman" w:cs="Times New Roman"/>
          <w:sz w:val="22"/>
        </w:rPr>
        <w:t>A. Add fenofibrate</w:t>
      </w:r>
    </w:p>
    <w:p>
      <w:pPr>
        <w:spacing w:after="20"/>
        <w:ind w:left="432"/>
      </w:pPr>
      <w:r>
        <w:rPr>
          <w:rFonts w:ascii="Times New Roman" w:hAnsi="Times New Roman" w:cs="Times New Roman"/>
          <w:sz w:val="22"/>
        </w:rPr>
        <w:t>B. Consider evolocumab biosimilar</w:t>
      </w:r>
    </w:p>
    <w:p>
      <w:pPr>
        <w:spacing w:after="20"/>
        <w:ind w:left="432"/>
      </w:pPr>
      <w:r>
        <w:rPr>
          <w:rFonts w:ascii="Times New Roman" w:hAnsi="Times New Roman" w:cs="Times New Roman"/>
          <w:sz w:val="22"/>
        </w:rPr>
        <w:t>C. Add omega-3 supplements</w:t>
      </w:r>
    </w:p>
    <w:p>
      <w:pPr>
        <w:spacing w:after="20"/>
        <w:ind w:left="432"/>
      </w:pPr>
      <w:r>
        <w:rPr>
          <w:rFonts w:ascii="Times New Roman" w:hAnsi="Times New Roman" w:cs="Times New Roman"/>
          <w:sz w:val="22"/>
        </w:rPr>
        <w:t>D. Switch to pitavastatin monotherapy and stop ezetimibe</w:t>
      </w:r>
    </w:p>
    <w:p>
      <w:pPr>
        <w:spacing w:before="160"/>
      </w:pPr>
      <w:r>
        <w:rPr>
          <w:rFonts w:ascii="Times New Roman" w:hAnsi="Times New Roman" w:cs="Times New Roman"/>
          <w:b/>
          <w:sz w:val="20"/>
        </w:rPr>
        <w:t xml:space="preserve">Answers: </w:t>
      </w:r>
      <w:r>
        <w:rPr>
          <w:rFonts w:ascii="Times New Roman" w:hAnsi="Times New Roman" w:cs="Times New Roman"/>
          <w:sz w:val="20"/>
        </w:rPr>
        <w:t>1. B  2. C  3. B  4. B  5. C  6. A  7. B  8. B</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1. Nehru MS, Sathyanarayana EV et al. HOMA-IR cutoff validation in Indian adults. Int J Med 2026;8(2):977–983. DOI: 10.61336/im/26-2-12.</w:t>
      </w:r>
    </w:p>
    <w:p>
      <w:pPr>
        <w:spacing w:after="40"/>
        <w:jc w:val="left"/>
      </w:pPr>
      <w:r>
        <w:rPr>
          <w:rFonts w:ascii="Times New Roman" w:hAnsi="Times New Roman" w:cs="Times New Roman"/>
          <w:sz w:val="19"/>
        </w:rPr>
        <w:t>2. Nehru MS et al. TyG Index natural log scale validation in South Indian metabolic cohort. IJCPR 2026;18(2):826–833.</w:t>
      </w:r>
    </w:p>
    <w:p>
      <w:pPr>
        <w:spacing w:after="40"/>
        <w:jc w:val="left"/>
      </w:pPr>
      <w:r>
        <w:rPr>
          <w:rFonts w:ascii="Times New Roman" w:hAnsi="Times New Roman" w:cs="Times New Roman"/>
          <w:sz w:val="19"/>
        </w:rPr>
        <w:t>3. Sachdev MC, Nehru MS et al. Cardiometabolic correlation of HOMA-IR and TyG in Indian outpatients. Int J Med 2026;8(3):54–60.</w:t>
      </w:r>
    </w:p>
    <w:p>
      <w:pPr>
        <w:spacing w:after="40"/>
        <w:jc w:val="left"/>
      </w:pPr>
      <w:r>
        <w:rPr>
          <w:rFonts w:ascii="Times New Roman" w:hAnsi="Times New Roman" w:cs="Times New Roman"/>
          <w:sz w:val="19"/>
        </w:rPr>
        <w:t>4. UKPDS Group. Effect of intensive blood-glucose control with metformin on complications in overweight patients with type 2 diabetes. Lancet 1998;352:854–865.</w:t>
      </w:r>
    </w:p>
    <w:p>
      <w:pPr>
        <w:spacing w:after="40"/>
        <w:jc w:val="left"/>
      </w:pPr>
      <w:r>
        <w:rPr>
          <w:rFonts w:ascii="Times New Roman" w:hAnsi="Times New Roman" w:cs="Times New Roman"/>
          <w:sz w:val="19"/>
        </w:rPr>
        <w:t>5. Zinman B et al. Empagliflozin, cardiovascular outcomes, and mortality in type 2 diabetes. EMPA-REG OUTCOME. N Engl J Med 2015;373:2117–2128.</w:t>
      </w:r>
    </w:p>
    <w:p>
      <w:pPr>
        <w:spacing w:after="40"/>
        <w:jc w:val="left"/>
      </w:pPr>
      <w:r>
        <w:rPr>
          <w:rFonts w:ascii="Times New Roman" w:hAnsi="Times New Roman" w:cs="Times New Roman"/>
          <w:sz w:val="19"/>
        </w:rPr>
        <w:t>6. McMurray JJV et al. Dapagliflozin in patients with heart failure and reduced ejection fraction. DAPA-HF. N Engl J Med 2019;381:1995–2008.</w:t>
      </w:r>
    </w:p>
    <w:p>
      <w:pPr>
        <w:spacing w:after="40"/>
        <w:jc w:val="left"/>
      </w:pPr>
      <w:r>
        <w:rPr>
          <w:rFonts w:ascii="Times New Roman" w:hAnsi="Times New Roman" w:cs="Times New Roman"/>
          <w:sz w:val="19"/>
        </w:rPr>
        <w:t>7. Bhatt DL et al. Cardiovascular risk reduction with icosapentaenoic acid for hypertriglyceridemia. REDUCE-IT. N Engl J Med 2019;380:11–22.</w:t>
      </w:r>
    </w:p>
    <w:p>
      <w:pPr>
        <w:spacing w:after="40"/>
        <w:jc w:val="left"/>
      </w:pPr>
      <w:r>
        <w:rPr>
          <w:rFonts w:ascii="Times New Roman" w:hAnsi="Times New Roman" w:cs="Times New Roman"/>
          <w:sz w:val="19"/>
        </w:rPr>
        <w:t>8. Nissen SE et al. Bempedoic acid and cardiovascular outcomes in statin-intolerant patients. CLEAR Outcomes. N Engl J Med 2023;388:1353–1364.</w:t>
      </w:r>
    </w:p>
    <w:p>
      <w:pPr>
        <w:spacing w:after="40"/>
        <w:jc w:val="left"/>
      </w:pPr>
      <w:r>
        <w:rPr>
          <w:rFonts w:ascii="Times New Roman" w:hAnsi="Times New Roman" w:cs="Times New Roman"/>
          <w:sz w:val="19"/>
        </w:rPr>
        <w:t>9. Marso SP et al. Semaglutide and cardiovascular outcomes in patients with type 2 diabetes. SUSTAIN-6. N Engl J Med 2016;375:1834–1844.</w:t>
      </w:r>
    </w:p>
    <w:p>
      <w:pPr>
        <w:spacing w:after="40"/>
        <w:jc w:val="left"/>
      </w:pPr>
      <w:r>
        <w:rPr>
          <w:rFonts w:ascii="Times New Roman" w:hAnsi="Times New Roman" w:cs="Times New Roman"/>
          <w:sz w:val="19"/>
        </w:rPr>
        <w:t>10. Gerstein HC et al. Dulaglutide and cardiovascular outcomes in type 2 diabetes. REWIND. Lancet 2019;394:121–130.</w:t>
      </w:r>
    </w:p>
    <w:p>
      <w:pPr>
        <w:spacing w:after="40"/>
        <w:jc w:val="left"/>
      </w:pPr>
      <w:r>
        <w:rPr>
          <w:rFonts w:ascii="Times New Roman" w:hAnsi="Times New Roman" w:cs="Times New Roman"/>
          <w:sz w:val="19"/>
        </w:rPr>
        <w:t>11. Jastreboff AM et al. Tirzepatide once weekly for the treatment of obesity. SURMOUNT-1. N Engl J Med 2022;387:205–216.</w:t>
      </w:r>
    </w:p>
    <w:p>
      <w:pPr>
        <w:spacing w:after="40"/>
        <w:jc w:val="left"/>
      </w:pPr>
      <w:r>
        <w:rPr>
          <w:rFonts w:ascii="Times New Roman" w:hAnsi="Times New Roman" w:cs="Times New Roman"/>
          <w:sz w:val="19"/>
        </w:rPr>
        <w:t>12. Sabatine MS et al. Evolocumab and clinical outcomes in patients with cardiovascular disease. FOURIER. N Engl J Med 2017;376:1713–1722.</w:t>
      </w:r>
    </w:p>
    <w:p>
      <w:pPr>
        <w:spacing w:after="40"/>
        <w:jc w:val="left"/>
      </w:pPr>
      <w:r>
        <w:rPr>
          <w:rFonts w:ascii="Times New Roman" w:hAnsi="Times New Roman" w:cs="Times New Roman"/>
          <w:sz w:val="19"/>
        </w:rPr>
        <w:t>13. Cannon CP et al. Ezetimibe added to statin therapy after acute coronary syndromes. IMPROVE-IT. N Engl J Med 2015;372:2387–2397.</w:t>
      </w:r>
    </w:p>
    <w:p>
      <w:pPr>
        <w:spacing w:after="40"/>
        <w:jc w:val="left"/>
      </w:pPr>
      <w:r>
        <w:rPr>
          <w:rFonts w:ascii="Times New Roman" w:hAnsi="Times New Roman" w:cs="Times New Roman"/>
          <w:sz w:val="19"/>
        </w:rPr>
        <w:t>14. Wainstein J et al. Saroglitazar efficacy and safety in diabetic dyslipidaemia. PRESS V trial. PMC4287720.</w:t>
      </w:r>
    </w:p>
    <w:p>
      <w:pPr>
        <w:spacing w:after="40"/>
        <w:jc w:val="left"/>
      </w:pPr>
      <w:r>
        <w:rPr>
          <w:rFonts w:ascii="Times New Roman" w:hAnsi="Times New Roman" w:cs="Times New Roman"/>
          <w:sz w:val="19"/>
        </w:rPr>
        <w:t>15. TheNNT.com. Statins for heart disease prevention (primary prevention). Accessed June 2026.</w:t>
      </w:r>
    </w:p>
    <w:p>
      <w:r>
        <w:br w:type="page"/>
      </w:r>
    </w:p>
    <w:p>
      <w:pPr>
        <w:jc w:val="left"/>
      </w:pPr>
      <w:r>
        <w:rPr>
          <w:rFonts w:ascii="Arial" w:hAnsi="Arial" w:cs="Arial"/>
          <w:b/>
          <w:sz w:val="26"/>
        </w:rPr>
        <w:t>CHAPTER 14</w:t>
      </w:r>
    </w:p>
    <w:p>
      <w:pPr>
        <w:keepNext/>
        <w:spacing w:before="360" w:after="120"/>
        <w:jc w:val="left"/>
      </w:pPr>
      <w:r>
        <w:rPr>
          <w:rFonts w:ascii="Arial" w:hAnsi="Arial" w:cs="Arial"/>
          <w:b/>
          <w:sz w:val="32"/>
        </w:rPr>
        <w:t>Pipeline Drugs and Emerging Therapies</w:t>
      </w:r>
    </w:p>
    <w:p>
      <w:pPr>
        <w:keepNext/>
        <w:spacing w:before="240" w:after="120"/>
        <w:jc w:val="left"/>
      </w:pPr>
      <w:r>
        <w:rPr>
          <w:rFonts w:ascii="Arial" w:hAnsi="Arial" w:cs="Arial"/>
          <w:b/>
          <w:sz w:val="26"/>
        </w:rPr>
        <w:t>Pipeline Drugs and Emerging Therapies in Metabolic Medicine</w:t>
      </w:r>
    </w:p>
    <w:p>
      <w:pPr>
        <w:keepNext/>
        <w:spacing w:before="240" w:after="120"/>
        <w:jc w:val="left"/>
      </w:pPr>
      <w:r>
        <w:rPr>
          <w:rFonts w:ascii="Arial" w:hAnsi="Arial" w:cs="Arial"/>
          <w:b/>
          <w:sz w:val="26"/>
        </w:rPr>
        <w:t>14.1  Introduction: The New Frontier of Metabolic Medicine</w:t>
      </w:r>
    </w:p>
    <w:p>
      <w:pPr>
        <w:spacing w:after="120" w:before="0" w:line="276" w:lineRule="auto"/>
        <w:jc w:val="both"/>
      </w:pPr>
      <w:r>
        <w:rPr>
          <w:rFonts w:ascii="Times New Roman" w:hAnsi="Times New Roman" w:cs="Times New Roman"/>
          <w:b w:val="0"/>
          <w:i w:val="0"/>
          <w:sz w:val="22"/>
        </w:rPr>
        <w:t>The landscape of metabolic medicine is undergoing a seismic transformation. Decades of incremental progress are now giving way to a wave of mechanistically novel compounds that act on pathways once considered undruggable. For the clinician managing type 2 diabetes, obesity, non-alcoholic fatty liver disease (NAFLD/MASH), chronic kidney disease, and cardiovascular risk in the Indian population, this chapter offers an honest appraisal of what is coming — and what remains investigational.</w:t>
      </w:r>
    </w:p>
    <w:p>
      <w:pPr>
        <w:spacing w:after="120" w:before="0" w:line="276" w:lineRule="auto"/>
        <w:jc w:val="both"/>
      </w:pPr>
      <w:r>
        <w:rPr>
          <w:rFonts w:ascii="Times New Roman" w:hAnsi="Times New Roman" w:cs="Times New Roman"/>
          <w:b w:val="0"/>
          <w:i w:val="0"/>
          <w:sz w:val="22"/>
        </w:rPr>
        <w:t>In the Dr. Nehru Method framework, the eight metabolic triggers converge on a final common pathway: progressive insulin resistance quantified by HOMA-IR (India-validated cutoff &gt;2.3) [1] and the Triglyceride–Glucose Index (TyG, natural log scale, India cutoff &gt;8.82) [2]. Pipeline drugs do not replace this foundational assessment — they extend our therapeutic reach once lifestyle modification and available agents have been optimised.</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14.1 ]</w:t>
      </w:r>
    </w:p>
    <w:p>
      <w:pPr>
        <w:spacing w:before="40" w:after="200"/>
        <w:jc w:val="center"/>
      </w:pPr>
      <w:r>
        <w:rPr>
          <w:rFonts w:ascii="Times New Roman" w:hAnsi="Times New Roman" w:cs="Times New Roman"/>
          <w:b w:val="0"/>
          <w:i/>
          <w:sz w:val="18"/>
        </w:rPr>
        <w:t>Figure 14.1 — Pipeline drugs and emerging metabolic therapies — mechanism overview.</w:t>
      </w:r>
    </w:p>
    <w:p>
      <w:pPr>
        <w:spacing w:after="120" w:before="0" w:line="276" w:lineRule="auto"/>
        <w:jc w:val="both"/>
      </w:pPr>
      <w:r>
        <w:rPr>
          <w:rFonts w:ascii="Times New Roman" w:hAnsi="Times New Roman" w:cs="Times New Roman"/>
          <w:b w:val="0"/>
          <w:i w:val="0"/>
          <w:sz w:val="22"/>
        </w:rPr>
        <w:t>This chapter presents each emerging therapy under a structured format: mechanism, key trial evidence, current approval status, India availability, and clinical relevance. Drugs are honestly labelled as approved, approved but not yet available in India, or investigational. No benefit is overstated.</w:t>
      </w:r>
    </w:p>
    <w:p>
      <w:pPr>
        <w:keepNext/>
        <w:spacing w:before="240" w:after="120"/>
        <w:jc w:val="left"/>
      </w:pPr>
      <w:r>
        <w:rPr>
          <w:rFonts w:ascii="Arial" w:hAnsi="Arial" w:cs="Arial"/>
          <w:b/>
          <w:sz w:val="26"/>
        </w:rPr>
        <w:t>14.2  Triple Receptor Agonists: Pushing the Frontier of Weight Reduction</w:t>
      </w:r>
    </w:p>
    <w:p>
      <w:pPr>
        <w:keepNext/>
        <w:spacing w:before="240" w:after="120"/>
        <w:jc w:val="left"/>
      </w:pPr>
      <w:r>
        <w:rPr>
          <w:rFonts w:ascii="Arial" w:hAnsi="Arial" w:cs="Arial"/>
          <w:b/>
          <w:sz w:val="26"/>
        </w:rPr>
        <w:t>14.2.1  Retatrutide (GIP / GLP-1 / Glucagon Triple Agonist)</w:t>
      </w:r>
    </w:p>
    <w:p>
      <w:pPr>
        <w:spacing w:after="120" w:before="0" w:line="276" w:lineRule="auto"/>
        <w:jc w:val="both"/>
      </w:pPr>
      <w:r>
        <w:rPr>
          <w:rFonts w:ascii="Times New Roman" w:hAnsi="Times New Roman" w:cs="Times New Roman"/>
          <w:b w:val="0"/>
          <w:i w:val="0"/>
          <w:sz w:val="22"/>
        </w:rPr>
        <w:t>Retatrutide is a once-weekly injectable peptide that simultaneously activates three receptors: glucose-dependent insulinotropic polypeptide (GIP), glucagon-like peptide-1 (GLP-1), and the glucagon receptor. The triple agonism creates a synergistic metabolic effect — the GLP-1 arm suppresses appetite, the GIP arm potentiates insulin secretion and modulates adipose lipolysis, and the glucagon arm drives hepatic fat oxidation and increases energy expenditure. This mechanistic breadth distinguishes it from tirzepatide, which targets only GIP and GLP-1.</w:t>
      </w:r>
    </w:p>
    <w:p>
      <w:pPr>
        <w:spacing w:after="120" w:before="0" w:line="276" w:lineRule="auto"/>
        <w:jc w:val="both"/>
      </w:pPr>
      <w:r>
        <w:rPr>
          <w:rFonts w:ascii="Times New Roman" w:hAnsi="Times New Roman" w:cs="Times New Roman"/>
          <w:b w:val="0"/>
          <w:i w:val="0"/>
          <w:sz w:val="22"/>
        </w:rPr>
        <w:t>In a landmark Phase 2 trial by Jastreboff et al. published in the New England Journal of Medicine in 2023, 338 adults with obesity were randomised to various doses of retatrutide or placebo [3]. At 24 weeks, the highest dose cohort demonstrated mean body weight reduction of 17.5%, with 48-week data showing 24.2% weight loss — the highest figure ever reported for a once-weekly subcutaneous agent at the time of publication. Preliminary data released subsequently suggest weight loss approaching 30.3% at 104 weeks in the most responsive cohorts, a magnitude that blurs the line between pharmacotherapy and bariatric surgery outcomes.</w:t>
      </w:r>
    </w:p>
    <w:p>
      <w:pPr>
        <w:spacing w:after="120" w:before="0" w:line="276" w:lineRule="auto"/>
        <w:jc w:val="both"/>
      </w:pPr>
      <w:r>
        <w:rPr>
          <w:rFonts w:ascii="Times New Roman" w:hAnsi="Times New Roman" w:cs="Times New Roman"/>
          <w:b w:val="0"/>
          <w:i w:val="0"/>
          <w:sz w:val="22"/>
        </w:rPr>
        <w:t>The Phase 3 TRIUMPH programme is currently ongoing and will determine whether these extraordinary results replicate across broader populations, including those with type 2 diabetes and established cardiovascular disease. Safety data from Phase 2 were consistent with the GLP-1 class profile: nausea, vomiting, and diarrhoea, predominantly mild to moderate and dose-dependent.</w:t>
      </w:r>
    </w:p>
    <w:p>
      <w:pPr>
        <w:spacing w:after="120" w:before="0" w:line="276" w:lineRule="auto"/>
        <w:jc w:val="both"/>
      </w:pPr>
      <w:r>
        <w:rPr>
          <w:rFonts w:ascii="Times New Roman" w:hAnsi="Times New Roman" w:cs="Times New Roman"/>
          <w:b w:val="0"/>
          <w:i w:val="0"/>
          <w:sz w:val="22"/>
        </w:rPr>
        <w:t>Status: Investigational. Not approved anywhere as of 2025. Phase 3 TRIUMPH trials ongoing. Not available in India.</w:t>
      </w:r>
    </w:p>
    <w:p>
      <w:pPr>
        <w:keepNext/>
        <w:spacing w:before="240" w:after="120"/>
        <w:jc w:val="left"/>
      </w:pPr>
      <w:r>
        <w:rPr>
          <w:rFonts w:ascii="Arial" w:hAnsi="Arial" w:cs="Arial"/>
          <w:b/>
          <w:sz w:val="26"/>
        </w:rPr>
        <w:t>14.2.2  Oral Semaglutide 50 mg (OASIS-1)</w:t>
      </w:r>
    </w:p>
    <w:p>
      <w:pPr>
        <w:spacing w:after="120" w:before="0" w:line="276" w:lineRule="auto"/>
        <w:jc w:val="both"/>
      </w:pPr>
      <w:r>
        <w:rPr>
          <w:rFonts w:ascii="Times New Roman" w:hAnsi="Times New Roman" w:cs="Times New Roman"/>
          <w:b w:val="0"/>
          <w:i w:val="0"/>
          <w:sz w:val="22"/>
        </w:rPr>
        <w:t>The development of oral GLP-1 receptor agonists has historically been constrained by the poor oral bioavailability of peptides. Semaglutide 14 mg oral was the first approved oral GLP-1 agonist for glycaemic control. The OASIS-1 trial published in The Lancet in 2023 by Knop et al. evaluated a higher oral dose of 50 mg in 667 adults with overweight or obesity without diabetes [4]. After 68 weeks, participants achieved a mean body weight reduction of 15.1% — comparable in magnitude to injectable semaglutide 2.4 mg — with an acceptable gastrointestinal side-effect profile.</w:t>
      </w:r>
    </w:p>
    <w:p>
      <w:pPr>
        <w:spacing w:after="120" w:before="0" w:line="276" w:lineRule="auto"/>
        <w:jc w:val="both"/>
      </w:pPr>
      <w:r>
        <w:rPr>
          <w:rFonts w:ascii="Times New Roman" w:hAnsi="Times New Roman" w:cs="Times New Roman"/>
          <w:b w:val="0"/>
          <w:i w:val="0"/>
          <w:sz w:val="22"/>
        </w:rPr>
        <w:t>For Indian patients, the prospect of effective oral weight management without injections is highly relevant given the significant cultural and practical barriers to injectable therapy in both urban and rural settings. This dose of oral semaglutide awaits regulatory approval in India, though the approved 14 mg formulation (Rybelsus) is available.</w:t>
      </w:r>
    </w:p>
    <w:p>
      <w:pPr>
        <w:spacing w:after="120" w:before="0" w:line="276" w:lineRule="auto"/>
        <w:jc w:val="both"/>
      </w:pPr>
      <w:r>
        <w:rPr>
          <w:rFonts w:ascii="Times New Roman" w:hAnsi="Times New Roman" w:cs="Times New Roman"/>
          <w:b w:val="0"/>
          <w:i w:val="0"/>
          <w:sz w:val="22"/>
        </w:rPr>
        <w:t>Status: Oral semaglutide 50 mg — regulatory submission pending in major markets. Not yet approved in India. The 14 mg dose (Rybelsus) is approved in India for glycaemic control only.</w:t>
      </w:r>
    </w:p>
    <w:p>
      <w:pPr>
        <w:keepNext/>
        <w:spacing w:before="240" w:after="120"/>
        <w:jc w:val="left"/>
      </w:pPr>
      <w:r>
        <w:rPr>
          <w:rFonts w:ascii="Arial" w:hAnsi="Arial" w:cs="Arial"/>
          <w:b/>
          <w:sz w:val="26"/>
        </w:rPr>
        <w:t>14.3  Therapies for Metabolic Dysfunction-Associated Steatohepatitis (MASH)</w:t>
      </w:r>
    </w:p>
    <w:p>
      <w:pPr>
        <w:keepNext/>
        <w:spacing w:before="240" w:after="120"/>
        <w:jc w:val="left"/>
      </w:pPr>
      <w:r>
        <w:rPr>
          <w:rFonts w:ascii="Arial" w:hAnsi="Arial" w:cs="Arial"/>
          <w:b/>
          <w:sz w:val="26"/>
        </w:rPr>
        <w:t>14.3.1  Resmetirom (Thyroid Hormone Receptor-Beta Agonist)</w:t>
      </w:r>
    </w:p>
    <w:p>
      <w:pPr>
        <w:spacing w:after="120" w:before="0" w:line="276" w:lineRule="auto"/>
        <w:jc w:val="both"/>
      </w:pPr>
      <w:r>
        <w:rPr>
          <w:rFonts w:ascii="Times New Roman" w:hAnsi="Times New Roman" w:cs="Times New Roman"/>
          <w:b w:val="0"/>
          <w:i w:val="0"/>
          <w:sz w:val="22"/>
        </w:rPr>
        <w:t>Resmetirom is a liver-directed, thyroid hormone receptor-beta (THR-β) selective agonist. Systemic thyroid hormone action is broad and includes cardiac and bone effects; hepatic THR-β specificity allows resmetirom to harness thyroid hormone's lipid-lowering and metabolic benefits within the liver without systemic thyrotoxicity. It reduces hepatic triglyceride synthesis, increases mitochondrial beta-oxidation, and reduces LDL cholesterol through upregulation of hepatic LDL receptors.</w:t>
      </w:r>
    </w:p>
    <w:p>
      <w:pPr>
        <w:spacing w:after="120" w:before="0" w:line="276" w:lineRule="auto"/>
        <w:jc w:val="both"/>
      </w:pPr>
      <w:r>
        <w:rPr>
          <w:rFonts w:ascii="Times New Roman" w:hAnsi="Times New Roman" w:cs="Times New Roman"/>
          <w:b w:val="0"/>
          <w:i w:val="0"/>
          <w:sz w:val="22"/>
        </w:rPr>
        <w:t>The pivotal MAESTRO-NASH trial reported by Harrison et al. in the New England Journal of Medicine in 2024, involving 966 patients with biopsy-proven MASH and fibrosis stage F1B to F3, demonstrated that resmetirom 100 mg achieved NASH resolution (without worsening fibrosis) in 29.9% of patients and fibrosis improvement of at least one stage in 25.9% — both meeting pre-specified primary endpoints versus placebo [5].</w:t>
      </w:r>
    </w:p>
    <w:p>
      <w:pPr>
        <w:spacing w:after="120" w:before="0" w:line="276" w:lineRule="auto"/>
        <w:jc w:val="both"/>
      </w:pPr>
      <w:r>
        <w:rPr>
          <w:rFonts w:ascii="Times New Roman" w:hAnsi="Times New Roman" w:cs="Times New Roman"/>
          <w:b w:val="0"/>
          <w:i w:val="0"/>
          <w:sz w:val="22"/>
        </w:rPr>
        <w:t>On the basis of this trial, the United States Food and Drug Administration (FDA) granted resmetirom (brand name: Rezdiffra) accelerated approval in March 2024 — making it the first approved pharmacological therapy for MASH. This is a historic milestone. India has no approved MASH-specific drug at the time of this writing.</w:t>
      </w:r>
    </w:p>
    <w:p>
      <w:pPr>
        <w:spacing w:after="120" w:before="0" w:line="276" w:lineRule="auto"/>
        <w:jc w:val="both"/>
      </w:pPr>
      <w:r>
        <w:rPr>
          <w:rFonts w:ascii="Times New Roman" w:hAnsi="Times New Roman" w:cs="Times New Roman"/>
          <w:b w:val="0"/>
          <w:i w:val="0"/>
          <w:sz w:val="22"/>
        </w:rPr>
        <w:t>Status: FDA approved (USA) March 2024 for MASH with hepatic fibrosis. Not yet available in India. Clinicians should monitor CDSCO submissions.</w:t>
      </w:r>
    </w:p>
    <w:p>
      <w:pPr>
        <w:keepNext/>
        <w:spacing w:before="240" w:after="120"/>
        <w:jc w:val="left"/>
      </w:pPr>
      <w:r>
        <w:rPr>
          <w:rFonts w:ascii="Arial" w:hAnsi="Arial" w:cs="Arial"/>
          <w:b/>
          <w:sz w:val="26"/>
        </w:rPr>
        <w:t>14.3.2  Tirzepatide for MASH (SYNERGY-NASH)</w:t>
      </w:r>
    </w:p>
    <w:p>
      <w:pPr>
        <w:spacing w:after="120" w:before="0" w:line="276" w:lineRule="auto"/>
        <w:jc w:val="both"/>
      </w:pPr>
      <w:r>
        <w:rPr>
          <w:rFonts w:ascii="Times New Roman" w:hAnsi="Times New Roman" w:cs="Times New Roman"/>
          <w:b w:val="0"/>
          <w:i w:val="0"/>
          <w:sz w:val="22"/>
        </w:rPr>
        <w:t>Beyond its approved indications in type 2 diabetes and obesity, tirzepatide has demonstrated striking hepatic efficacy. The SYNERGY-NASH Phase 2 trial published in the New England Journal of Medicine in 2024 by Loomba et al. enrolled 190 patients with biopsy-proven MASH and fibrosis [6]. Tirzepatide 10 mg weekly achieved MASH resolution in 55% of patients, and the 15 mg dose achieved MASH resolution in 62% — far exceeding the resmetirom Phase 3 results, although cross-trial comparisons must be interpreted cautiously given different populations and design.</w:t>
      </w:r>
    </w:p>
    <w:p>
      <w:pPr>
        <w:spacing w:after="120" w:before="0" w:line="276" w:lineRule="auto"/>
        <w:jc w:val="both"/>
      </w:pPr>
      <w:r>
        <w:rPr>
          <w:rFonts w:ascii="Times New Roman" w:hAnsi="Times New Roman" w:cs="Times New Roman"/>
          <w:b w:val="0"/>
          <w:i w:val="0"/>
          <w:sz w:val="22"/>
        </w:rPr>
        <w:t>The implication for India is direct: tirzepatide (Mounjaro) is available in India, though at significant cost. Clinicians managing patients with MASH who also have type 2 diabetes or obesity have an evidence-based reason to prefer tirzepatide over older agents when hepatic disease is the primary concern, pending formal approval of this indication.</w:t>
      </w:r>
    </w:p>
    <w:p>
      <w:pPr>
        <w:spacing w:after="120" w:before="0" w:line="276" w:lineRule="auto"/>
        <w:jc w:val="both"/>
      </w:pPr>
      <w:r>
        <w:rPr>
          <w:rFonts w:ascii="Times New Roman" w:hAnsi="Times New Roman" w:cs="Times New Roman"/>
          <w:b w:val="0"/>
          <w:i w:val="0"/>
          <w:sz w:val="22"/>
        </w:rPr>
        <w:t>Status: Tirzepatide approved in India for T2DM and obesity. MASH indication is Phase 2 only — not approved for this specific indication anywhere. Phase 3 trials ongoing.</w:t>
      </w:r>
    </w:p>
    <w:p>
      <w:pPr>
        <w:keepNext/>
        <w:spacing w:before="240" w:after="120"/>
        <w:jc w:val="left"/>
      </w:pPr>
      <w:r>
        <w:rPr>
          <w:rFonts w:ascii="Arial" w:hAnsi="Arial" w:cs="Arial"/>
          <w:b/>
          <w:sz w:val="26"/>
        </w:rPr>
        <w:t>14.4  Addressing the Sarcopenia Problem: Bimagrumab</w:t>
      </w:r>
    </w:p>
    <w:p>
      <w:pPr>
        <w:keepNext/>
        <w:spacing w:before="240" w:after="120"/>
        <w:jc w:val="left"/>
      </w:pPr>
      <w:r>
        <w:rPr>
          <w:rFonts w:ascii="Arial" w:hAnsi="Arial" w:cs="Arial"/>
          <w:b/>
          <w:sz w:val="26"/>
        </w:rPr>
        <w:t>14.4.1  Bimagrumab (Anti-Myostatin / ActRII Antibody)</w:t>
      </w:r>
    </w:p>
    <w:p>
      <w:pPr>
        <w:spacing w:after="120" w:before="0" w:line="276" w:lineRule="auto"/>
        <w:jc w:val="both"/>
      </w:pPr>
      <w:r>
        <w:rPr>
          <w:rFonts w:ascii="Times New Roman" w:hAnsi="Times New Roman" w:cs="Times New Roman"/>
          <w:b w:val="0"/>
          <w:i w:val="0"/>
          <w:sz w:val="22"/>
        </w:rPr>
        <w:t>One of the most persistent limitations of GLP-1 receptor agonist therapy — and of caloric restriction more broadly — is the concurrent loss of lean muscle mass alongside fat. In the Indian context, where sarcopenic obesity and the TOFI (Thin Outside, Fat Inside) phenotype are disproportionately prevalent, preserving or augmenting skeletal muscle index (SMI) is as clinically important as reducing fat mass.</w:t>
      </w:r>
    </w:p>
    <w:p>
      <w:pPr>
        <w:spacing w:after="120" w:before="0" w:line="276" w:lineRule="auto"/>
        <w:jc w:val="both"/>
      </w:pPr>
      <w:r>
        <w:rPr>
          <w:rFonts w:ascii="Times New Roman" w:hAnsi="Times New Roman" w:cs="Times New Roman"/>
          <w:b w:val="0"/>
          <w:i w:val="0"/>
          <w:sz w:val="22"/>
        </w:rPr>
        <w:t>Bimagrumab is a fully human monoclonal antibody that blocks activin receptor type IIA and IIB (ActRIIA/IIB), thereby inhibiting myostatin and other negative regulators of muscle growth. By releasing the physiological brake on muscle protein synthesis, bimagrumab promotes genuine skeletal muscle hypertrophy — not merely preservation.</w:t>
      </w:r>
    </w:p>
    <w:p>
      <w:pPr>
        <w:spacing w:after="120" w:before="0" w:line="276" w:lineRule="auto"/>
        <w:jc w:val="both"/>
      </w:pPr>
      <w:r>
        <w:rPr>
          <w:rFonts w:ascii="Times New Roman" w:hAnsi="Times New Roman" w:cs="Times New Roman"/>
          <w:b w:val="0"/>
          <w:i w:val="0"/>
          <w:sz w:val="22"/>
        </w:rPr>
        <w:t>In a randomised Phase 2 trial by Heymsfield et al. published in JAMA Network Open in 2021, 75 adults with type 2 diabetes and obesity received bimagrumab or placebo over 48 weeks [7]. The results were unprecedented in metabolic pharmacotherapy: lean body mass increased by 3.6 percentage points (approximately 1.7 kg absolute), while fat mass declined by 7.5 kg in the bimagrumab group compared to only 0.2 kg in the placebo group. HbA1c improved by 0.76 percentage points. This unique body composition profile — simultaneously building muscle while reducing fat — is not achievable with any currently approved metabolic drug. The mechanism is entirely distinct from GLP-1-based therapies.</w:t>
      </w:r>
    </w:p>
    <w:p>
      <w:pPr>
        <w:spacing w:after="120" w:before="0" w:line="276" w:lineRule="auto"/>
        <w:jc w:val="both"/>
      </w:pPr>
      <w:r>
        <w:rPr>
          <w:rFonts w:ascii="Times New Roman" w:hAnsi="Times New Roman" w:cs="Times New Roman"/>
          <w:b w:val="0"/>
          <w:i w:val="0"/>
          <w:sz w:val="22"/>
        </w:rPr>
        <w:t>This is a promising signal, but it must be stated clearly: Phase 2 trials establish proof-of-concept, not regulatory efficacy. Larger Phase 3 trials are needed to confirm safety and sustained benefit before clinical use can be recommended.</w:t>
      </w:r>
    </w:p>
    <w:p>
      <w:pPr>
        <w:spacing w:after="120" w:before="0" w:line="276" w:lineRule="auto"/>
        <w:jc w:val="both"/>
      </w:pPr>
      <w:r>
        <w:rPr>
          <w:rFonts w:ascii="Times New Roman" w:hAnsi="Times New Roman" w:cs="Times New Roman"/>
          <w:b w:val="0"/>
          <w:i w:val="0"/>
          <w:sz w:val="22"/>
        </w:rPr>
        <w:t>Status: Investigational. Not approved anywhere. Not available in India. Phase 3 development pathway under evaluation. For research interest only.</w:t>
      </w:r>
    </w:p>
    <w:p>
      <w:pPr>
        <w:keepNext/>
        <w:spacing w:before="240" w:after="120"/>
        <w:jc w:val="left"/>
      </w:pPr>
      <w:r>
        <w:rPr>
          <w:rFonts w:ascii="Arial" w:hAnsi="Arial" w:cs="Arial"/>
          <w:b/>
          <w:sz w:val="26"/>
        </w:rPr>
        <w:t>14.5  Cardiorenal Protection: Extending the Evidence Base</w:t>
      </w:r>
    </w:p>
    <w:p>
      <w:pPr>
        <w:keepNext/>
        <w:spacing w:before="240" w:after="120"/>
        <w:jc w:val="left"/>
      </w:pPr>
      <w:r>
        <w:rPr>
          <w:rFonts w:ascii="Arial" w:hAnsi="Arial" w:cs="Arial"/>
          <w:b/>
          <w:sz w:val="26"/>
        </w:rPr>
        <w:t>14.5.1  Semaglutide in Chronic Kidney Disease (FLOW Trial)</w:t>
      </w:r>
    </w:p>
    <w:p>
      <w:pPr>
        <w:spacing w:after="120" w:before="0" w:line="276" w:lineRule="auto"/>
        <w:jc w:val="both"/>
      </w:pPr>
      <w:r>
        <w:rPr>
          <w:rFonts w:ascii="Times New Roman" w:hAnsi="Times New Roman" w:cs="Times New Roman"/>
          <w:b w:val="0"/>
          <w:i w:val="0"/>
          <w:sz w:val="22"/>
        </w:rPr>
        <w:t>The FLOW trial, reported by Perkovic et al. in the New England Journal of Medicine in 2024, enrolled 3,533 patients with type 2 diabetes and chronic kidney disease (CKD stages 2 to 4, urine albumin-to-creatinine ratio ≥300 mg/g) [8]. Participants were randomised to semaglutide 1.0 mg weekly or placebo in addition to standard of care including renin-angiotensin system blockade and SGLT-2 inhibitors (where indicated).</w:t>
      </w:r>
    </w:p>
    <w:p>
      <w:pPr>
        <w:spacing w:after="120" w:before="0" w:line="276" w:lineRule="auto"/>
        <w:jc w:val="both"/>
      </w:pPr>
      <w:r>
        <w:rPr>
          <w:rFonts w:ascii="Times New Roman" w:hAnsi="Times New Roman" w:cs="Times New Roman"/>
          <w:b w:val="0"/>
          <w:i w:val="0"/>
          <w:sz w:val="22"/>
        </w:rPr>
        <w:t>The trial was stopped early by the Data Safety Monitoring Board on grounds of clear efficacy. Semaglutide reduced the composite primary endpoint — major kidney events, kidney failure, or death from kidney or cardiovascular causes — by 24% compared to placebo. This was a landmark finding, extending the nephroprotective class beyond SGLT-2 inhibitors.</w:t>
      </w:r>
    </w:p>
    <w:p>
      <w:pPr>
        <w:spacing w:after="120" w:before="0" w:line="276" w:lineRule="auto"/>
        <w:jc w:val="both"/>
      </w:pPr>
      <w:r>
        <w:rPr>
          <w:rFonts w:ascii="Times New Roman" w:hAnsi="Times New Roman" w:cs="Times New Roman"/>
          <w:b w:val="0"/>
          <w:i w:val="0"/>
          <w:sz w:val="22"/>
        </w:rPr>
        <w:t>For Indian clinicians, diabetic CKD represents an enormous unmet burden. Semaglutide (Ozempic, Rybelsus) is available in India, and the FLOW data provide a compelling evidence basis for its use in patients with diabetic CKD, even in the absence of a formal CKD-specific approval in India at present.</w:t>
      </w:r>
    </w:p>
    <w:p>
      <w:pPr>
        <w:spacing w:after="120" w:before="0" w:line="276" w:lineRule="auto"/>
        <w:jc w:val="both"/>
      </w:pPr>
      <w:r>
        <w:rPr>
          <w:rFonts w:ascii="Times New Roman" w:hAnsi="Times New Roman" w:cs="Times New Roman"/>
          <w:b w:val="0"/>
          <w:i w:val="0"/>
          <w:sz w:val="22"/>
        </w:rPr>
        <w:t>Status: Semaglutide approved in India for T2DM and cardiovascular risk reduction. CKD indication approval pending regulatory submissions based on FLOW data. Clinically relevant now.</w:t>
      </w:r>
    </w:p>
    <w:p>
      <w:pPr>
        <w:keepNext/>
        <w:spacing w:before="240" w:after="120"/>
        <w:jc w:val="left"/>
      </w:pPr>
      <w:r>
        <w:rPr>
          <w:rFonts w:ascii="Arial" w:hAnsi="Arial" w:cs="Arial"/>
          <w:b/>
          <w:sz w:val="26"/>
        </w:rPr>
        <w:t>14.5.2  Finerenone (Non-Steroidal MRA for Diabetic CKD)</w:t>
      </w:r>
    </w:p>
    <w:p>
      <w:pPr>
        <w:spacing w:after="120" w:before="0" w:line="276" w:lineRule="auto"/>
        <w:jc w:val="both"/>
      </w:pPr>
      <w:r>
        <w:rPr>
          <w:rFonts w:ascii="Times New Roman" w:hAnsi="Times New Roman" w:cs="Times New Roman"/>
          <w:b w:val="0"/>
          <w:i w:val="0"/>
          <w:sz w:val="22"/>
        </w:rPr>
        <w:t>Finerenone is a non-steroidal mineralocorticoid receptor antagonist (MRA) mechanistically distinct from spironolactone and eplerenone. Its selectivity profile offers cardiorenal protection without the anti-androgenic side effects of spironolactone and with a lower risk of hyperkalaemia compared to steroidal MRAs. In the FIDELIO-DKD trial reported by Bakris et al. in the New England Journal of Medicine in 2020, 5,734 patients with diabetic CKD on standard ACE inhibitor or ARB therapy were randomised [9]. Finerenone significantly reduced the composite of kidney disease progression and kidney failure, while the companion FIGARO-DKD trial confirmed cardiovascular benefits.</w:t>
      </w:r>
    </w:p>
    <w:p>
      <w:pPr>
        <w:spacing w:after="120" w:before="0" w:line="276" w:lineRule="auto"/>
        <w:jc w:val="both"/>
      </w:pPr>
      <w:r>
        <w:rPr>
          <w:rFonts w:ascii="Times New Roman" w:hAnsi="Times New Roman" w:cs="Times New Roman"/>
          <w:b w:val="0"/>
          <w:i w:val="0"/>
          <w:sz w:val="22"/>
        </w:rPr>
        <w:t>Importantly, finerenone is approved in India and is the one drug in this chapter that is both novel in mechanism and currently accessible to Indian patients with diabetic CKD. It should be considered an essential component of the Dr. Nehru Method's cardiorenal protection protocol alongside SGLT-2 inhibitors and RAS blockade.</w:t>
      </w:r>
    </w:p>
    <w:p>
      <w:pPr>
        <w:spacing w:after="120" w:before="0" w:line="276" w:lineRule="auto"/>
        <w:jc w:val="both"/>
      </w:pPr>
      <w:r>
        <w:rPr>
          <w:rFonts w:ascii="Times New Roman" w:hAnsi="Times New Roman" w:cs="Times New Roman"/>
          <w:b w:val="0"/>
          <w:i w:val="0"/>
          <w:sz w:val="22"/>
        </w:rPr>
        <w:t>Status: Approved in India for diabetic CKD. Available now.</w:t>
      </w:r>
    </w:p>
    <w:p>
      <w:pPr>
        <w:keepNext/>
        <w:spacing w:before="240" w:after="120"/>
        <w:jc w:val="left"/>
      </w:pPr>
      <w:r>
        <w:rPr>
          <w:rFonts w:ascii="Arial" w:hAnsi="Arial" w:cs="Arial"/>
          <w:b/>
          <w:sz w:val="26"/>
        </w:rPr>
        <w:t>14.6  Lipoprotein(a) — The South Asian Time Bomb</w:t>
      </w:r>
    </w:p>
    <w:p>
      <w:pPr>
        <w:spacing w:after="120" w:before="0" w:line="276" w:lineRule="auto"/>
        <w:jc w:val="both"/>
      </w:pPr>
      <w:r>
        <w:rPr>
          <w:rFonts w:ascii="Times New Roman" w:hAnsi="Times New Roman" w:cs="Times New Roman"/>
          <w:b w:val="0"/>
          <w:i w:val="0"/>
          <w:sz w:val="22"/>
        </w:rPr>
        <w:t>Lipoprotein(a) [Lp(a)] is a genetically determined atherogenic particle whose plasma concentration is set almost entirely by the LPA gene locus and is resistant to all conventional lipid-lowering therapies including statins, ezetimibe, and even PCSK9 inhibitors. Epidemiological data consistently demonstrate that South Asians have higher mean Lp(a) levels than European populations, contributing to the disproportionate premature cardiovascular mortality observed in Indians even at levels of LDL cholesterol considered acceptable by conventional targets.</w:t>
      </w:r>
    </w:p>
    <w:p>
      <w:pPr>
        <w:spacing w:before="200" w:after="40"/>
        <w:jc w:val="center"/>
        <w:pBdr>
          <w:top w:val="dashed" w:sz="12" w:space="6" w:color="888888"/>
          <w:left w:val="dashed" w:sz="12" w:space="6" w:color="888888"/>
          <w:bottom w:val="dashed" w:sz="12" w:space="6" w:color="888888"/>
          <w:right w:val="dashed" w:sz="12" w:space="6" w:color="888888"/>
        </w:pBdr>
      </w:pPr>
      <w:r>
        <w:rPr>
          <w:rFonts w:ascii="Arial" w:hAnsi="Arial" w:cs="Arial"/>
          <w:b/>
          <w:color w:val="888888"/>
          <w:sz w:val="20"/>
        </w:rPr>
        <w:t>[ IMAGE PLACEHOLDER — Figure 14.2 ]</w:t>
      </w:r>
    </w:p>
    <w:p>
      <w:pPr>
        <w:spacing w:before="40" w:after="200"/>
        <w:jc w:val="center"/>
      </w:pPr>
      <w:r>
        <w:rPr>
          <w:rFonts w:ascii="Times New Roman" w:hAnsi="Times New Roman" w:cs="Times New Roman"/>
          <w:b w:val="0"/>
          <w:i/>
          <w:sz w:val="18"/>
        </w:rPr>
        <w:t>Figure 14.2 — Emerging Lp(a)-lowering agents: antisense and siRNA approaches.</w:t>
      </w:r>
    </w:p>
    <w:p>
      <w:pPr>
        <w:spacing w:after="120" w:before="0" w:line="276" w:lineRule="auto"/>
        <w:jc w:val="both"/>
      </w:pPr>
      <w:r>
        <w:rPr>
          <w:rFonts w:ascii="Times New Roman" w:hAnsi="Times New Roman" w:cs="Times New Roman"/>
          <w:b w:val="0"/>
          <w:i w:val="0"/>
          <w:sz w:val="22"/>
        </w:rPr>
        <w:t>Two mechanistically distinct investigational agents are approaching Phase 3 completion with dramatic Lp(a)-lowering capabilities.</w:t>
      </w:r>
    </w:p>
    <w:p>
      <w:pPr>
        <w:keepNext/>
        <w:spacing w:before="240" w:after="120"/>
        <w:jc w:val="left"/>
      </w:pPr>
      <w:r>
        <w:rPr>
          <w:rFonts w:ascii="Arial" w:hAnsi="Arial" w:cs="Arial"/>
          <w:b/>
          <w:sz w:val="26"/>
        </w:rPr>
        <w:t>14.6.1  Pelacarsen (Antisense Oligonucleotide)</w:t>
      </w:r>
    </w:p>
    <w:p>
      <w:pPr>
        <w:spacing w:after="120" w:before="0" w:line="276" w:lineRule="auto"/>
        <w:jc w:val="both"/>
      </w:pPr>
      <w:r>
        <w:rPr>
          <w:rFonts w:ascii="Times New Roman" w:hAnsi="Times New Roman" w:cs="Times New Roman"/>
          <w:b w:val="0"/>
          <w:i w:val="0"/>
          <w:sz w:val="22"/>
        </w:rPr>
        <w:t>Pelacarsen is an antisense oligonucleotide (ASO) that targets hepatic apolipoprotein(a) mRNA synthesis, the rate-limiting step in Lp(a) particle assembly. In a Phase 2 trial by Tsimikas et al. published in the New England Journal of Medicine in 2020, 286 patients with established cardiovascular disease and elevated Lp(a) (&gt;60 mg/dL) received pelacarsen subcutaneously [10]. The agent achieved Lp(a) reductions of approximately 80% at the highest dose — a magnitude of reduction not achievable with any available therapy. The Phase 3 Lp(a) HORIZON trial, specifically powered to demonstrate cardiovascular event reduction, has enrolled over 7,000 patients and results are anticipated. Given the high prevalence of elevated Lp(a) in South Asians, this trial is especially relevant to our population.</w:t>
      </w:r>
    </w:p>
    <w:p>
      <w:pPr>
        <w:spacing w:after="120" w:before="0" w:line="276" w:lineRule="auto"/>
        <w:jc w:val="both"/>
      </w:pPr>
      <w:r>
        <w:rPr>
          <w:rFonts w:ascii="Times New Roman" w:hAnsi="Times New Roman" w:cs="Times New Roman"/>
          <w:b w:val="0"/>
          <w:i w:val="0"/>
          <w:sz w:val="22"/>
        </w:rPr>
        <w:t>Status: Investigational. Phase 3 HORIZON trial ongoing. Not available in India.</w:t>
      </w:r>
    </w:p>
    <w:p>
      <w:pPr>
        <w:keepNext/>
        <w:spacing w:before="240" w:after="120"/>
        <w:jc w:val="left"/>
      </w:pPr>
      <w:r>
        <w:rPr>
          <w:rFonts w:ascii="Arial" w:hAnsi="Arial" w:cs="Arial"/>
          <w:b/>
          <w:sz w:val="26"/>
        </w:rPr>
        <w:t>14.6.2  Olpasiran (siRNA Therapy)</w:t>
      </w:r>
    </w:p>
    <w:p>
      <w:pPr>
        <w:spacing w:after="120" w:before="0" w:line="276" w:lineRule="auto"/>
        <w:jc w:val="both"/>
      </w:pPr>
      <w:r>
        <w:rPr>
          <w:rFonts w:ascii="Times New Roman" w:hAnsi="Times New Roman" w:cs="Times New Roman"/>
          <w:b w:val="0"/>
          <w:i w:val="0"/>
          <w:sz w:val="22"/>
        </w:rPr>
        <w:t>Olpasiran takes a different molecular approach — it is a small interfering RNA (siRNA) packaged in GalNAc conjugate for hepatocyte delivery, silencing apolipoprotein(a) gene expression at the post-transcriptional level. Its durability advantage is remarkable: a single subcutaneous injection produces Lp(a) suppression lasting approximately three months. In the OCEAN(a)-DOSE trial by O'Donoghue et al. published in the New England Journal of Medicine in 2022, 281 patients with established atherosclerotic cardiovascular disease and Lp(a) &gt;150 nmol/L received olpasiran at various doses [11]. The highest dose cohort demonstrated Lp(a) reductions exceeding 95% — a near-complete suppression. The Phase 3 OCEAN(a)-Outcomes trial is ongoing.</w:t>
      </w:r>
    </w:p>
    <w:p>
      <w:pPr>
        <w:spacing w:after="120" w:before="0" w:line="276" w:lineRule="auto"/>
        <w:jc w:val="both"/>
      </w:pPr>
      <w:r>
        <w:rPr>
          <w:rFonts w:ascii="Times New Roman" w:hAnsi="Times New Roman" w:cs="Times New Roman"/>
          <w:b w:val="0"/>
          <w:i w:val="0"/>
          <w:sz w:val="22"/>
        </w:rPr>
        <w:t>Status: Investigational. Not approved anywhere. Not available in India.</w:t>
      </w:r>
    </w:p>
    <w:p>
      <w:pPr>
        <w:keepNext/>
        <w:spacing w:before="240" w:after="120"/>
        <w:jc w:val="left"/>
      </w:pPr>
      <w:r>
        <w:rPr>
          <w:rFonts w:ascii="Arial" w:hAnsi="Arial" w:cs="Arial"/>
          <w:b/>
          <w:sz w:val="26"/>
        </w:rPr>
        <w:t>14.7  Targeting Residual Inflammatory Risk: Ziltivekimab</w:t>
      </w:r>
    </w:p>
    <w:p>
      <w:pPr>
        <w:spacing w:after="120" w:before="0" w:line="276" w:lineRule="auto"/>
        <w:jc w:val="both"/>
      </w:pPr>
      <w:r>
        <w:rPr>
          <w:rFonts w:ascii="Times New Roman" w:hAnsi="Times New Roman" w:cs="Times New Roman"/>
          <w:b w:val="0"/>
          <w:i w:val="0"/>
          <w:sz w:val="22"/>
        </w:rPr>
        <w:t>Even after optimal lipid and glycaemic control, a substantial proportion of patients with established cardiometabolic disease remain at residual risk driven by chronic low-grade inflammation — measurable as elevated high-sensitivity C-reactive protein (hsCRP) and interleukin-6 (IL-6). The RESCUE trial evaluated ziltivekimab, a monoclonal antibody targeting IL-6 ligand, in 264 patients with CKD and elevated hsCRP, reported by Ridker et al. in The Lancet in 2021 [12]. Ziltivekimab achieved reductions in hsCRP of 80 to 90% in a dose-dependent manner, along with significant reductions in fibrinogen, serum amyloid A, and other inflammatory biomarkers.</w:t>
      </w:r>
    </w:p>
    <w:p>
      <w:pPr>
        <w:spacing w:after="120" w:before="0" w:line="276" w:lineRule="auto"/>
        <w:jc w:val="both"/>
      </w:pPr>
      <w:r>
        <w:rPr>
          <w:rFonts w:ascii="Times New Roman" w:hAnsi="Times New Roman" w:cs="Times New Roman"/>
          <w:b w:val="0"/>
          <w:i w:val="0"/>
          <w:sz w:val="22"/>
        </w:rPr>
        <w:t>The agent is being evaluated in the ZEUS cardiovascular outcomes trial in patients with CKD at high inflammatory risk. In the Indian context, where insulin resistance per se is a driver of chronic inflammation (IL-6 is upregulated in visceral adiposity), an IL-6–targeting agent could theoretically complement the eight-trigger framework by directly addressing the inflammatory limb of beta cell toxicity.</w:t>
      </w:r>
    </w:p>
    <w:p>
      <w:pPr>
        <w:spacing w:after="120" w:before="0" w:line="276" w:lineRule="auto"/>
        <w:jc w:val="both"/>
      </w:pPr>
      <w:r>
        <w:rPr>
          <w:rFonts w:ascii="Times New Roman" w:hAnsi="Times New Roman" w:cs="Times New Roman"/>
          <w:b w:val="0"/>
          <w:i w:val="0"/>
          <w:sz w:val="22"/>
        </w:rPr>
        <w:t>Status: Investigational. ZEUS outcomes trial ongoing. Not available in India.</w:t>
      </w:r>
    </w:p>
    <w:p>
      <w:pPr>
        <w:keepNext/>
        <w:spacing w:before="240" w:after="120"/>
        <w:jc w:val="left"/>
      </w:pPr>
      <w:r>
        <w:rPr>
          <w:rFonts w:ascii="Arial" w:hAnsi="Arial" w:cs="Arial"/>
          <w:b/>
          <w:sz w:val="26"/>
        </w:rPr>
        <w:t>14.8  Summary Table: Pipeline Agents at a Glance</w:t>
      </w:r>
    </w:p>
    <w:p>
      <w:pPr>
        <w:keepNext/>
        <w:spacing w:before="240" w:after="120"/>
        <w:jc w:val="left"/>
      </w:pPr>
      <w:r>
        <w:rPr>
          <w:rFonts w:ascii="Arial" w:hAnsi="Arial" w:cs="Arial"/>
          <w:b/>
          <w:sz w:val="26"/>
        </w:rPr>
        <w:t>14.9  Integration with the Dr. Nehru Method Framework</w:t>
      </w:r>
    </w:p>
    <w:p>
      <w:pPr>
        <w:spacing w:after="120" w:before="0" w:line="276" w:lineRule="auto"/>
        <w:jc w:val="both"/>
      </w:pPr>
      <w:r>
        <w:rPr>
          <w:rFonts w:ascii="Times New Roman" w:hAnsi="Times New Roman" w:cs="Times New Roman"/>
          <w:b w:val="0"/>
          <w:i w:val="0"/>
          <w:sz w:val="22"/>
        </w:rPr>
        <w:t>The eight metabolic triggers — high glycaemic index carbohydrate load, visceral obesity and the TOFI phenotype, vitamin D deficiency, methylcobalamin deficiency, iron deficiency, sarcopenia, the MTHFR C677T polymorphism, and ultra-processed food exposure — converge on progressive beta cell exhaustion measurable through HOMA-IR (&gt;2.3, India-validated) and TyG Index (&gt;8.82 on natural log scale, India-validated) [1,2]. Pipeline drugs extend the reach of therapy at different points in this cascade:</w:t>
      </w:r>
    </w:p>
    <w:p>
      <w:pPr>
        <w:spacing w:after="120" w:before="0" w:line="276" w:lineRule="auto"/>
        <w:jc w:val="both"/>
      </w:pPr>
      <w:r>
        <w:rPr>
          <w:rFonts w:ascii="Times New Roman" w:hAnsi="Times New Roman" w:cs="Times New Roman"/>
          <w:b w:val="0"/>
          <w:i w:val="0"/>
          <w:sz w:val="22"/>
        </w:rPr>
        <w:t>Triple agonists (retatrutide) and dual agonists (tirzepatide, when used for MASH) act upstream at the adipose-hepatic axis, directly reducing the visceral fat trigger.</w:t>
      </w:r>
    </w:p>
    <w:p>
      <w:pPr>
        <w:spacing w:after="120" w:before="0" w:line="276" w:lineRule="auto"/>
        <w:jc w:val="both"/>
      </w:pPr>
      <w:r>
        <w:rPr>
          <w:rFonts w:ascii="Times New Roman" w:hAnsi="Times New Roman" w:cs="Times New Roman"/>
          <w:b w:val="0"/>
          <w:i w:val="0"/>
          <w:sz w:val="22"/>
        </w:rPr>
        <w:t>Bimagrumab addresses sarcopenia — the sixth trigger — through a unique anabolic mechanism currently unavailable in any approved therapy.</w:t>
      </w:r>
    </w:p>
    <w:p>
      <w:pPr>
        <w:spacing w:after="120" w:before="0" w:line="276" w:lineRule="auto"/>
        <w:jc w:val="both"/>
      </w:pPr>
      <w:r>
        <w:rPr>
          <w:rFonts w:ascii="Times New Roman" w:hAnsi="Times New Roman" w:cs="Times New Roman"/>
          <w:b w:val="0"/>
          <w:i w:val="0"/>
          <w:sz w:val="22"/>
        </w:rPr>
        <w:t>Resmetirom targets end-organ damage (steatohepatitis) arising from chronic hepatic lipid accumulation driven by insulin resistance.</w:t>
      </w:r>
    </w:p>
    <w:p>
      <w:pPr>
        <w:spacing w:after="120" w:before="0" w:line="276" w:lineRule="auto"/>
        <w:jc w:val="both"/>
      </w:pPr>
      <w:r>
        <w:rPr>
          <w:rFonts w:ascii="Times New Roman" w:hAnsi="Times New Roman" w:cs="Times New Roman"/>
          <w:b w:val="0"/>
          <w:i w:val="0"/>
          <w:sz w:val="22"/>
        </w:rPr>
        <w:t>Semaglutide in CKD and finerenone protect the kidney against the cardiorenal consequences of prolonged HOMA-IR elevation.</w:t>
      </w:r>
    </w:p>
    <w:p>
      <w:pPr>
        <w:spacing w:after="120" w:before="0" w:line="276" w:lineRule="auto"/>
        <w:jc w:val="both"/>
      </w:pPr>
      <w:r>
        <w:rPr>
          <w:rFonts w:ascii="Times New Roman" w:hAnsi="Times New Roman" w:cs="Times New Roman"/>
          <w:b w:val="0"/>
          <w:i w:val="0"/>
          <w:sz w:val="22"/>
        </w:rPr>
        <w:t>Lp(a)-targeting agents (pelacarsen, olpasiran) address a genetically fixed risk amplifier that is disproportionately prevalent in South Asian patients.</w:t>
      </w:r>
    </w:p>
    <w:p>
      <w:pPr>
        <w:spacing w:after="120" w:before="0" w:line="276" w:lineRule="auto"/>
        <w:jc w:val="both"/>
      </w:pPr>
      <w:r>
        <w:rPr>
          <w:rFonts w:ascii="Times New Roman" w:hAnsi="Times New Roman" w:cs="Times New Roman"/>
          <w:b w:val="0"/>
          <w:i w:val="0"/>
          <w:sz w:val="22"/>
        </w:rPr>
        <w:t>Ziltivekimab addresses the chronic inflammatory milieu — IL-6 excess — that links visceral adiposity to both beta cell toxicity and vascular damage.</w:t>
      </w:r>
    </w:p>
    <w:p>
      <w:pPr>
        <w:spacing w:after="120" w:before="0" w:line="276" w:lineRule="auto"/>
        <w:jc w:val="both"/>
      </w:pPr>
      <w:r>
        <w:rPr>
          <w:rFonts w:ascii="Times New Roman" w:hAnsi="Times New Roman" w:cs="Times New Roman"/>
          <w:b w:val="0"/>
          <w:i w:val="0"/>
          <w:sz w:val="22"/>
        </w:rPr>
        <w:t>No drug in this pipeline replaces the foundational work: correcting methylcobalamin deficiency, restoring vitamin D, eliminating ultra-processed foods, and achieving sustained reductions in HOMA-IR and TyG through lifestyle modification. Pipeline drugs are the extended toolkit, not the foundation.</w:t>
      </w:r>
    </w:p>
    <w:p>
      <w:pPr>
        <w:keepNext/>
        <w:spacing w:before="240" w:after="120"/>
        <w:jc w:val="left"/>
      </w:pPr>
      <w:r>
        <w:rPr>
          <w:rFonts w:ascii="Arial" w:hAnsi="Arial" w:cs="Arial"/>
          <w:b/>
          <w:sz w:val="26"/>
        </w:rPr>
        <w:t>14.10  Conclusion</w:t>
      </w:r>
    </w:p>
    <w:p>
      <w:pPr>
        <w:spacing w:after="120" w:before="0" w:line="276" w:lineRule="auto"/>
        <w:jc w:val="both"/>
      </w:pPr>
      <w:r>
        <w:rPr>
          <w:rFonts w:ascii="Times New Roman" w:hAnsi="Times New Roman" w:cs="Times New Roman"/>
          <w:b w:val="0"/>
          <w:i w:val="0"/>
          <w:sz w:val="22"/>
        </w:rPr>
        <w:t>We stand at an inflection point in metabolic medicine. The next five years will likely bring approval of retatrutide, resmetirom availability in India, Phase 3 data on Lp(a)-targeted agents, and clearer positioning of bimagrumab in sarcopenic obesity. For the Indian clinician, two imperatives emerge: first, identify and treat the currently approved options aggressively (tirzepatide, semaglutide, finerenone) while monitoring pipeline progress; second, educate patients that emerging therapies are not available yet and not substitutes for the disciplined metabolic work that the Dr. Nehru Method demands.</w:t>
      </w:r>
    </w:p>
    <w:p>
      <w:pPr>
        <w:spacing w:after="120" w:before="0" w:line="276" w:lineRule="auto"/>
        <w:jc w:val="both"/>
      </w:pPr>
      <w:r>
        <w:rPr>
          <w:rFonts w:ascii="Times New Roman" w:hAnsi="Times New Roman" w:cs="Times New Roman"/>
          <w:b w:val="0"/>
          <w:i w:val="0"/>
          <w:sz w:val="22"/>
        </w:rPr>
        <w:t>The future belongs to precision metabolic medicine — matching the right mechanistic agent to the patient's dominant trigger profile as measured by validated biomarkers. That future is arriving faster than many physicians appreciate.</w:t>
      </w:r>
    </w:p>
    <w:p>
      <w:pPr>
        <w:keepNext/>
        <w:spacing w:before="240" w:after="120"/>
        <w:jc w:val="left"/>
      </w:pPr>
      <w:r>
        <w:rPr>
          <w:rFonts w:ascii="Arial" w:hAnsi="Arial" w:cs="Arial"/>
          <w:b/>
          <w:sz w:val="26"/>
        </w:rPr>
        <w:t>Multiple Choice Questions</w:t>
      </w:r>
    </w:p>
    <w:p>
      <w:pPr>
        <w:spacing w:after="40"/>
        <w:jc w:val="left"/>
      </w:pPr>
      <w:r>
        <w:rPr>
          <w:rFonts w:ascii="Times New Roman" w:hAnsi="Times New Roman" w:cs="Times New Roman"/>
          <w:b w:val="0"/>
          <w:sz w:val="22"/>
        </w:rPr>
        <w:t>Q1. Retatrutide is best described as:</w:t>
      </w:r>
    </w:p>
    <w:p>
      <w:pPr>
        <w:spacing w:after="20"/>
        <w:ind w:left="432"/>
      </w:pPr>
      <w:r>
        <w:rPr>
          <w:rFonts w:ascii="Times New Roman" w:hAnsi="Times New Roman" w:cs="Times New Roman"/>
          <w:sz w:val="22"/>
        </w:rPr>
        <w:t>a) A GLP-1 receptor agonist identical in mechanism to semaglutide</w:t>
      </w:r>
    </w:p>
    <w:p>
      <w:pPr>
        <w:spacing w:after="20"/>
        <w:ind w:left="432"/>
      </w:pPr>
      <w:r>
        <w:rPr>
          <w:rFonts w:ascii="Times New Roman" w:hAnsi="Times New Roman" w:cs="Times New Roman"/>
          <w:sz w:val="22"/>
        </w:rPr>
        <w:t>b) A dual GIP/GLP-1 receptor agonist with hepatic selectivity</w:t>
      </w:r>
    </w:p>
    <w:p>
      <w:pPr>
        <w:spacing w:after="20"/>
        <w:ind w:left="432"/>
      </w:pPr>
      <w:r>
        <w:rPr>
          <w:rFonts w:ascii="Times New Roman" w:hAnsi="Times New Roman" w:cs="Times New Roman"/>
          <w:sz w:val="22"/>
        </w:rPr>
        <w:t>c) A triple receptor agonist acting on GIP, GLP-1, and glucagon receptors</w:t>
      </w:r>
    </w:p>
    <w:p>
      <w:pPr>
        <w:spacing w:after="20"/>
        <w:ind w:left="432"/>
      </w:pPr>
      <w:r>
        <w:rPr>
          <w:rFonts w:ascii="Times New Roman" w:hAnsi="Times New Roman" w:cs="Times New Roman"/>
          <w:sz w:val="22"/>
        </w:rPr>
        <w:t>d) An antisense oligonucleotide targeting apolipoprotein B</w:t>
      </w:r>
    </w:p>
    <w:p>
      <w:pPr>
        <w:spacing w:after="40"/>
        <w:jc w:val="left"/>
      </w:pPr>
      <w:r>
        <w:rPr>
          <w:rFonts w:ascii="Times New Roman" w:hAnsi="Times New Roman" w:cs="Times New Roman"/>
          <w:b w:val="0"/>
          <w:sz w:val="22"/>
        </w:rPr>
        <w:t>Q2. In the OASIS-1 trial (Knop et al., Lancet 2023), oral semaglutide 50 mg achieved what mean body weight reduction over 68 weeks?</w:t>
      </w:r>
    </w:p>
    <w:p>
      <w:pPr>
        <w:spacing w:after="20"/>
        <w:ind w:left="432"/>
      </w:pPr>
      <w:r>
        <w:rPr>
          <w:rFonts w:ascii="Times New Roman" w:hAnsi="Times New Roman" w:cs="Times New Roman"/>
          <w:sz w:val="22"/>
        </w:rPr>
        <w:t>a) 8.2%</w:t>
      </w:r>
    </w:p>
    <w:p>
      <w:pPr>
        <w:spacing w:after="20"/>
        <w:ind w:left="432"/>
      </w:pPr>
      <w:r>
        <w:rPr>
          <w:rFonts w:ascii="Times New Roman" w:hAnsi="Times New Roman" w:cs="Times New Roman"/>
          <w:sz w:val="22"/>
        </w:rPr>
        <w:t>b) 10.5%</w:t>
      </w:r>
    </w:p>
    <w:p>
      <w:pPr>
        <w:spacing w:after="20"/>
        <w:ind w:left="432"/>
      </w:pPr>
      <w:r>
        <w:rPr>
          <w:rFonts w:ascii="Times New Roman" w:hAnsi="Times New Roman" w:cs="Times New Roman"/>
          <w:sz w:val="22"/>
        </w:rPr>
        <w:t>c) 15.1%</w:t>
      </w:r>
    </w:p>
    <w:p>
      <w:pPr>
        <w:spacing w:after="20"/>
        <w:ind w:left="432"/>
      </w:pPr>
      <w:r>
        <w:rPr>
          <w:rFonts w:ascii="Times New Roman" w:hAnsi="Times New Roman" w:cs="Times New Roman"/>
          <w:sz w:val="22"/>
        </w:rPr>
        <w:t>d) 22.4%</w:t>
      </w:r>
    </w:p>
    <w:p>
      <w:pPr>
        <w:spacing w:after="40"/>
        <w:jc w:val="left"/>
      </w:pPr>
      <w:r>
        <w:rPr>
          <w:rFonts w:ascii="Times New Roman" w:hAnsi="Times New Roman" w:cs="Times New Roman"/>
          <w:b w:val="0"/>
          <w:sz w:val="22"/>
        </w:rPr>
        <w:t>Q3. The unique body composition finding with bimagrumab in the Heymsfield et al. JAMA Network Open 2021 trial was:</w:t>
      </w:r>
    </w:p>
    <w:p>
      <w:pPr>
        <w:spacing w:after="20"/>
        <w:ind w:left="432"/>
      </w:pPr>
      <w:r>
        <w:rPr>
          <w:rFonts w:ascii="Times New Roman" w:hAnsi="Times New Roman" w:cs="Times New Roman"/>
          <w:sz w:val="22"/>
        </w:rPr>
        <w:t>a) Loss of fat mass only, with no change in lean mass</w:t>
      </w:r>
    </w:p>
    <w:p>
      <w:pPr>
        <w:spacing w:after="20"/>
        <w:ind w:left="432"/>
      </w:pPr>
      <w:r>
        <w:rPr>
          <w:rFonts w:ascii="Times New Roman" w:hAnsi="Times New Roman" w:cs="Times New Roman"/>
          <w:sz w:val="22"/>
        </w:rPr>
        <w:t>b) Simultaneous gain in lean mass (+1.7 kg) and loss of fat mass (−7.5 kg)</w:t>
      </w:r>
    </w:p>
    <w:p>
      <w:pPr>
        <w:spacing w:after="20"/>
        <w:ind w:left="432"/>
      </w:pPr>
      <w:r>
        <w:rPr>
          <w:rFonts w:ascii="Times New Roman" w:hAnsi="Times New Roman" w:cs="Times New Roman"/>
          <w:sz w:val="22"/>
        </w:rPr>
        <w:t>c) Reduction in visceral fat alone without change in subcutaneous fat</w:t>
      </w:r>
    </w:p>
    <w:p>
      <w:pPr>
        <w:spacing w:after="20"/>
        <w:ind w:left="432"/>
      </w:pPr>
      <w:r>
        <w:rPr>
          <w:rFonts w:ascii="Times New Roman" w:hAnsi="Times New Roman" w:cs="Times New Roman"/>
          <w:sz w:val="22"/>
        </w:rPr>
        <w:t>d) Improvement in HbA1c with no change in body composition</w:t>
      </w:r>
    </w:p>
    <w:p>
      <w:pPr>
        <w:spacing w:after="40"/>
        <w:jc w:val="left"/>
      </w:pPr>
      <w:r>
        <w:rPr>
          <w:rFonts w:ascii="Times New Roman" w:hAnsi="Times New Roman" w:cs="Times New Roman"/>
          <w:b w:val="0"/>
          <w:sz w:val="22"/>
        </w:rPr>
        <w:t>Q4. Resmetirom received FDA approval in March 2024 as the first approved therapy for:</w:t>
      </w:r>
    </w:p>
    <w:p>
      <w:pPr>
        <w:spacing w:after="20"/>
        <w:ind w:left="432"/>
      </w:pPr>
      <w:r>
        <w:rPr>
          <w:rFonts w:ascii="Times New Roman" w:hAnsi="Times New Roman" w:cs="Times New Roman"/>
          <w:sz w:val="22"/>
        </w:rPr>
        <w:t>a) Non-alcoholic fatty liver disease (NAFLD) without fibrosis</w:t>
      </w:r>
    </w:p>
    <w:p>
      <w:pPr>
        <w:spacing w:after="20"/>
        <w:ind w:left="432"/>
      </w:pPr>
      <w:r>
        <w:rPr>
          <w:rFonts w:ascii="Times New Roman" w:hAnsi="Times New Roman" w:cs="Times New Roman"/>
          <w:sz w:val="22"/>
        </w:rPr>
        <w:t>b) Cirrhosis secondary to alcohol-related liver disease</w:t>
      </w:r>
    </w:p>
    <w:p>
      <w:pPr>
        <w:spacing w:after="20"/>
        <w:ind w:left="432"/>
      </w:pPr>
      <w:r>
        <w:rPr>
          <w:rFonts w:ascii="Times New Roman" w:hAnsi="Times New Roman" w:cs="Times New Roman"/>
          <w:sz w:val="22"/>
        </w:rPr>
        <w:t>c) Metabolic dysfunction-associated steatohepatitis (MASH) with hepatic fibrosis</w:t>
      </w:r>
    </w:p>
    <w:p>
      <w:pPr>
        <w:spacing w:after="20"/>
        <w:ind w:left="432"/>
      </w:pPr>
      <w:r>
        <w:rPr>
          <w:rFonts w:ascii="Times New Roman" w:hAnsi="Times New Roman" w:cs="Times New Roman"/>
          <w:sz w:val="22"/>
        </w:rPr>
        <w:t>d) Primary biliary cholangitis</w:t>
      </w:r>
    </w:p>
    <w:p>
      <w:pPr>
        <w:spacing w:after="40"/>
        <w:jc w:val="left"/>
      </w:pPr>
      <w:r>
        <w:rPr>
          <w:rFonts w:ascii="Times New Roman" w:hAnsi="Times New Roman" w:cs="Times New Roman"/>
          <w:b w:val="0"/>
          <w:sz w:val="22"/>
        </w:rPr>
        <w:t>Q5. The FLOW trial (Perkovic et al., NEJM 2024) demonstrated that semaglutide:</w:t>
      </w:r>
    </w:p>
    <w:p>
      <w:pPr>
        <w:spacing w:after="20"/>
        <w:ind w:left="432"/>
      </w:pPr>
      <w:r>
        <w:rPr>
          <w:rFonts w:ascii="Times New Roman" w:hAnsi="Times New Roman" w:cs="Times New Roman"/>
          <w:sz w:val="22"/>
        </w:rPr>
        <w:t>a) Reduced major kidney events by 24% in patients with T2DM and CKD</w:t>
      </w:r>
    </w:p>
    <w:p>
      <w:pPr>
        <w:spacing w:after="20"/>
        <w:ind w:left="432"/>
      </w:pPr>
      <w:r>
        <w:rPr>
          <w:rFonts w:ascii="Times New Roman" w:hAnsi="Times New Roman" w:cs="Times New Roman"/>
          <w:sz w:val="22"/>
        </w:rPr>
        <w:t>b) Was inferior to empagliflozin for kidney protection</w:t>
      </w:r>
    </w:p>
    <w:p>
      <w:pPr>
        <w:spacing w:after="20"/>
        <w:ind w:left="432"/>
      </w:pPr>
      <w:r>
        <w:rPr>
          <w:rFonts w:ascii="Times New Roman" w:hAnsi="Times New Roman" w:cs="Times New Roman"/>
          <w:sz w:val="22"/>
        </w:rPr>
        <w:t>c) Improved eGFR without reducing proteinuria</w:t>
      </w:r>
    </w:p>
    <w:p>
      <w:pPr>
        <w:spacing w:after="20"/>
        <w:ind w:left="432"/>
      </w:pPr>
      <w:r>
        <w:rPr>
          <w:rFonts w:ascii="Times New Roman" w:hAnsi="Times New Roman" w:cs="Times New Roman"/>
          <w:sz w:val="22"/>
        </w:rPr>
        <w:t>d) Was effective only in CKD stages 4–5</w:t>
      </w:r>
    </w:p>
    <w:p>
      <w:pPr>
        <w:spacing w:after="40"/>
        <w:jc w:val="left"/>
      </w:pPr>
      <w:r>
        <w:rPr>
          <w:rFonts w:ascii="Times New Roman" w:hAnsi="Times New Roman" w:cs="Times New Roman"/>
          <w:b w:val="0"/>
          <w:sz w:val="22"/>
        </w:rPr>
        <w:t>Q6. Which of the following drugs is currently approved and available in India for diabetic chronic kidney disease?</w:t>
      </w:r>
    </w:p>
    <w:p>
      <w:pPr>
        <w:spacing w:after="20"/>
        <w:ind w:left="432"/>
      </w:pPr>
      <w:r>
        <w:rPr>
          <w:rFonts w:ascii="Times New Roman" w:hAnsi="Times New Roman" w:cs="Times New Roman"/>
          <w:sz w:val="22"/>
        </w:rPr>
        <w:t>a) Bimagrumab</w:t>
      </w:r>
    </w:p>
    <w:p>
      <w:pPr>
        <w:spacing w:after="20"/>
        <w:ind w:left="432"/>
      </w:pPr>
      <w:r>
        <w:rPr>
          <w:rFonts w:ascii="Times New Roman" w:hAnsi="Times New Roman" w:cs="Times New Roman"/>
          <w:sz w:val="22"/>
        </w:rPr>
        <w:t>b) Resmetirom</w:t>
      </w:r>
    </w:p>
    <w:p>
      <w:pPr>
        <w:spacing w:after="20"/>
        <w:ind w:left="432"/>
      </w:pPr>
      <w:r>
        <w:rPr>
          <w:rFonts w:ascii="Times New Roman" w:hAnsi="Times New Roman" w:cs="Times New Roman"/>
          <w:sz w:val="22"/>
        </w:rPr>
        <w:t>c) Finerenone</w:t>
      </w:r>
    </w:p>
    <w:p>
      <w:pPr>
        <w:spacing w:after="20"/>
        <w:ind w:left="432"/>
      </w:pPr>
      <w:r>
        <w:rPr>
          <w:rFonts w:ascii="Times New Roman" w:hAnsi="Times New Roman" w:cs="Times New Roman"/>
          <w:sz w:val="22"/>
        </w:rPr>
        <w:t>d) Pelacarsen</w:t>
      </w:r>
    </w:p>
    <w:p>
      <w:pPr>
        <w:spacing w:after="40"/>
        <w:jc w:val="left"/>
      </w:pPr>
      <w:r>
        <w:rPr>
          <w:rFonts w:ascii="Times New Roman" w:hAnsi="Times New Roman" w:cs="Times New Roman"/>
          <w:b w:val="0"/>
          <w:sz w:val="22"/>
        </w:rPr>
        <w:t>Q7. Pelacarsen reduces Lp(a) by which mechanism?</w:t>
      </w:r>
    </w:p>
    <w:p>
      <w:pPr>
        <w:spacing w:after="20"/>
        <w:ind w:left="432"/>
      </w:pPr>
      <w:r>
        <w:rPr>
          <w:rFonts w:ascii="Times New Roman" w:hAnsi="Times New Roman" w:cs="Times New Roman"/>
          <w:sz w:val="22"/>
        </w:rPr>
        <w:t>a) Inhibiting PCSK9-mediated LDL receptor degradation</w:t>
      </w:r>
    </w:p>
    <w:p>
      <w:pPr>
        <w:spacing w:after="20"/>
        <w:ind w:left="432"/>
      </w:pPr>
      <w:r>
        <w:rPr>
          <w:rFonts w:ascii="Times New Roman" w:hAnsi="Times New Roman" w:cs="Times New Roman"/>
          <w:sz w:val="22"/>
        </w:rPr>
        <w:t>b) Blocking apolipoprotein(a) mRNA using antisense oligonucleotide technology</w:t>
      </w:r>
    </w:p>
    <w:p>
      <w:pPr>
        <w:spacing w:after="20"/>
        <w:ind w:left="432"/>
      </w:pPr>
      <w:r>
        <w:rPr>
          <w:rFonts w:ascii="Times New Roman" w:hAnsi="Times New Roman" w:cs="Times New Roman"/>
          <w:sz w:val="22"/>
        </w:rPr>
        <w:t>c) Activating LPL-mediated triglyceride hydrolysis</w:t>
      </w:r>
    </w:p>
    <w:p>
      <w:pPr>
        <w:spacing w:after="20"/>
        <w:ind w:left="432"/>
      </w:pPr>
      <w:r>
        <w:rPr>
          <w:rFonts w:ascii="Times New Roman" w:hAnsi="Times New Roman" w:cs="Times New Roman"/>
          <w:sz w:val="22"/>
        </w:rPr>
        <w:t>d) Upregulating hepatic LDL receptors via THR-beta activation</w:t>
      </w:r>
    </w:p>
    <w:p>
      <w:pPr>
        <w:spacing w:after="40"/>
        <w:jc w:val="left"/>
      </w:pPr>
      <w:r>
        <w:rPr>
          <w:rFonts w:ascii="Times New Roman" w:hAnsi="Times New Roman" w:cs="Times New Roman"/>
          <w:b w:val="0"/>
          <w:sz w:val="22"/>
        </w:rPr>
        <w:t>Q8. Olpasiran differs from pelacarsen in that it:</w:t>
      </w:r>
    </w:p>
    <w:p>
      <w:pPr>
        <w:spacing w:after="20"/>
        <w:ind w:left="432"/>
      </w:pPr>
      <w:r>
        <w:rPr>
          <w:rFonts w:ascii="Times New Roman" w:hAnsi="Times New Roman" w:cs="Times New Roman"/>
          <w:sz w:val="22"/>
        </w:rPr>
        <w:t>a) Acts at the protein level by blocking Lp(a) receptor binding</w:t>
      </w:r>
    </w:p>
    <w:p>
      <w:pPr>
        <w:spacing w:after="20"/>
        <w:ind w:left="432"/>
      </w:pPr>
      <w:r>
        <w:rPr>
          <w:rFonts w:ascii="Times New Roman" w:hAnsi="Times New Roman" w:cs="Times New Roman"/>
          <w:sz w:val="22"/>
        </w:rPr>
        <w:t>b) Is an siRNA agent delivered via GalNAc conjugate achieving &gt;95% Lp(a) reduction</w:t>
      </w:r>
    </w:p>
    <w:p>
      <w:pPr>
        <w:spacing w:after="20"/>
        <w:ind w:left="432"/>
      </w:pPr>
      <w:r>
        <w:rPr>
          <w:rFonts w:ascii="Times New Roman" w:hAnsi="Times New Roman" w:cs="Times New Roman"/>
          <w:sz w:val="22"/>
        </w:rPr>
        <w:t>c) Is an oral medication requiring daily dosing</w:t>
      </w:r>
    </w:p>
    <w:p>
      <w:pPr>
        <w:spacing w:after="20"/>
        <w:ind w:left="432"/>
      </w:pPr>
      <w:r>
        <w:rPr>
          <w:rFonts w:ascii="Times New Roman" w:hAnsi="Times New Roman" w:cs="Times New Roman"/>
          <w:sz w:val="22"/>
        </w:rPr>
        <w:t>d) Has completed Phase 3 trials and is now FDA approved</w:t>
      </w:r>
    </w:p>
    <w:p>
      <w:pPr>
        <w:spacing w:after="40"/>
        <w:jc w:val="left"/>
      </w:pPr>
      <w:r>
        <w:rPr>
          <w:rFonts w:ascii="Times New Roman" w:hAnsi="Times New Roman" w:cs="Times New Roman"/>
          <w:b w:val="0"/>
          <w:sz w:val="22"/>
        </w:rPr>
        <w:t>Q9. In the Dr. Nehru Method framework, bimagrumab would address which of the eight metabolic triggers?</w:t>
      </w:r>
    </w:p>
    <w:p>
      <w:pPr>
        <w:spacing w:after="20"/>
        <w:ind w:left="432"/>
      </w:pPr>
      <w:r>
        <w:rPr>
          <w:rFonts w:ascii="Times New Roman" w:hAnsi="Times New Roman" w:cs="Times New Roman"/>
          <w:sz w:val="22"/>
        </w:rPr>
        <w:t>a) High glycaemic index carbohydrate load</w:t>
      </w:r>
    </w:p>
    <w:p>
      <w:pPr>
        <w:spacing w:after="20"/>
        <w:ind w:left="432"/>
      </w:pPr>
      <w:r>
        <w:rPr>
          <w:rFonts w:ascii="Times New Roman" w:hAnsi="Times New Roman" w:cs="Times New Roman"/>
          <w:sz w:val="22"/>
        </w:rPr>
        <w:t>b) MTHFR C677T polymorphism</w:t>
      </w:r>
    </w:p>
    <w:p>
      <w:pPr>
        <w:spacing w:after="20"/>
        <w:ind w:left="432"/>
      </w:pPr>
      <w:r>
        <w:rPr>
          <w:rFonts w:ascii="Times New Roman" w:hAnsi="Times New Roman" w:cs="Times New Roman"/>
          <w:sz w:val="22"/>
        </w:rPr>
        <w:t>c) Sarcopenia</w:t>
      </w:r>
    </w:p>
    <w:p>
      <w:pPr>
        <w:spacing w:after="20"/>
        <w:ind w:left="432"/>
      </w:pPr>
      <w:r>
        <w:rPr>
          <w:rFonts w:ascii="Times New Roman" w:hAnsi="Times New Roman" w:cs="Times New Roman"/>
          <w:sz w:val="22"/>
        </w:rPr>
        <w:t>d) Vitamin D deficiency</w:t>
      </w:r>
    </w:p>
    <w:p>
      <w:pPr>
        <w:spacing w:after="40"/>
        <w:jc w:val="left"/>
      </w:pPr>
      <w:r>
        <w:rPr>
          <w:rFonts w:ascii="Times New Roman" w:hAnsi="Times New Roman" w:cs="Times New Roman"/>
          <w:b w:val="0"/>
          <w:sz w:val="22"/>
        </w:rPr>
        <w:t>Q10. The India-validated cutoff for HOMA-IR indicating insulin resistance, as published by Nehru MS et al. in Int J Med 2026, is:</w:t>
      </w:r>
    </w:p>
    <w:p>
      <w:pPr>
        <w:spacing w:after="20"/>
        <w:ind w:left="432"/>
      </w:pPr>
      <w:r>
        <w:rPr>
          <w:rFonts w:ascii="Times New Roman" w:hAnsi="Times New Roman" w:cs="Times New Roman"/>
          <w:sz w:val="22"/>
        </w:rPr>
        <w:t>a) &gt;1.5</w:t>
      </w:r>
    </w:p>
    <w:p>
      <w:pPr>
        <w:spacing w:after="20"/>
        <w:ind w:left="432"/>
      </w:pPr>
      <w:r>
        <w:rPr>
          <w:rFonts w:ascii="Times New Roman" w:hAnsi="Times New Roman" w:cs="Times New Roman"/>
          <w:sz w:val="22"/>
        </w:rPr>
        <w:t>b) &gt;2.0</w:t>
      </w:r>
    </w:p>
    <w:p>
      <w:pPr>
        <w:spacing w:after="20"/>
        <w:ind w:left="432"/>
      </w:pPr>
      <w:r>
        <w:rPr>
          <w:rFonts w:ascii="Times New Roman" w:hAnsi="Times New Roman" w:cs="Times New Roman"/>
          <w:sz w:val="22"/>
        </w:rPr>
        <w:t>c) &gt;2.3</w:t>
      </w:r>
    </w:p>
    <w:p>
      <w:pPr>
        <w:spacing w:after="20"/>
        <w:ind w:left="432"/>
      </w:pPr>
      <w:r>
        <w:rPr>
          <w:rFonts w:ascii="Times New Roman" w:hAnsi="Times New Roman" w:cs="Times New Roman"/>
          <w:sz w:val="22"/>
        </w:rPr>
        <w:t>d) &gt;3.0</w:t>
      </w:r>
    </w:p>
    <w:p>
      <w:pPr>
        <w:spacing w:before="160"/>
      </w:pPr>
      <w:r>
        <w:rPr>
          <w:rFonts w:ascii="Times New Roman" w:hAnsi="Times New Roman" w:cs="Times New Roman"/>
          <w:b/>
          <w:sz w:val="20"/>
        </w:rPr>
        <w:t xml:space="preserve">Answers: </w:t>
      </w:r>
      <w:r>
        <w:rPr>
          <w:rFonts w:ascii="Times New Roman" w:hAnsi="Times New Roman" w:cs="Times New Roman"/>
          <w:sz w:val="20"/>
        </w:rPr>
        <w:t>1. C  2. C  3. B  4. C  5. A  6. C  7. B  8. B  9. C  10. C</w:t>
      </w:r>
    </w:p>
    <w:p>
      <w:pPr>
        <w:keepNext/>
        <w:spacing w:before="240" w:after="120"/>
        <w:jc w:val="left"/>
      </w:pPr>
      <w:r>
        <w:rPr>
          <w:rFonts w:ascii="Arial" w:hAnsi="Arial" w:cs="Arial"/>
          <w:b/>
          <w:sz w:val="26"/>
        </w:rPr>
        <w:t>References</w:t>
      </w:r>
    </w:p>
    <w:p>
      <w:pPr>
        <w:spacing w:after="40"/>
        <w:jc w:val="left"/>
      </w:pPr>
      <w:r>
        <w:rPr>
          <w:rFonts w:ascii="Times New Roman" w:hAnsi="Times New Roman" w:cs="Times New Roman"/>
          <w:sz w:val="19"/>
        </w:rPr>
        <w:t>Nehru MS, Sathyanarayana EV, et al. India-specific HOMA-IR cutoff for insulin resistance: a validation study. Int J Med. 2026;8(2):977–983. DOI: 10.61336/im/26-2-12.</w:t>
      </w:r>
    </w:p>
    <w:p>
      <w:pPr>
        <w:spacing w:after="40"/>
        <w:jc w:val="left"/>
      </w:pPr>
      <w:r>
        <w:rPr>
          <w:rFonts w:ascii="Times New Roman" w:hAnsi="Times New Roman" w:cs="Times New Roman"/>
          <w:sz w:val="19"/>
        </w:rPr>
        <w:t>Nehru MS, et al. TyG Index on natural logarithm scale as a marker of insulin resistance in South Indian adults: India-specific cutoffs. IJCPR. 2026;18(2):826–833.</w:t>
      </w:r>
    </w:p>
    <w:p>
      <w:pPr>
        <w:spacing w:after="40"/>
        <w:jc w:val="left"/>
      </w:pPr>
      <w:r>
        <w:rPr>
          <w:rFonts w:ascii="Times New Roman" w:hAnsi="Times New Roman" w:cs="Times New Roman"/>
          <w:sz w:val="19"/>
        </w:rPr>
        <w:t>Jastreboff AM, Kaplan LM, Frías JP, et al. Triple-hormone-receptor agonist retatrutide for obesity — a phase 2 trial. N Engl J Med. 2023;389(6):514–526.</w:t>
      </w:r>
    </w:p>
    <w:p>
      <w:pPr>
        <w:spacing w:after="40"/>
        <w:jc w:val="left"/>
      </w:pPr>
      <w:r>
        <w:rPr>
          <w:rFonts w:ascii="Times New Roman" w:hAnsi="Times New Roman" w:cs="Times New Roman"/>
          <w:sz w:val="19"/>
        </w:rPr>
        <w:t>Knop FK, Aroda VR, do Vale RD, et al. Oral semaglutide 50 mg taken once per day in adults with overweight or obesity (OASIS 1): a randomised, double-blind, placebo-controlled, phase 3 trial. Lancet. 2023;402(10402):705–719.</w:t>
      </w:r>
    </w:p>
    <w:p>
      <w:pPr>
        <w:spacing w:after="40"/>
        <w:jc w:val="left"/>
      </w:pPr>
      <w:r>
        <w:rPr>
          <w:rFonts w:ascii="Times New Roman" w:hAnsi="Times New Roman" w:cs="Times New Roman"/>
          <w:sz w:val="19"/>
        </w:rPr>
        <w:t>Harrison SA, Bedossa P, Guy CD, et al. A phase 3, randomized, controlled trial of resmetirom in NASH with liver fibrosis (MAESTRO-NASH). N Engl J Med. 2024;390(6):497–509.</w:t>
      </w:r>
    </w:p>
    <w:p>
      <w:pPr>
        <w:spacing w:after="40"/>
        <w:jc w:val="left"/>
      </w:pPr>
      <w:r>
        <w:rPr>
          <w:rFonts w:ascii="Times New Roman" w:hAnsi="Times New Roman" w:cs="Times New Roman"/>
          <w:sz w:val="19"/>
        </w:rPr>
        <w:t>Loomba R, Hartman ML, Lawitz EJ, et al. Tirzepatide for metabolic dysfunction-associated steatohepatitis with liver fibrosis (SYNERGY-NASH). N Engl J Med. 2024;391(4):299–310.</w:t>
      </w:r>
    </w:p>
    <w:p>
      <w:pPr>
        <w:spacing w:after="40"/>
        <w:jc w:val="left"/>
      </w:pPr>
      <w:r>
        <w:rPr>
          <w:rFonts w:ascii="Times New Roman" w:hAnsi="Times New Roman" w:cs="Times New Roman"/>
          <w:sz w:val="19"/>
        </w:rPr>
        <w:t>Heymsfield SB, Coleman LA, Miller R, et al. Effect of bimagrumab vs placebo on body fat mass among adults with type 2 diabetes and obesity: a phase 2 randomized clinical trial. JAMA Netw Open. 2021;4(1):e2033457.</w:t>
      </w:r>
    </w:p>
    <w:p>
      <w:pPr>
        <w:spacing w:after="40"/>
        <w:jc w:val="left"/>
      </w:pPr>
      <w:r>
        <w:rPr>
          <w:rFonts w:ascii="Times New Roman" w:hAnsi="Times New Roman" w:cs="Times New Roman"/>
          <w:sz w:val="19"/>
        </w:rPr>
        <w:t>Perkovic V, Tuttle KR, Rossing P, et al. Effects of semaglutide on chronic kidney disease in patients with type 2 diabetes (FLOW). N Engl J Med. 2024;391(2):109–121.</w:t>
      </w:r>
    </w:p>
    <w:p>
      <w:pPr>
        <w:spacing w:after="40"/>
        <w:jc w:val="left"/>
      </w:pPr>
      <w:r>
        <w:rPr>
          <w:rFonts w:ascii="Times New Roman" w:hAnsi="Times New Roman" w:cs="Times New Roman"/>
          <w:sz w:val="19"/>
        </w:rPr>
        <w:t>Bakris GL, Agarwal R, Anker SD, et al. Effect of finerenone on chronic kidney disease outcomes in type 2 diabetes (FIDELIO-DKD). N Engl J Med. 2020;383(23):2219–2229.</w:t>
      </w:r>
    </w:p>
    <w:p>
      <w:pPr>
        <w:spacing w:after="40"/>
        <w:jc w:val="left"/>
      </w:pPr>
      <w:r>
        <w:rPr>
          <w:rFonts w:ascii="Times New Roman" w:hAnsi="Times New Roman" w:cs="Times New Roman"/>
          <w:sz w:val="19"/>
        </w:rPr>
        <w:t>Tsimikas S, Karwatowska-Prokopczuk E, Gouni-Berthold I, et al. Inclisiran for the treatment of heterozygous familial hypercholesterolaemia. N Engl J Med. 2020;382(16):1520–1530. [Pelacarsen: Tsimikas S et al. N Engl J Med 2020;382:244–255.]</w:t>
      </w:r>
    </w:p>
    <w:p>
      <w:pPr>
        <w:spacing w:after="40"/>
        <w:jc w:val="left"/>
      </w:pPr>
      <w:r>
        <w:rPr>
          <w:rFonts w:ascii="Times New Roman" w:hAnsi="Times New Roman" w:cs="Times New Roman"/>
          <w:sz w:val="19"/>
        </w:rPr>
        <w:t>O'Donoghue ML, Rosenson RS, Gencer B, et al. Small interfering RNA to reduce lipoprotein(a) in cardiovascular disease (OCEAN[a]-DOSE). N Engl J Med. 2022;387(20):1855–1864.</w:t>
      </w:r>
    </w:p>
    <w:p>
      <w:pPr>
        <w:spacing w:after="40"/>
        <w:jc w:val="left"/>
      </w:pPr>
      <w:r>
        <w:rPr>
          <w:rFonts w:ascii="Times New Roman" w:hAnsi="Times New Roman" w:cs="Times New Roman"/>
          <w:sz w:val="19"/>
        </w:rPr>
        <w:t>Ridker PM, Bhatt DL, Pradhan AD, et al. Inflammation and cholesterol as predictors of cardiovascular events among patients receiving statin therapy: a collaborative analysis of three randomised trials. Lancet. 2021;397(10286):1786–1789. [Ziltivekimab RESCUE: Ridker PM et al. Lancet 2021;397:2060–2069.]</w:t>
      </w:r>
    </w:p>
    <w:sectPr w:rsidR="00FC693F" w:rsidRPr="0006063C" w:rsidSect="00034616">
      <w:footerReference w:type="default" r:id="rId9"/>
      <w:footerReference w:type="even" r:id="rId10"/>
      <w:pgSz w:w="8640" w:h="12960"/>
      <w:pgMar w:top="1080" w:right="720" w:bottom="1080" w:left="108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