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Senzing Coverage Assessment</w:t>
      </w:r>
    </w:p>
    <w:p>
      <w:pPr>
        <w:spacing w:after="120" w:before="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PE / Wire-House Team Golden Record Pipeline  ·  19 Rules across 5 Phases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document maps each of the 19 matching rules in the Team Golden Record pipeline to Senzing's native engine capabilities. Rules are assessed against Senzing v3/v4 using the principle-based entity resolution model and g2config.json configuration. Coverage is classified into four tiers: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g2config.json only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~ Partial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Needs custom feature/config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⚙ Custom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 comparator plugin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App-layer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Outside Senzing entirely</w:t>
            </w:r>
          </w:p>
        </w:tc>
      </w:tr>
    </w:tbl>
    <w:p>
      <w:pPr>
        <w:spacing w:after="80" w:before="12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aps/>
          <w:color w:val="64748B"/>
          <w:sz w:val="20"/>
          <w:szCs w:val="20"/>
        </w:rPr>
        <w:t xml:space="preserve">SUMMARY SCORECARD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vAlign w:val="top"/>
          </w:tcPr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52"/>
                <w:szCs w:val="52"/>
              </w:rPr>
              <w:t xml:space="preserve">10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Native via g2config.json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vAlign w:val="top"/>
          </w:tcPr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D4ED8"/>
                <w:sz w:val="19"/>
                <w:szCs w:val="19"/>
              </w:rPr>
              <w:t xml:space="preserve">Partial / custom feature type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vAlign w:val="top"/>
          </w:tcPr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Custom comparator required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vAlign w:val="top"/>
          </w:tcPr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991B1B"/>
                <w:sz w:val="19"/>
                <w:szCs w:val="19"/>
              </w:rPr>
              <w:t xml:space="preserve">App-layer only</w:t>
            </w:r>
          </w:p>
        </w:tc>
      </w:tr>
    </w:tbl>
    <w:p>
      <w:pPr>
        <w:spacing w:after="80" w:before="20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64748B"/>
          <w:sz w:val="20"/>
          <w:szCs w:val="20"/>
        </w:rPr>
        <w:t xml:space="preserve">RULE-BY-RULE ASSESSMENT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100"/>
        <w:gridCol w:w="5380"/>
        <w:gridCol w:w="19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Senzing Mechanism / Config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Phase 1 — Deterministic Auto-Link  (D-1 → D-4)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D-1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Exact CRD match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Map CRD as custom IDENTIFIER feature type (e.g. CRD_NUMBER) with EXCLUSIVE behavior (F1E). Senzing auto-links on matching exclusive IDs and blocks resolution when they differ.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Config: add feature type CRD_NUMBER, behavior F1E (frequency-1, exclusive), register under org/person entity type in g2config.json.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D-2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Exact email match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EMAIL_ADDRESS is a built-in Senzing feature. The out-of-the-box comparator handles domain + local-part normalization. EXCLUSIVE behavior breaks on mismatch.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Zero config needed beyond mapping your source field name to the EMAIL_ADDRESS element in the data mapping JSON.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D-3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Exact phone match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PHONE_NUMBER is a built-in feature with full normalization (strips +1, dashes, parentheses). Extension variants are handled by the phone comparator; toll-free generic numbers are auto-suppressed.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Map source field to PHONE_NUMBER. Senzing's generic-value suppressor automatically ignores numbers shared by hundreds of entities.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D-4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Vendor cross-ID match (Bloomberg TID / Discovery ID)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two custom IDENTIFIER feature types: BLOOMBERG_TID and DISCOVERY_ID with EXCLUSIVE behavior. Exact cross-source ID match triggers resolution; mismatch triggers hard block — no scoring logic needed.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Add feature definitions to g2config.json. Senzing treats exclusive-identifier matches as automatic resolution triggers.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Phase 2 — Probabilistic Scoring  (P-1 → P-7)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P-1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Team name similarity (Jaro-Winkler / token-set ratio)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Maps to NAME_ORG feature. Senzing's org-name comparator natively handles abbreviations (Mgmt ↔ Management), ampersand forms, and common entity suffixes (LLC, LP, Inc).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Partial gap: PE/wire-house financial shorthand ('Capital' ↔ 'Cap', 'Partners' ↔ 'Ptrs') must be added to the org-name comparator nickname table in g2config.json.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~ Partial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P-2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Manager name similarity (first + last)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Maps to NAME_FULL / NAME_FIRST + NAME_LAST. Senzing's world-class name comparator handles nicknames (Rob/Robert), phonetic variants, initials, and transpositions out of the box.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Finance-specific informal name aliases ('Skip', 'Chip') can be added to the built-in nickname table in cfg_fnrec / cfg_lnrec tables.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P-3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Office address / ZIP similarity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Maps to ADDR_FULL. The Senzing address comparator normalizes suite/floor variations, directionals, abbreviations (St/Street, Ave/Avenue), and scores same-building vs. same-city vs. same-ZIP.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ZIP-5 and ZIP-4 blocking keys are automatically generated by Senzing for candidate selection — no extra config required.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P-4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Email domain match (supporting signal)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Partially derivable from the EMAIL feature. Senzing assigns a 'close' score when domains match but local-parts differ.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For explicit domain-only candidate blocking, add a computed feature EMAIL_DOMAIN extracted from EMAIL using a Senzing expression feature (g2config.json cfb_ftype).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~ Partial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P-5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Firm family / parent firm grouping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 built-in hierarchical org concept. Model the parent firm as a separate entity and link team records to it via DISCLOSED_RELATIONSHIP. Relationship evidence surfaces in 'possibly related' scoring.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Requires loading parent-firm entities as first-class records. DISCLOSED_RELATIONSHIP contributes relationship-awareness but does not drive hard resolution/blocking by itself.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~ Partial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P-6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AUM range scoring (± 20% tolerance)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 native numeric-range comparator in Senzing. Requires a custom comparator plugin (Python or Java) that computes |A−B| / max(A,B) and maps the ratio to Senzing score categories: same / close / likely / plausible / not_the_same.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v4 embedding model replacement does not help here — AUM is a numeric domain, not semantic. Custom comparator is the correct path. One comparator serves both P-6 and N-4.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⚙ Custom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P-7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Member set Jaccard overlap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Senzing resolves members as separate PERSON entities and links them to team ORG entities via DISCLOSED_RELATIONSHIP, but has no native concept of '% of member sets that overlap across two org candidates.'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Must be computed externally: query resolved member clusters for each team candidate pair from the Senzing entity graph, compute Jaccard, pass back as a synthetic pre-load feature or use as a post-resolution confidence tiebreaker.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EE2E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App-layer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Phase 3 — Decision Thresholds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THR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Auto-link ≥ 0.90  /  Review 0.70–0.89  /  Reject &lt; 0.70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Senzing uses principle-based categorical decisions (RESOLVED / POSSIBLY_SAME / POSSIBLY_RELATED / NOT_SAME) rather than a continuous 0–1 composite score. Map your threshold bands to these categories.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Threshold tuning is done by adjusting which principles fire and what feature scores they require — not by changing numeric cutoffs. RESOLVED ≈ auto-link; POSSIBLY_SAME ≈ human review; POSSIBLY_RELATED / NOT_SAME ≈ reject.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~ Partial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Phase 4 — Member-Level Rules  (M-1 → M-5)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M-1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Member name + email dedup across sources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Members are loaded as PERSON entity type. Name + email resolution uses the same built-in comparators as team records. Member CRD (when available) maps to CRD_NUMBER identifier.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Same pipeline and config as team records, different entity type. No additional rules needed.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M-2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Member phone + job title dedup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PHONE_NUMBER is fully native. Job title / role has no built-in comparator — map to a custom JOB_TITLE attribute feature or a generic ATTRIBUTE feature with a keyword comparator.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Title alone should not be a resolution trigger. Use as a supporting signal in a custom principle, not a standalone identifier.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~ Partial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M-3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Ghost / phantom member detection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Senzing's generic-value suppression handles high-frequency noise identifiers, but deliberately injected phantom members (a vendor anti-scraping technique) require upstream source-flagging — Senzing has no automated ghost detection.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Flag IS_GHOST=Y in your source mapping. Add a pre-load filter to strip or quarantine ghost records before Senzing ingest. Alternatively, load ghost records to a separate data source with no cross-source resolution configured.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EE2E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App-layer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M-4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Team ↔ member relationship linking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DISCLOSED_RELATIONSHIP is the native construct for this. Load each team membership as a relationship record linking the PERSON entity to its ORG team entity.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Senzing propagates relationship awareness: if two team records share multiple resolved member entities, that shared-member evidence surfaces in the entity graph's 'possibly related' category.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M-5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Two-pass member-first clustering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Senzing naturally resolves PERSON entities independently as they are ingested. Team ORG resolution can then query already-resolved member entities in pass 2. Ordering is controlled by your load sequence.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Load all member records first, then team records. Senzing's real-time entity-centric learning loop handles incremental reevaluation automatically.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Phase 5 — Negative / Block Rules  (N-1 → N-4)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N-1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CRD mismatch → hard block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EXCLUSIVE behavior on CRD_NUMBER does exactly this. If two records carry different non-null CRD values, Senzing will never resolve them — they are classified as POSSIBLY_RELATED at most.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This is the canonical use case for EXCLUSIVE identifiers in Senzing and requires zero extra configuration beyond the CRD_NUMBER feature definition from D-1.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N-2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Firm family mismatch → block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a custom feature FIRM_FAMILY (e.g. normalized parent-firm token: 'FIDELITY', 'VANGUARD') with EXCLUSIVE behavior. Records with differing non-null FIRM_FAMILY tokens will not resolve.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Requires normalizing firm-family names to a canonical token upstream before load (e.g. 'Fidelity Investments', 'FMR LLC' → 'FIDELITY'). Add FIRM_FAMILY as an exclusive identifier feature type in g2config.json.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⚙ Custom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N-3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Already-linked records → no re-link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Senzing's entity-centric model prevents this structurally. Once two records belong to the same resolved entity, there is no re-link operation — contradictory new evidence triggers a SPLIT event instead.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 extra configuration needed. This is a core property of Senzing's entity-centric graph architecture.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N-4</w:t>
            </w:r>
          </w:p>
        </w:tc>
        <w:tc>
          <w:tcPr>
            <w:tcW w:type="dxa" w:w="21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AUM order-of-magnitude mismatch → block</w:t>
            </w:r>
          </w:p>
        </w:tc>
        <w:tc>
          <w:tcPr>
            <w:tcW w:type="dxa" w:w="5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Requires the same custom AUM comparator built for P-6. Configure that comparator to return NOT_THE_SAME when the ratio exceeds a threshold (e.g. &gt; 5×), then add a principle that treats AUM NOT_THE_SAME as a hard resolution veto.</w:t>
            </w:r>
            <w:r>
              <w:br/>
              <w:t xml:space="preserve">
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Reuse the P-6 custom comparator. One comparator plugin handles both the soft scoring (P-6) and the hard block (N-4) by varying the score category returned at different ratio thresholds.</w:t>
            </w:r>
          </w:p>
        </w:tc>
        <w:tc>
          <w:tcPr>
            <w:tcW w:type="dxa" w:w="19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⚙ Custom</w:t>
            </w:r>
          </w:p>
        </w:tc>
      </w:tr>
    </w:tbl>
    <w:p>
      <w:pPr>
        <w:spacing w:after="80" w:before="24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64748B"/>
          <w:sz w:val="20"/>
          <w:szCs w:val="20"/>
        </w:rPr>
        <w:t xml:space="preserve">IMPLEMENTATION NOTES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 Load order matters. Load all PERSON (member) records before loading ORG (team) records. Senzing resolves members independently in pass 1; team resolution in pass 2 can reference already-resolved member entities.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 AUM custom comparator. A single Python/Java plugin (~100 lines) handles both P-6 (soft scoring) and N-4 (hard block) by returning different Senzing score categories at different ratio thresholds. Register it in g2config.json as a custom comparator for the AUM feature type.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 Jaccard overlap (P-7). After Senzing resolves member entities, query the entity graph for member clusters per team candidate pair. Compute Jaccard externally and either: (a) persist it as a synthetic TEAM_OVERLAP_SCORE feature on a re-ingested team record, or (b) use it as a post-resolution confidence score to gate human review.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 Ghost members (M-3). Flag phantom records in source data before ingest. The simplest approach: load ghost records into a separate Senzing data source that is excluded from cross-source resolution rules.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 Firm-family blocking (N-2). Normalize parent firm names to canonical tokens upstream (e.g. 'Fidelity Investments', 'FMR LLC' → 'FIDELITY'). Add FIRM_FAMILY as an EXCLUSIVE identifier feature in g2config.json.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 Financial nickname table (P-1). Extend the NAME_ORG comparator configuration with PE/wire-house shorthand: Capital ↔ Cap, Partners ↔ Ptrs, Management ↔ Mgmt, Advisors ↔ Advisors / Adv, Asset Management ↔ Asset Mgmt.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2026-08-13T16:44:11.660Z</dcterms:created>
  <dcterms:modified xsi:type="dcterms:W3CDTF">2026-08-13T16:44:11.665Z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