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614EF" w14:textId="77777777" w:rsidR="0046004D" w:rsidRDefault="00000000">
      <w:pPr>
        <w:spacing w:before="1440" w:after="240"/>
      </w:pPr>
      <w:r>
        <w:rPr>
          <w:b/>
          <w:bCs/>
          <w:color w:val="1B2A4A"/>
          <w:sz w:val="56"/>
          <w:szCs w:val="56"/>
        </w:rPr>
        <w:t>A Data Model for Private Markets</w:t>
      </w:r>
    </w:p>
    <w:p w14:paraId="727DCF0A" w14:textId="77777777" w:rsidR="0046004D" w:rsidRDefault="00000000">
      <w:pPr>
        <w:spacing w:after="480"/>
      </w:pPr>
      <w:r>
        <w:rPr>
          <w:b/>
          <w:bCs/>
          <w:color w:val="C8952A"/>
          <w:sz w:val="32"/>
          <w:szCs w:val="32"/>
        </w:rPr>
        <w:t>From Opportunities to Commitments to Closes to Capital Calls and Settlement</w:t>
      </w:r>
    </w:p>
    <w:p>
      <w:pPr>
        <w:spacing w:after="480"/>
      </w:pPr>
      <w:r>
        <w:rPr>
          <w:b/>
          <w:bCs/>
          <w:color w:val="C8952A"/>
          <w:sz w:val="32"/>
          <w:szCs w:val="32"/>
        </w:rPr>
        <w:t>Product → Fund → Vehicle → Offering</w:t>
      </w:r>
    </w:p>
    <w:p w14:paraId="5F7CB801" w14:textId="77777777" w:rsidR="0046004D" w:rsidRDefault="0046004D">
      <w:pPr>
        <w:pBdr>
          <w:bottom w:val="single" w:sz="6" w:space="0" w:color="D1D9E6"/>
        </w:pBdr>
        <w:spacing w:after="160"/>
      </w:pPr>
    </w:p>
    <w:p w14:paraId="4EABE47D" w14:textId="77777777" w:rsidR="0046004D" w:rsidRDefault="00000000">
      <w:pPr>
        <w:spacing w:after="600"/>
      </w:pPr>
      <w:r>
        <w:rPr>
          <w:i/>
          <w:iCs/>
          <w:sz w:val="24"/>
          <w:szCs w:val="24"/>
        </w:rPr>
        <w:t>Design decisions, the reasoning behind them, and what breaks without them</w:t>
      </w:r>
    </w:p>
    <w:p w14:paraId="33697F5B" w14:textId="77777777" w:rsidR="0046004D" w:rsidRDefault="00000000">
      <w:pPr>
        <w:spacing w:after="960"/>
      </w:pPr>
      <w:r>
        <w:t>Working notes covering ontology, SHACL shapes, model constraints, axioms, inference, and a 95,000-triple reference 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6004D" w14:paraId="3E26B5AB" w14:textId="77777777">
        <w:tblPrEx>
          <w:tblCellMar>
            <w:top w:w="0" w:type="dxa"/>
            <w:bottom w:w="0" w:type="dxa"/>
          </w:tblCellMar>
        </w:tblPrEx>
        <w:tc>
          <w:tcPr>
            <w:tcW w:w="2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14787C5" w14:textId="77777777" w:rsidR="0046004D" w:rsidRDefault="00000000">
            <w:r>
              <w:rPr>
                <w:b/>
                <w:bCs/>
                <w:color w:val="1B2A4A"/>
                <w:sz w:val="20"/>
                <w:szCs w:val="20"/>
              </w:rPr>
              <w:t>Authors</w:t>
            </w:r>
          </w:p>
        </w:tc>
        <w:tc>
          <w:tcPr>
            <w:tcW w:w="7160" w:type="dxa"/>
            <w:tcBorders>
              <w:top w:val="single" w:sz="4" w:space="0" w:color="D1D9E6"/>
              <w:left w:val="single" w:sz="4" w:space="0" w:color="D1D9E6"/>
              <w:bottom w:val="single" w:sz="4" w:space="0" w:color="D1D9E6"/>
              <w:right w:val="single" w:sz="4" w:space="0" w:color="D1D9E6"/>
            </w:tcBorders>
            <w:tcMar>
              <w:top w:w="60" w:type="dxa"/>
              <w:left w:w="100" w:type="dxa"/>
              <w:bottom w:w="60" w:type="dxa"/>
              <w:right w:w="100" w:type="dxa"/>
            </w:tcMar>
          </w:tcPr>
          <w:p w14:paraId="603075DE" w14:textId="77777777" w:rsidR="0046004D" w:rsidRDefault="00000000">
            <w:r>
              <w:rPr>
                <w:sz w:val="20"/>
                <w:szCs w:val="20"/>
              </w:rPr>
              <w:t xml:space="preserve">Kartik Muddu and the </w:t>
            </w:r>
            <w:proofErr w:type="spellStart"/>
            <w:r>
              <w:rPr>
                <w:sz w:val="20"/>
                <w:szCs w:val="20"/>
              </w:rPr>
              <w:t>Ontollogix</w:t>
            </w:r>
            <w:proofErr w:type="spellEnd"/>
            <w:r>
              <w:rPr>
                <w:sz w:val="20"/>
                <w:szCs w:val="20"/>
              </w:rPr>
              <w:t xml:space="preserve"> Team</w:t>
            </w:r>
          </w:p>
        </w:tc>
      </w:tr>
      <w:tr w:rsidR="0046004D" w14:paraId="59CBBD22" w14:textId="77777777">
        <w:tblPrEx>
          <w:tblCellMar>
            <w:top w:w="0" w:type="dxa"/>
            <w:bottom w:w="0" w:type="dxa"/>
          </w:tblCellMar>
        </w:tblPrEx>
        <w:tc>
          <w:tcPr>
            <w:tcW w:w="2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E1429CD" w14:textId="77777777" w:rsidR="0046004D" w:rsidRDefault="00000000">
            <w:r>
              <w:rPr>
                <w:b/>
                <w:bCs/>
                <w:color w:val="1B2A4A"/>
                <w:sz w:val="20"/>
                <w:szCs w:val="20"/>
              </w:rPr>
              <w:t>Date</w:t>
            </w:r>
          </w:p>
        </w:tc>
        <w:tc>
          <w:tcPr>
            <w:tcW w:w="7160" w:type="dxa"/>
            <w:tcBorders>
              <w:top w:val="single" w:sz="4" w:space="0" w:color="D1D9E6"/>
              <w:left w:val="single" w:sz="4" w:space="0" w:color="D1D9E6"/>
              <w:bottom w:val="single" w:sz="4" w:space="0" w:color="D1D9E6"/>
              <w:right w:val="single" w:sz="4" w:space="0" w:color="D1D9E6"/>
            </w:tcBorders>
            <w:tcMar>
              <w:top w:w="60" w:type="dxa"/>
              <w:left w:w="100" w:type="dxa"/>
              <w:bottom w:w="60" w:type="dxa"/>
              <w:right w:w="100" w:type="dxa"/>
            </w:tcMar>
          </w:tcPr>
          <w:p w14:paraId="16947EA8" w14:textId="77777777" w:rsidR="0046004D" w:rsidRDefault="00000000">
            <w:r>
              <w:rPr>
                <w:sz w:val="20"/>
                <w:szCs w:val="20"/>
              </w:rPr>
              <w:t>September 2025</w:t>
            </w:r>
          </w:p>
        </w:tc>
      </w:tr>
      <w:tr w:rsidR="0046004D" w14:paraId="6A69A973" w14:textId="77777777">
        <w:tblPrEx>
          <w:tblCellMar>
            <w:top w:w="0" w:type="dxa"/>
            <w:bottom w:w="0" w:type="dxa"/>
          </w:tblCellMar>
        </w:tblPrEx>
        <w:tc>
          <w:tcPr>
            <w:tcW w:w="2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823B3D7" w14:textId="77777777" w:rsidR="0046004D" w:rsidRDefault="00000000">
            <w:r>
              <w:rPr>
                <w:b/>
                <w:bCs/>
                <w:color w:val="1B2A4A"/>
                <w:sz w:val="20"/>
                <w:szCs w:val="20"/>
              </w:rPr>
              <w:t>Version</w:t>
            </w:r>
          </w:p>
        </w:tc>
        <w:tc>
          <w:tcPr>
            <w:tcW w:w="7160" w:type="dxa"/>
            <w:tcBorders>
              <w:top w:val="single" w:sz="4" w:space="0" w:color="D1D9E6"/>
              <w:left w:val="single" w:sz="4" w:space="0" w:color="D1D9E6"/>
              <w:bottom w:val="single" w:sz="4" w:space="0" w:color="D1D9E6"/>
              <w:right w:val="single" w:sz="4" w:space="0" w:color="D1D9E6"/>
            </w:tcBorders>
            <w:tcMar>
              <w:top w:w="60" w:type="dxa"/>
              <w:left w:w="100" w:type="dxa"/>
              <w:bottom w:w="60" w:type="dxa"/>
              <w:right w:w="100" w:type="dxa"/>
            </w:tcMar>
          </w:tcPr>
          <w:p w14:paraId="0CB72DEE" w14:textId="77777777" w:rsidR="0046004D" w:rsidRDefault="00000000">
            <w:r>
              <w:rPr>
                <w:sz w:val="20"/>
                <w:szCs w:val="20"/>
              </w:rPr>
              <w:t>Working Draft</w:t>
            </w:r>
          </w:p>
        </w:tc>
      </w:tr>
      <w:tr w:rsidR="0046004D" w14:paraId="3750E9DE" w14:textId="77777777">
        <w:tblPrEx>
          <w:tblCellMar>
            <w:top w:w="0" w:type="dxa"/>
            <w:bottom w:w="0" w:type="dxa"/>
          </w:tblCellMar>
        </w:tblPrEx>
        <w:tc>
          <w:tcPr>
            <w:tcW w:w="2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2967E23" w14:textId="77777777" w:rsidR="0046004D" w:rsidRDefault="00000000">
            <w:r>
              <w:rPr>
                <w:b/>
                <w:bCs/>
                <w:color w:val="1B2A4A"/>
                <w:sz w:val="20"/>
                <w:szCs w:val="20"/>
              </w:rPr>
              <w:t>Scope</w:t>
            </w:r>
          </w:p>
        </w:tc>
        <w:tc>
          <w:tcPr>
            <w:tcW w:w="7160" w:type="dxa"/>
            <w:tcBorders>
              <w:top w:val="single" w:sz="4" w:space="0" w:color="D1D9E6"/>
              <w:left w:val="single" w:sz="4" w:space="0" w:color="D1D9E6"/>
              <w:bottom w:val="single" w:sz="4" w:space="0" w:color="D1D9E6"/>
              <w:right w:val="single" w:sz="4" w:space="0" w:color="D1D9E6"/>
            </w:tcBorders>
            <w:tcMar>
              <w:top w:w="60" w:type="dxa"/>
              <w:left w:w="100" w:type="dxa"/>
              <w:bottom w:w="60" w:type="dxa"/>
              <w:right w:w="100" w:type="dxa"/>
            </w:tcMar>
          </w:tcPr>
          <w:p w14:paraId="1271EAFF" w14:textId="77777777" w:rsidR="0046004D" w:rsidRDefault="00000000">
            <w:r>
              <w:rPr>
                <w:sz w:val="20"/>
                <w:szCs w:val="20"/>
              </w:rPr>
              <w:t>Ontology · SHACL Shapes · Model Constraints · Axioms · Inference · Reference Dataset</w:t>
            </w:r>
          </w:p>
        </w:tc>
      </w:tr>
    </w:tbl>
    <w:p w14:paraId="3628AA16" w14:textId="77777777" w:rsidR="0046004D" w:rsidRDefault="0046004D">
      <w:pPr>
        <w:spacing w:after="200"/>
      </w:pPr>
    </w:p>
    <w:p w14:paraId="5111EFEC" w14:textId="77777777" w:rsidR="0046004D" w:rsidRDefault="00000000">
      <w:r>
        <w:br w:type="page"/>
      </w:r>
    </w:p>
    <w:p w14:paraId="382E1A16" w14:textId="77777777" w:rsidR="0046004D" w:rsidRDefault="00000000">
      <w:pPr>
        <w:pStyle w:val="Heading1"/>
        <w:pBdr>
          <w:bottom w:val="single" w:sz="8" w:space="0" w:color="C8952A"/>
        </w:pBdr>
      </w:pPr>
      <w:bookmarkStart w:id="0" w:name="_Toc237337443"/>
      <w:r>
        <w:lastRenderedPageBreak/>
        <w:t>Executive Summary</w:t>
      </w:r>
      <w:bookmarkEnd w:id="0"/>
    </w:p>
    <w:p w14:paraId="5BAB804D" w14:textId="77777777" w:rsidR="0046004D" w:rsidRDefault="00000000">
      <w:pPr>
        <w:spacing w:after="120"/>
      </w:pPr>
      <w:r>
        <w:t xml:space="preserve">Private markets data models routinely conflate four structurally distinct objects: the thing that is sold, the thing that has a track record, the thing that signs contracts, and the thing an investor </w:t>
      </w:r>
      <w:proofErr w:type="gramStart"/>
      <w:r>
        <w:t>actually subscribes</w:t>
      </w:r>
      <w:proofErr w:type="gramEnd"/>
      <w:r>
        <w:t xml:space="preserve"> to. Once collapsed, the resulting errors are structural rather than cosmetic — and undetectable from the outside.</w:t>
      </w:r>
    </w:p>
    <w:p w14:paraId="5D6600A8" w14:textId="77777777" w:rsidR="0046004D" w:rsidRDefault="00000000">
      <w:pPr>
        <w:spacing w:after="120"/>
      </w:pPr>
      <w:r>
        <w:t>This paper introduces a four-level hierarchy — From Opportunities to Commitments to Closes to Capital Calls and Settlement — that separates these objects precisely, then documents every design decision, the reasoning behind it, and what breaks without it. The model is accompanied by an OWL ontology, 162 SHACL constraint shapes, and a synthetic reference dataset of 123,159 quads generated to exercise the model at volume.</w:t>
      </w:r>
    </w:p>
    <w:p w14:paraId="2D342272" w14:textId="77777777" w:rsidR="0046004D" w:rsidRDefault="0046004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3D59CCBA" w14:textId="77777777">
        <w:tc>
          <w:tcPr>
            <w:tcW w:w="9360" w:type="dxa"/>
            <w:tcBorders>
              <w:top w:val="single" w:sz="12" w:space="0" w:color="3182CE"/>
              <w:left w:val="single" w:sz="12" w:space="0" w:color="3182CE"/>
            </w:tcBorders>
            <w:shd w:val="clear" w:color="auto" w:fill="EBF4FF"/>
            <w:tcMar>
              <w:top w:w="80" w:type="dxa"/>
              <w:left w:w="120" w:type="dxa"/>
              <w:bottom w:w="0" w:type="dxa"/>
              <w:right w:w="120" w:type="dxa"/>
            </w:tcMar>
          </w:tcPr>
          <w:p w14:paraId="441A3B17" w14:textId="77777777" w:rsidR="0046004D" w:rsidRDefault="00000000">
            <w:r>
              <w:rPr>
                <w:b/>
                <w:bCs/>
                <w:color w:val="3182CE"/>
                <w:sz w:val="20"/>
                <w:szCs w:val="20"/>
              </w:rPr>
              <w:t>Key Design Principles</w:t>
            </w:r>
          </w:p>
        </w:tc>
      </w:tr>
      <w:tr w:rsidR="0046004D" w14:paraId="31273B8C" w14:textId="77777777">
        <w:tc>
          <w:tcPr>
            <w:tcW w:w="9360" w:type="dxa"/>
            <w:tcBorders>
              <w:left w:val="single" w:sz="12" w:space="0" w:color="3182CE"/>
            </w:tcBorders>
            <w:shd w:val="clear" w:color="auto" w:fill="EBF4FF"/>
            <w:tcMar>
              <w:top w:w="0" w:type="dxa"/>
              <w:left w:w="120" w:type="dxa"/>
              <w:bottom w:w="0" w:type="dxa"/>
              <w:right w:w="120" w:type="dxa"/>
            </w:tcMar>
          </w:tcPr>
          <w:p w14:paraId="390FE093" w14:textId="77777777" w:rsidR="0046004D" w:rsidRDefault="00000000">
            <w:pPr>
              <w:spacing w:after="80"/>
            </w:pPr>
            <w:r>
              <w:rPr>
                <w:color w:val="2D3748"/>
                <w:sz w:val="20"/>
                <w:szCs w:val="20"/>
              </w:rPr>
              <w:t>1</w:t>
            </w:r>
            <w:proofErr w:type="gramStart"/>
            <w:r>
              <w:rPr>
                <w:color w:val="2D3748"/>
                <w:sz w:val="20"/>
                <w:szCs w:val="20"/>
              </w:rPr>
              <w:t>.  Four</w:t>
            </w:r>
            <w:proofErr w:type="gramEnd"/>
            <w:r>
              <w:rPr>
                <w:color w:val="2D3748"/>
                <w:sz w:val="20"/>
                <w:szCs w:val="20"/>
              </w:rPr>
              <w:t xml:space="preserve"> levels, each with separate semantic identity — Product, Fund, Vehicle, Offering</w:t>
            </w:r>
          </w:p>
        </w:tc>
      </w:tr>
      <w:tr w:rsidR="0046004D" w14:paraId="0F2C1CDE" w14:textId="77777777">
        <w:tc>
          <w:tcPr>
            <w:tcW w:w="9360" w:type="dxa"/>
            <w:tcBorders>
              <w:left w:val="single" w:sz="12" w:space="0" w:color="3182CE"/>
            </w:tcBorders>
            <w:shd w:val="clear" w:color="auto" w:fill="EBF4FF"/>
            <w:tcMar>
              <w:top w:w="0" w:type="dxa"/>
              <w:left w:w="120" w:type="dxa"/>
              <w:bottom w:w="0" w:type="dxa"/>
              <w:right w:w="120" w:type="dxa"/>
            </w:tcMar>
          </w:tcPr>
          <w:p w14:paraId="49244306" w14:textId="77777777" w:rsidR="0046004D" w:rsidRDefault="00000000">
            <w:pPr>
              <w:spacing w:after="80"/>
            </w:pPr>
            <w:r>
              <w:rPr>
                <w:color w:val="2D3748"/>
                <w:sz w:val="20"/>
                <w:szCs w:val="20"/>
              </w:rPr>
              <w:t>2</w:t>
            </w:r>
            <w:proofErr w:type="gramStart"/>
            <w:r>
              <w:rPr>
                <w:color w:val="2D3748"/>
                <w:sz w:val="20"/>
                <w:szCs w:val="20"/>
              </w:rPr>
              <w:t>.  Structural</w:t>
            </w:r>
            <w:proofErr w:type="gramEnd"/>
            <w:r>
              <w:rPr>
                <w:color w:val="2D3748"/>
                <w:sz w:val="20"/>
                <w:szCs w:val="20"/>
              </w:rPr>
              <w:t xml:space="preserve"> roles (feeder, master, parallel, AIV) are object properties, not subclasses</w:t>
            </w:r>
          </w:p>
        </w:tc>
      </w:tr>
      <w:tr w:rsidR="0046004D" w14:paraId="2BA09446" w14:textId="77777777">
        <w:tc>
          <w:tcPr>
            <w:tcW w:w="9360" w:type="dxa"/>
            <w:tcBorders>
              <w:left w:val="single" w:sz="12" w:space="0" w:color="3182CE"/>
            </w:tcBorders>
            <w:shd w:val="clear" w:color="auto" w:fill="EBF4FF"/>
            <w:tcMar>
              <w:top w:w="0" w:type="dxa"/>
              <w:left w:w="120" w:type="dxa"/>
              <w:bottom w:w="0" w:type="dxa"/>
              <w:right w:w="120" w:type="dxa"/>
            </w:tcMar>
          </w:tcPr>
          <w:p w14:paraId="2A5C2267" w14:textId="77777777" w:rsidR="0046004D" w:rsidRDefault="00000000">
            <w:pPr>
              <w:spacing w:after="80"/>
            </w:pPr>
            <w:r>
              <w:rPr>
                <w:color w:val="2D3748"/>
                <w:sz w:val="20"/>
                <w:szCs w:val="20"/>
              </w:rPr>
              <w:t>3</w:t>
            </w:r>
            <w:proofErr w:type="gramStart"/>
            <w:r>
              <w:rPr>
                <w:color w:val="2D3748"/>
                <w:sz w:val="20"/>
                <w:szCs w:val="20"/>
              </w:rPr>
              <w:t>.  The</w:t>
            </w:r>
            <w:proofErr w:type="gramEnd"/>
            <w:r>
              <w:rPr>
                <w:color w:val="2D3748"/>
                <w:sz w:val="20"/>
                <w:szCs w:val="20"/>
              </w:rPr>
              <w:t xml:space="preserve"> derive-don't-store rule: nothing computable from child records is stored</w:t>
            </w:r>
          </w:p>
        </w:tc>
      </w:tr>
      <w:tr w:rsidR="0046004D" w14:paraId="20B7BB90" w14:textId="77777777">
        <w:tc>
          <w:tcPr>
            <w:tcW w:w="9360" w:type="dxa"/>
            <w:tcBorders>
              <w:left w:val="single" w:sz="12" w:space="0" w:color="3182CE"/>
            </w:tcBorders>
            <w:shd w:val="clear" w:color="auto" w:fill="EBF4FF"/>
            <w:tcMar>
              <w:top w:w="0" w:type="dxa"/>
              <w:left w:w="120" w:type="dxa"/>
              <w:bottom w:w="0" w:type="dxa"/>
              <w:right w:w="120" w:type="dxa"/>
            </w:tcMar>
          </w:tcPr>
          <w:p w14:paraId="4A650683" w14:textId="77777777" w:rsidR="0046004D" w:rsidRDefault="00000000">
            <w:pPr>
              <w:spacing w:after="80"/>
            </w:pPr>
            <w:r>
              <w:rPr>
                <w:color w:val="2D3748"/>
                <w:sz w:val="20"/>
                <w:szCs w:val="20"/>
              </w:rPr>
              <w:t>4</w:t>
            </w:r>
            <w:proofErr w:type="gramStart"/>
            <w:r>
              <w:rPr>
                <w:color w:val="2D3748"/>
                <w:sz w:val="20"/>
                <w:szCs w:val="20"/>
              </w:rPr>
              <w:t>.  Reification</w:t>
            </w:r>
            <w:proofErr w:type="gramEnd"/>
            <w:r>
              <w:rPr>
                <w:color w:val="2D3748"/>
                <w:sz w:val="20"/>
                <w:szCs w:val="20"/>
              </w:rPr>
              <w:t xml:space="preserve"> wherever a fact is a tuple that changes over time</w:t>
            </w:r>
          </w:p>
        </w:tc>
      </w:tr>
      <w:tr w:rsidR="0046004D" w14:paraId="6BC0E3C7" w14:textId="77777777">
        <w:tc>
          <w:tcPr>
            <w:tcW w:w="9360" w:type="dxa"/>
            <w:tcBorders>
              <w:left w:val="single" w:sz="12" w:space="0" w:color="3182CE"/>
              <w:bottom w:val="single" w:sz="4" w:space="0" w:color="3182CE"/>
            </w:tcBorders>
            <w:shd w:val="clear" w:color="auto" w:fill="EBF4FF"/>
            <w:tcMar>
              <w:top w:w="0" w:type="dxa"/>
              <w:left w:w="120" w:type="dxa"/>
              <w:bottom w:w="80" w:type="dxa"/>
              <w:right w:w="120" w:type="dxa"/>
            </w:tcMar>
          </w:tcPr>
          <w:p w14:paraId="43A35356" w14:textId="77777777" w:rsidR="0046004D" w:rsidRDefault="00000000">
            <w:r>
              <w:rPr>
                <w:color w:val="2D3748"/>
                <w:sz w:val="20"/>
                <w:szCs w:val="20"/>
              </w:rPr>
              <w:t>5</w:t>
            </w:r>
            <w:proofErr w:type="gramStart"/>
            <w:r>
              <w:rPr>
                <w:color w:val="2D3748"/>
                <w:sz w:val="20"/>
                <w:szCs w:val="20"/>
              </w:rPr>
              <w:t>.  Constraints</w:t>
            </w:r>
            <w:proofErr w:type="gramEnd"/>
            <w:r>
              <w:rPr>
                <w:color w:val="2D3748"/>
                <w:sz w:val="20"/>
                <w:szCs w:val="20"/>
              </w:rPr>
              <w:t xml:space="preserve"> must fail loudly — silent clean validation on invalid data is worse than no constraint</w:t>
            </w:r>
          </w:p>
        </w:tc>
      </w:tr>
    </w:tbl>
    <w:p w14:paraId="61EF4BD1" w14:textId="77777777" w:rsidR="0046004D" w:rsidRDefault="0046004D">
      <w:pPr>
        <w:spacing w:after="160"/>
      </w:pPr>
    </w:p>
    <w:p w14:paraId="343C7AF3" w14:textId="77777777" w:rsidR="0046004D" w:rsidRDefault="00000000">
      <w:r>
        <w:br w:type="page"/>
      </w:r>
    </w:p>
    <w:p w14:paraId="0F4596F2" w14:textId="77777777" w:rsidR="0046004D" w:rsidRDefault="00000000">
      <w:pPr>
        <w:pStyle w:val="Heading1"/>
        <w:pBdr>
          <w:bottom w:val="single" w:sz="8" w:space="0" w:color="C8952A"/>
        </w:pBdr>
      </w:pPr>
      <w:bookmarkStart w:id="1" w:name="_Toc237337444"/>
      <w:r>
        <w:lastRenderedPageBreak/>
        <w:t>Contents</w:t>
      </w:r>
      <w:bookmarkEnd w:id="1"/>
    </w:p>
    <w:sdt>
      <w:sdtPr>
        <w:alias w:val="Table of Contents"/>
        <w:id w:val="513576531"/>
      </w:sdtPr>
      <w:sdtContent>
        <w:p w14:paraId="7BBC6D25" w14:textId="77777777" w:rsidR="00592E03" w:rsidRDefault="00000000">
          <w:pPr>
            <w:pStyle w:val="TOC1"/>
            <w:tabs>
              <w:tab w:val="right" w:leader="dot" w:pos="9350"/>
            </w:tabs>
            <w:rPr>
              <w:noProof/>
            </w:rPr>
          </w:pPr>
          <w:r>
            <w:fldChar w:fldCharType="begin"/>
          </w:r>
          <w:r>
            <w:instrText>TOC \h \o "1-3" \t "Heading1,1,Heading2,2,Heading3,3"</w:instrText>
          </w:r>
          <w:r>
            <w:fldChar w:fldCharType="separate"/>
          </w:r>
          <w:hyperlink w:anchor="_Toc237337443" w:history="1">
            <w:r w:rsidR="00592E03" w:rsidRPr="00403474">
              <w:rPr>
                <w:rStyle w:val="Hyperlink"/>
                <w:noProof/>
              </w:rPr>
              <w:t>Executive Summary</w:t>
            </w:r>
            <w:r w:rsidR="00592E03">
              <w:rPr>
                <w:noProof/>
              </w:rPr>
              <w:tab/>
            </w:r>
            <w:r w:rsidR="00592E03">
              <w:rPr>
                <w:noProof/>
              </w:rPr>
              <w:fldChar w:fldCharType="begin"/>
            </w:r>
            <w:r w:rsidR="00592E03">
              <w:rPr>
                <w:noProof/>
              </w:rPr>
              <w:instrText xml:space="preserve"> PAGEREF _Toc237337443 \h </w:instrText>
            </w:r>
            <w:r w:rsidR="00592E03">
              <w:rPr>
                <w:noProof/>
              </w:rPr>
            </w:r>
            <w:r w:rsidR="00592E03">
              <w:rPr>
                <w:noProof/>
              </w:rPr>
              <w:fldChar w:fldCharType="separate"/>
            </w:r>
            <w:r w:rsidR="00592E03">
              <w:rPr>
                <w:noProof/>
              </w:rPr>
              <w:t>1</w:t>
            </w:r>
            <w:r w:rsidR="00592E03">
              <w:rPr>
                <w:noProof/>
              </w:rPr>
              <w:fldChar w:fldCharType="end"/>
            </w:r>
          </w:hyperlink>
        </w:p>
        <w:p w14:paraId="06B41D3B" w14:textId="77777777" w:rsidR="00592E03" w:rsidRDefault="00592E03">
          <w:pPr>
            <w:pStyle w:val="TOC1"/>
            <w:tabs>
              <w:tab w:val="right" w:leader="dot" w:pos="9350"/>
            </w:tabs>
            <w:rPr>
              <w:noProof/>
            </w:rPr>
          </w:pPr>
          <w:hyperlink w:anchor="_Toc237337444" w:history="1">
            <w:r w:rsidRPr="00403474">
              <w:rPr>
                <w:rStyle w:val="Hyperlink"/>
                <w:noProof/>
              </w:rPr>
              <w:t>Contents</w:t>
            </w:r>
            <w:r>
              <w:rPr>
                <w:noProof/>
              </w:rPr>
              <w:tab/>
            </w:r>
            <w:r>
              <w:rPr>
                <w:noProof/>
              </w:rPr>
              <w:fldChar w:fldCharType="begin"/>
            </w:r>
            <w:r>
              <w:rPr>
                <w:noProof/>
              </w:rPr>
              <w:instrText xml:space="preserve"> PAGEREF _Toc237337444 \h </w:instrText>
            </w:r>
            <w:r>
              <w:rPr>
                <w:noProof/>
              </w:rPr>
            </w:r>
            <w:r>
              <w:rPr>
                <w:noProof/>
              </w:rPr>
              <w:fldChar w:fldCharType="separate"/>
            </w:r>
            <w:r>
              <w:rPr>
                <w:noProof/>
              </w:rPr>
              <w:t>1</w:t>
            </w:r>
            <w:r>
              <w:rPr>
                <w:noProof/>
              </w:rPr>
              <w:fldChar w:fldCharType="end"/>
            </w:r>
          </w:hyperlink>
        </w:p>
        <w:p w14:paraId="46D20C6B" w14:textId="77777777" w:rsidR="00592E03" w:rsidRDefault="00592E03">
          <w:pPr>
            <w:pStyle w:val="TOC1"/>
            <w:tabs>
              <w:tab w:val="right" w:leader="dot" w:pos="9350"/>
            </w:tabs>
            <w:rPr>
              <w:noProof/>
            </w:rPr>
          </w:pPr>
          <w:hyperlink w:anchor="_Toc237337445" w:history="1">
            <w:r w:rsidRPr="00403474">
              <w:rPr>
                <w:rStyle w:val="Hyperlink"/>
                <w:noProof/>
              </w:rPr>
              <w:t>1  Why the Model Has Four Levels</w:t>
            </w:r>
            <w:r>
              <w:rPr>
                <w:noProof/>
              </w:rPr>
              <w:tab/>
            </w:r>
            <w:r>
              <w:rPr>
                <w:noProof/>
              </w:rPr>
              <w:fldChar w:fldCharType="begin"/>
            </w:r>
            <w:r>
              <w:rPr>
                <w:noProof/>
              </w:rPr>
              <w:instrText xml:space="preserve"> PAGEREF _Toc237337445 \h </w:instrText>
            </w:r>
            <w:r>
              <w:rPr>
                <w:noProof/>
              </w:rPr>
            </w:r>
            <w:r>
              <w:rPr>
                <w:noProof/>
              </w:rPr>
              <w:fldChar w:fldCharType="separate"/>
            </w:r>
            <w:r>
              <w:rPr>
                <w:noProof/>
              </w:rPr>
              <w:t>1</w:t>
            </w:r>
            <w:r>
              <w:rPr>
                <w:noProof/>
              </w:rPr>
              <w:fldChar w:fldCharType="end"/>
            </w:r>
          </w:hyperlink>
        </w:p>
        <w:p w14:paraId="03333041" w14:textId="77777777" w:rsidR="00592E03" w:rsidRDefault="00592E03">
          <w:pPr>
            <w:pStyle w:val="TOC2"/>
            <w:tabs>
              <w:tab w:val="right" w:leader="dot" w:pos="9350"/>
            </w:tabs>
            <w:rPr>
              <w:noProof/>
            </w:rPr>
          </w:pPr>
          <w:hyperlink w:anchor="_Toc237337446" w:history="1">
            <w:r w:rsidRPr="00403474">
              <w:rPr>
                <w:rStyle w:val="Hyperlink"/>
                <w:noProof/>
              </w:rPr>
              <w:t>1.1  Fund Is Deliberately Not a Subclass of Vehicle</w:t>
            </w:r>
            <w:r>
              <w:rPr>
                <w:noProof/>
              </w:rPr>
              <w:tab/>
            </w:r>
            <w:r>
              <w:rPr>
                <w:noProof/>
              </w:rPr>
              <w:fldChar w:fldCharType="begin"/>
            </w:r>
            <w:r>
              <w:rPr>
                <w:noProof/>
              </w:rPr>
              <w:instrText xml:space="preserve"> PAGEREF _Toc237337446 \h </w:instrText>
            </w:r>
            <w:r>
              <w:rPr>
                <w:noProof/>
              </w:rPr>
            </w:r>
            <w:r>
              <w:rPr>
                <w:noProof/>
              </w:rPr>
              <w:fldChar w:fldCharType="separate"/>
            </w:r>
            <w:r>
              <w:rPr>
                <w:noProof/>
              </w:rPr>
              <w:t>1</w:t>
            </w:r>
            <w:r>
              <w:rPr>
                <w:noProof/>
              </w:rPr>
              <w:fldChar w:fldCharType="end"/>
            </w:r>
          </w:hyperlink>
        </w:p>
        <w:p w14:paraId="5DCED6BF" w14:textId="77777777" w:rsidR="00592E03" w:rsidRDefault="00592E03">
          <w:pPr>
            <w:pStyle w:val="TOC1"/>
            <w:tabs>
              <w:tab w:val="right" w:leader="dot" w:pos="9350"/>
            </w:tabs>
            <w:rPr>
              <w:noProof/>
            </w:rPr>
          </w:pPr>
          <w:hyperlink w:anchor="_Toc237337447" w:history="1">
            <w:r w:rsidRPr="00403474">
              <w:rPr>
                <w:rStyle w:val="Hyperlink"/>
                <w:noProof/>
              </w:rPr>
              <w:t>2  Structural Roles Are Relationships, Not Classes</w:t>
            </w:r>
            <w:r>
              <w:rPr>
                <w:noProof/>
              </w:rPr>
              <w:tab/>
            </w:r>
            <w:r>
              <w:rPr>
                <w:noProof/>
              </w:rPr>
              <w:fldChar w:fldCharType="begin"/>
            </w:r>
            <w:r>
              <w:rPr>
                <w:noProof/>
              </w:rPr>
              <w:instrText xml:space="preserve"> PAGEREF _Toc237337447 \h </w:instrText>
            </w:r>
            <w:r>
              <w:rPr>
                <w:noProof/>
              </w:rPr>
            </w:r>
            <w:r>
              <w:rPr>
                <w:noProof/>
              </w:rPr>
              <w:fldChar w:fldCharType="separate"/>
            </w:r>
            <w:r>
              <w:rPr>
                <w:noProof/>
              </w:rPr>
              <w:t>1</w:t>
            </w:r>
            <w:r>
              <w:rPr>
                <w:noProof/>
              </w:rPr>
              <w:fldChar w:fldCharType="end"/>
            </w:r>
          </w:hyperlink>
        </w:p>
        <w:p w14:paraId="631152E0" w14:textId="77777777" w:rsidR="00592E03" w:rsidRDefault="00592E03">
          <w:pPr>
            <w:pStyle w:val="TOC2"/>
            <w:tabs>
              <w:tab w:val="right" w:leader="dot" w:pos="9350"/>
            </w:tabs>
            <w:rPr>
              <w:noProof/>
            </w:rPr>
          </w:pPr>
          <w:hyperlink w:anchor="_Toc237337448" w:history="1">
            <w:r w:rsidRPr="00403474">
              <w:rPr>
                <w:rStyle w:val="Hyperlink"/>
                <w:noProof/>
              </w:rPr>
              <w:t>2.1  Feeders</w:t>
            </w:r>
            <w:r>
              <w:rPr>
                <w:noProof/>
              </w:rPr>
              <w:tab/>
            </w:r>
            <w:r>
              <w:rPr>
                <w:noProof/>
              </w:rPr>
              <w:fldChar w:fldCharType="begin"/>
            </w:r>
            <w:r>
              <w:rPr>
                <w:noProof/>
              </w:rPr>
              <w:instrText xml:space="preserve"> PAGEREF _Toc237337448 \h </w:instrText>
            </w:r>
            <w:r>
              <w:rPr>
                <w:noProof/>
              </w:rPr>
            </w:r>
            <w:r>
              <w:rPr>
                <w:noProof/>
              </w:rPr>
              <w:fldChar w:fldCharType="separate"/>
            </w:r>
            <w:r>
              <w:rPr>
                <w:noProof/>
              </w:rPr>
              <w:t>1</w:t>
            </w:r>
            <w:r>
              <w:rPr>
                <w:noProof/>
              </w:rPr>
              <w:fldChar w:fldCharType="end"/>
            </w:r>
          </w:hyperlink>
        </w:p>
        <w:p w14:paraId="2AA54507" w14:textId="77777777" w:rsidR="00592E03" w:rsidRDefault="00592E03">
          <w:pPr>
            <w:pStyle w:val="TOC2"/>
            <w:tabs>
              <w:tab w:val="right" w:leader="dot" w:pos="9350"/>
            </w:tabs>
            <w:rPr>
              <w:noProof/>
            </w:rPr>
          </w:pPr>
          <w:hyperlink w:anchor="_Toc237337449" w:history="1">
            <w:r w:rsidRPr="00403474">
              <w:rPr>
                <w:rStyle w:val="Hyperlink"/>
                <w:noProof/>
              </w:rPr>
              <w:t>2.2  Deal SPVs Sit Outside the Hierarchy</w:t>
            </w:r>
            <w:r>
              <w:rPr>
                <w:noProof/>
              </w:rPr>
              <w:tab/>
            </w:r>
            <w:r>
              <w:rPr>
                <w:noProof/>
              </w:rPr>
              <w:fldChar w:fldCharType="begin"/>
            </w:r>
            <w:r>
              <w:rPr>
                <w:noProof/>
              </w:rPr>
              <w:instrText xml:space="preserve"> PAGEREF _Toc237337449 \h </w:instrText>
            </w:r>
            <w:r>
              <w:rPr>
                <w:noProof/>
              </w:rPr>
            </w:r>
            <w:r>
              <w:rPr>
                <w:noProof/>
              </w:rPr>
              <w:fldChar w:fldCharType="separate"/>
            </w:r>
            <w:r>
              <w:rPr>
                <w:noProof/>
              </w:rPr>
              <w:t>1</w:t>
            </w:r>
            <w:r>
              <w:rPr>
                <w:noProof/>
              </w:rPr>
              <w:fldChar w:fldCharType="end"/>
            </w:r>
          </w:hyperlink>
        </w:p>
        <w:p w14:paraId="2155D55E" w14:textId="77777777" w:rsidR="00592E03" w:rsidRDefault="00592E03">
          <w:pPr>
            <w:pStyle w:val="TOC2"/>
            <w:tabs>
              <w:tab w:val="right" w:leader="dot" w:pos="9350"/>
            </w:tabs>
            <w:rPr>
              <w:noProof/>
            </w:rPr>
          </w:pPr>
          <w:hyperlink w:anchor="_Toc237337450" w:history="1">
            <w:r w:rsidRPr="00403474">
              <w:rPr>
                <w:rStyle w:val="Hyperlink"/>
                <w:noProof/>
              </w:rPr>
              <w:t>2.3  A Worked Instance</w:t>
            </w:r>
            <w:r>
              <w:rPr>
                <w:noProof/>
              </w:rPr>
              <w:tab/>
            </w:r>
            <w:r>
              <w:rPr>
                <w:noProof/>
              </w:rPr>
              <w:fldChar w:fldCharType="begin"/>
            </w:r>
            <w:r>
              <w:rPr>
                <w:noProof/>
              </w:rPr>
              <w:instrText xml:space="preserve"> PAGEREF _Toc237337450 \h </w:instrText>
            </w:r>
            <w:r>
              <w:rPr>
                <w:noProof/>
              </w:rPr>
            </w:r>
            <w:r>
              <w:rPr>
                <w:noProof/>
              </w:rPr>
              <w:fldChar w:fldCharType="separate"/>
            </w:r>
            <w:r>
              <w:rPr>
                <w:noProof/>
              </w:rPr>
              <w:t>1</w:t>
            </w:r>
            <w:r>
              <w:rPr>
                <w:noProof/>
              </w:rPr>
              <w:fldChar w:fldCharType="end"/>
            </w:r>
          </w:hyperlink>
        </w:p>
        <w:p w14:paraId="74E736FC" w14:textId="77777777" w:rsidR="00592E03" w:rsidRDefault="00592E03">
          <w:pPr>
            <w:pStyle w:val="TOC1"/>
            <w:tabs>
              <w:tab w:val="right" w:leader="dot" w:pos="9350"/>
            </w:tabs>
            <w:rPr>
              <w:noProof/>
            </w:rPr>
          </w:pPr>
          <w:hyperlink w:anchor="_Toc237337451" w:history="1">
            <w:r w:rsidRPr="00403474">
              <w:rPr>
                <w:rStyle w:val="Hyperlink"/>
                <w:noProof/>
              </w:rPr>
              <w:t>3  The Same Structure, Simplified</w:t>
            </w:r>
            <w:r>
              <w:rPr>
                <w:noProof/>
              </w:rPr>
              <w:tab/>
            </w:r>
            <w:r>
              <w:rPr>
                <w:noProof/>
              </w:rPr>
              <w:fldChar w:fldCharType="begin"/>
            </w:r>
            <w:r>
              <w:rPr>
                <w:noProof/>
              </w:rPr>
              <w:instrText xml:space="preserve"> PAGEREF _Toc237337451 \h </w:instrText>
            </w:r>
            <w:r>
              <w:rPr>
                <w:noProof/>
              </w:rPr>
            </w:r>
            <w:r>
              <w:rPr>
                <w:noProof/>
              </w:rPr>
              <w:fldChar w:fldCharType="separate"/>
            </w:r>
            <w:r>
              <w:rPr>
                <w:noProof/>
              </w:rPr>
              <w:t>1</w:t>
            </w:r>
            <w:r>
              <w:rPr>
                <w:noProof/>
              </w:rPr>
              <w:fldChar w:fldCharType="end"/>
            </w:r>
          </w:hyperlink>
        </w:p>
        <w:p w14:paraId="65355875" w14:textId="77777777" w:rsidR="00592E03" w:rsidRDefault="00592E03">
          <w:pPr>
            <w:pStyle w:val="TOC1"/>
            <w:tabs>
              <w:tab w:val="right" w:leader="dot" w:pos="9350"/>
            </w:tabs>
            <w:rPr>
              <w:noProof/>
            </w:rPr>
          </w:pPr>
          <w:hyperlink w:anchor="_Toc237337452" w:history="1">
            <w:r w:rsidRPr="00403474">
              <w:rPr>
                <w:rStyle w:val="Hyperlink"/>
                <w:noProof/>
              </w:rPr>
              <w:t>4  Closed-End and Evergreen</w:t>
            </w:r>
            <w:r>
              <w:rPr>
                <w:noProof/>
              </w:rPr>
              <w:tab/>
            </w:r>
            <w:r>
              <w:rPr>
                <w:noProof/>
              </w:rPr>
              <w:fldChar w:fldCharType="begin"/>
            </w:r>
            <w:r>
              <w:rPr>
                <w:noProof/>
              </w:rPr>
              <w:instrText xml:space="preserve"> PAGEREF _Toc237337452 \h </w:instrText>
            </w:r>
            <w:r>
              <w:rPr>
                <w:noProof/>
              </w:rPr>
            </w:r>
            <w:r>
              <w:rPr>
                <w:noProof/>
              </w:rPr>
              <w:fldChar w:fldCharType="separate"/>
            </w:r>
            <w:r>
              <w:rPr>
                <w:noProof/>
              </w:rPr>
              <w:t>1</w:t>
            </w:r>
            <w:r>
              <w:rPr>
                <w:noProof/>
              </w:rPr>
              <w:fldChar w:fldCharType="end"/>
            </w:r>
          </w:hyperlink>
        </w:p>
        <w:p w14:paraId="4A8F6488" w14:textId="77777777" w:rsidR="00592E03" w:rsidRDefault="00592E03">
          <w:pPr>
            <w:pStyle w:val="TOC1"/>
            <w:tabs>
              <w:tab w:val="right" w:leader="dot" w:pos="9350"/>
            </w:tabs>
            <w:rPr>
              <w:noProof/>
            </w:rPr>
          </w:pPr>
          <w:hyperlink w:anchor="_Toc237337453" w:history="1">
            <w:r w:rsidRPr="00403474">
              <w:rPr>
                <w:rStyle w:val="Hyperlink"/>
                <w:noProof/>
              </w:rPr>
              <w:t>5  Servicing: Who Is the System of Record</w:t>
            </w:r>
            <w:r>
              <w:rPr>
                <w:noProof/>
              </w:rPr>
              <w:tab/>
            </w:r>
            <w:r>
              <w:rPr>
                <w:noProof/>
              </w:rPr>
              <w:fldChar w:fldCharType="begin"/>
            </w:r>
            <w:r>
              <w:rPr>
                <w:noProof/>
              </w:rPr>
              <w:instrText xml:space="preserve"> PAGEREF _Toc237337453 \h </w:instrText>
            </w:r>
            <w:r>
              <w:rPr>
                <w:noProof/>
              </w:rPr>
            </w:r>
            <w:r>
              <w:rPr>
                <w:noProof/>
              </w:rPr>
              <w:fldChar w:fldCharType="separate"/>
            </w:r>
            <w:r>
              <w:rPr>
                <w:noProof/>
              </w:rPr>
              <w:t>1</w:t>
            </w:r>
            <w:r>
              <w:rPr>
                <w:noProof/>
              </w:rPr>
              <w:fldChar w:fldCharType="end"/>
            </w:r>
          </w:hyperlink>
        </w:p>
        <w:p w14:paraId="7A10A20D" w14:textId="77777777" w:rsidR="00592E03" w:rsidRDefault="00592E03">
          <w:pPr>
            <w:pStyle w:val="TOC1"/>
            <w:tabs>
              <w:tab w:val="right" w:leader="dot" w:pos="9350"/>
            </w:tabs>
            <w:rPr>
              <w:noProof/>
            </w:rPr>
          </w:pPr>
          <w:hyperlink w:anchor="_Toc237337454" w:history="1">
            <w:r w:rsidRPr="00403474">
              <w:rPr>
                <w:rStyle w:val="Hyperlink"/>
                <w:noProof/>
              </w:rPr>
              <w:t>6  Share Classes</w:t>
            </w:r>
            <w:r>
              <w:rPr>
                <w:noProof/>
              </w:rPr>
              <w:tab/>
            </w:r>
            <w:r>
              <w:rPr>
                <w:noProof/>
              </w:rPr>
              <w:fldChar w:fldCharType="begin"/>
            </w:r>
            <w:r>
              <w:rPr>
                <w:noProof/>
              </w:rPr>
              <w:instrText xml:space="preserve"> PAGEREF _Toc237337454 \h </w:instrText>
            </w:r>
            <w:r>
              <w:rPr>
                <w:noProof/>
              </w:rPr>
            </w:r>
            <w:r>
              <w:rPr>
                <w:noProof/>
              </w:rPr>
              <w:fldChar w:fldCharType="separate"/>
            </w:r>
            <w:r>
              <w:rPr>
                <w:noProof/>
              </w:rPr>
              <w:t>1</w:t>
            </w:r>
            <w:r>
              <w:rPr>
                <w:noProof/>
              </w:rPr>
              <w:fldChar w:fldCharType="end"/>
            </w:r>
          </w:hyperlink>
        </w:p>
        <w:p w14:paraId="6B25B518" w14:textId="77777777" w:rsidR="00592E03" w:rsidRDefault="00592E03">
          <w:pPr>
            <w:pStyle w:val="TOC2"/>
            <w:tabs>
              <w:tab w:val="right" w:leader="dot" w:pos="9350"/>
            </w:tabs>
            <w:rPr>
              <w:noProof/>
            </w:rPr>
          </w:pPr>
          <w:hyperlink w:anchor="_Toc237337455" w:history="1">
            <w:r w:rsidRPr="00403474">
              <w:rPr>
                <w:rStyle w:val="Hyperlink"/>
                <w:noProof/>
              </w:rPr>
              <w:t>6.1  Where the Model Would Need Splitting</w:t>
            </w:r>
            <w:r>
              <w:rPr>
                <w:noProof/>
              </w:rPr>
              <w:tab/>
            </w:r>
            <w:r>
              <w:rPr>
                <w:noProof/>
              </w:rPr>
              <w:fldChar w:fldCharType="begin"/>
            </w:r>
            <w:r>
              <w:rPr>
                <w:noProof/>
              </w:rPr>
              <w:instrText xml:space="preserve"> PAGEREF _Toc237337455 \h </w:instrText>
            </w:r>
            <w:r>
              <w:rPr>
                <w:noProof/>
              </w:rPr>
            </w:r>
            <w:r>
              <w:rPr>
                <w:noProof/>
              </w:rPr>
              <w:fldChar w:fldCharType="separate"/>
            </w:r>
            <w:r>
              <w:rPr>
                <w:noProof/>
              </w:rPr>
              <w:t>1</w:t>
            </w:r>
            <w:r>
              <w:rPr>
                <w:noProof/>
              </w:rPr>
              <w:fldChar w:fldCharType="end"/>
            </w:r>
          </w:hyperlink>
        </w:p>
        <w:p w14:paraId="20A15AF9" w14:textId="77777777" w:rsidR="00592E03" w:rsidRDefault="00592E03">
          <w:pPr>
            <w:pStyle w:val="TOC1"/>
            <w:tabs>
              <w:tab w:val="right" w:leader="dot" w:pos="9350"/>
            </w:tabs>
            <w:rPr>
              <w:noProof/>
            </w:rPr>
          </w:pPr>
          <w:hyperlink w:anchor="_Toc237337456" w:history="1">
            <w:r w:rsidRPr="00403474">
              <w:rPr>
                <w:rStyle w:val="Hyperlink"/>
                <w:noProof/>
              </w:rPr>
              <w:t>7  What Belongs at Product Level</w:t>
            </w:r>
            <w:r>
              <w:rPr>
                <w:noProof/>
              </w:rPr>
              <w:tab/>
            </w:r>
            <w:r>
              <w:rPr>
                <w:noProof/>
              </w:rPr>
              <w:fldChar w:fldCharType="begin"/>
            </w:r>
            <w:r>
              <w:rPr>
                <w:noProof/>
              </w:rPr>
              <w:instrText xml:space="preserve"> PAGEREF _Toc237337456 \h </w:instrText>
            </w:r>
            <w:r>
              <w:rPr>
                <w:noProof/>
              </w:rPr>
            </w:r>
            <w:r>
              <w:rPr>
                <w:noProof/>
              </w:rPr>
              <w:fldChar w:fldCharType="separate"/>
            </w:r>
            <w:r>
              <w:rPr>
                <w:noProof/>
              </w:rPr>
              <w:t>1</w:t>
            </w:r>
            <w:r>
              <w:rPr>
                <w:noProof/>
              </w:rPr>
              <w:fldChar w:fldCharType="end"/>
            </w:r>
          </w:hyperlink>
        </w:p>
        <w:p w14:paraId="692BC2AB" w14:textId="77777777" w:rsidR="00592E03" w:rsidRDefault="00592E03">
          <w:pPr>
            <w:pStyle w:val="TOC2"/>
            <w:tabs>
              <w:tab w:val="right" w:leader="dot" w:pos="9350"/>
            </w:tabs>
            <w:rPr>
              <w:noProof/>
            </w:rPr>
          </w:pPr>
          <w:hyperlink w:anchor="_Toc237337457" w:history="1">
            <w:r w:rsidRPr="00403474">
              <w:rPr>
                <w:rStyle w:val="Hyperlink"/>
                <w:noProof/>
              </w:rPr>
              <w:t>7.1  Product Status and Regulatory Status Are Orthogonal</w:t>
            </w:r>
            <w:r>
              <w:rPr>
                <w:noProof/>
              </w:rPr>
              <w:tab/>
            </w:r>
            <w:r>
              <w:rPr>
                <w:noProof/>
              </w:rPr>
              <w:fldChar w:fldCharType="begin"/>
            </w:r>
            <w:r>
              <w:rPr>
                <w:noProof/>
              </w:rPr>
              <w:instrText xml:space="preserve"> PAGEREF _Toc237337457 \h </w:instrText>
            </w:r>
            <w:r>
              <w:rPr>
                <w:noProof/>
              </w:rPr>
            </w:r>
            <w:r>
              <w:rPr>
                <w:noProof/>
              </w:rPr>
              <w:fldChar w:fldCharType="separate"/>
            </w:r>
            <w:r>
              <w:rPr>
                <w:noProof/>
              </w:rPr>
              <w:t>1</w:t>
            </w:r>
            <w:r>
              <w:rPr>
                <w:noProof/>
              </w:rPr>
              <w:fldChar w:fldCharType="end"/>
            </w:r>
          </w:hyperlink>
        </w:p>
        <w:p w14:paraId="4ED80D83" w14:textId="77777777" w:rsidR="00592E03" w:rsidRDefault="00592E03">
          <w:pPr>
            <w:pStyle w:val="TOC2"/>
            <w:tabs>
              <w:tab w:val="right" w:leader="dot" w:pos="9350"/>
            </w:tabs>
            <w:rPr>
              <w:noProof/>
            </w:rPr>
          </w:pPr>
          <w:hyperlink w:anchor="_Toc237337458" w:history="1">
            <w:r w:rsidRPr="00403474">
              <w:rPr>
                <w:rStyle w:val="Hyperlink"/>
                <w:noProof/>
              </w:rPr>
              <w:t>7.2  Three Currencies, Three Questions</w:t>
            </w:r>
            <w:r>
              <w:rPr>
                <w:noProof/>
              </w:rPr>
              <w:tab/>
            </w:r>
            <w:r>
              <w:rPr>
                <w:noProof/>
              </w:rPr>
              <w:fldChar w:fldCharType="begin"/>
            </w:r>
            <w:r>
              <w:rPr>
                <w:noProof/>
              </w:rPr>
              <w:instrText xml:space="preserve"> PAGEREF _Toc237337458 \h </w:instrText>
            </w:r>
            <w:r>
              <w:rPr>
                <w:noProof/>
              </w:rPr>
            </w:r>
            <w:r>
              <w:rPr>
                <w:noProof/>
              </w:rPr>
              <w:fldChar w:fldCharType="separate"/>
            </w:r>
            <w:r>
              <w:rPr>
                <w:noProof/>
              </w:rPr>
              <w:t>1</w:t>
            </w:r>
            <w:r>
              <w:rPr>
                <w:noProof/>
              </w:rPr>
              <w:fldChar w:fldCharType="end"/>
            </w:r>
          </w:hyperlink>
        </w:p>
        <w:p w14:paraId="518B29F0" w14:textId="77777777" w:rsidR="00592E03" w:rsidRDefault="00592E03">
          <w:pPr>
            <w:pStyle w:val="TOC2"/>
            <w:tabs>
              <w:tab w:val="right" w:leader="dot" w:pos="9350"/>
            </w:tabs>
            <w:rPr>
              <w:noProof/>
            </w:rPr>
          </w:pPr>
          <w:hyperlink w:anchor="_Toc237337459" w:history="1">
            <w:r w:rsidRPr="00403474">
              <w:rPr>
                <w:rStyle w:val="Hyperlink"/>
                <w:noProof/>
              </w:rPr>
              <w:t>7.3  Product Does Not Require a Launch Date</w:t>
            </w:r>
            <w:r>
              <w:rPr>
                <w:noProof/>
              </w:rPr>
              <w:tab/>
            </w:r>
            <w:r>
              <w:rPr>
                <w:noProof/>
              </w:rPr>
              <w:fldChar w:fldCharType="begin"/>
            </w:r>
            <w:r>
              <w:rPr>
                <w:noProof/>
              </w:rPr>
              <w:instrText xml:space="preserve"> PAGEREF _Toc237337459 \h </w:instrText>
            </w:r>
            <w:r>
              <w:rPr>
                <w:noProof/>
              </w:rPr>
            </w:r>
            <w:r>
              <w:rPr>
                <w:noProof/>
              </w:rPr>
              <w:fldChar w:fldCharType="separate"/>
            </w:r>
            <w:r>
              <w:rPr>
                <w:noProof/>
              </w:rPr>
              <w:t>1</w:t>
            </w:r>
            <w:r>
              <w:rPr>
                <w:noProof/>
              </w:rPr>
              <w:fldChar w:fldCharType="end"/>
            </w:r>
          </w:hyperlink>
        </w:p>
        <w:p w14:paraId="62D4C3BD" w14:textId="77777777" w:rsidR="00592E03" w:rsidRDefault="00592E03">
          <w:pPr>
            <w:pStyle w:val="TOC2"/>
            <w:tabs>
              <w:tab w:val="right" w:leader="dot" w:pos="9350"/>
            </w:tabs>
            <w:rPr>
              <w:noProof/>
            </w:rPr>
          </w:pPr>
          <w:hyperlink w:anchor="_Toc237337460" w:history="1">
            <w:r w:rsidRPr="00403474">
              <w:rPr>
                <w:rStyle w:val="Hyperlink"/>
                <w:noProof/>
              </w:rPr>
              <w:t>7.4  Jurisdictions, and a Trap</w:t>
            </w:r>
            <w:r>
              <w:rPr>
                <w:noProof/>
              </w:rPr>
              <w:tab/>
            </w:r>
            <w:r>
              <w:rPr>
                <w:noProof/>
              </w:rPr>
              <w:fldChar w:fldCharType="begin"/>
            </w:r>
            <w:r>
              <w:rPr>
                <w:noProof/>
              </w:rPr>
              <w:instrText xml:space="preserve"> PAGEREF _Toc237337460 \h </w:instrText>
            </w:r>
            <w:r>
              <w:rPr>
                <w:noProof/>
              </w:rPr>
            </w:r>
            <w:r>
              <w:rPr>
                <w:noProof/>
              </w:rPr>
              <w:fldChar w:fldCharType="separate"/>
            </w:r>
            <w:r>
              <w:rPr>
                <w:noProof/>
              </w:rPr>
              <w:t>1</w:t>
            </w:r>
            <w:r>
              <w:rPr>
                <w:noProof/>
              </w:rPr>
              <w:fldChar w:fldCharType="end"/>
            </w:r>
          </w:hyperlink>
        </w:p>
        <w:p w14:paraId="1766048D" w14:textId="77777777" w:rsidR="00592E03" w:rsidRDefault="00592E03">
          <w:pPr>
            <w:pStyle w:val="TOC1"/>
            <w:tabs>
              <w:tab w:val="right" w:leader="dot" w:pos="9350"/>
            </w:tabs>
            <w:rPr>
              <w:noProof/>
            </w:rPr>
          </w:pPr>
          <w:hyperlink w:anchor="_Toc237337461" w:history="1">
            <w:r w:rsidRPr="00403474">
              <w:rPr>
                <w:rStyle w:val="Hyperlink"/>
                <w:noProof/>
              </w:rPr>
              <w:t>8  Closes, Terms, and Periods</w:t>
            </w:r>
            <w:r>
              <w:rPr>
                <w:noProof/>
              </w:rPr>
              <w:tab/>
            </w:r>
            <w:r>
              <w:rPr>
                <w:noProof/>
              </w:rPr>
              <w:fldChar w:fldCharType="begin"/>
            </w:r>
            <w:r>
              <w:rPr>
                <w:noProof/>
              </w:rPr>
              <w:instrText xml:space="preserve"> PAGEREF _Toc237337461 \h </w:instrText>
            </w:r>
            <w:r>
              <w:rPr>
                <w:noProof/>
              </w:rPr>
            </w:r>
            <w:r>
              <w:rPr>
                <w:noProof/>
              </w:rPr>
              <w:fldChar w:fldCharType="separate"/>
            </w:r>
            <w:r>
              <w:rPr>
                <w:noProof/>
              </w:rPr>
              <w:t>1</w:t>
            </w:r>
            <w:r>
              <w:rPr>
                <w:noProof/>
              </w:rPr>
              <w:fldChar w:fldCharType="end"/>
            </w:r>
          </w:hyperlink>
        </w:p>
        <w:p w14:paraId="3FC9555D" w14:textId="77777777" w:rsidR="00592E03" w:rsidRDefault="00592E03">
          <w:pPr>
            <w:pStyle w:val="TOC2"/>
            <w:tabs>
              <w:tab w:val="right" w:leader="dot" w:pos="9350"/>
            </w:tabs>
            <w:rPr>
              <w:noProof/>
            </w:rPr>
          </w:pPr>
          <w:hyperlink w:anchor="_Toc237337462" w:history="1">
            <w:r w:rsidRPr="00403474">
              <w:rPr>
                <w:rStyle w:val="Hyperlink"/>
                <w:noProof/>
              </w:rPr>
              <w:t>8.1  A Fund Does Not Have Two Closes. It Has a Series.</w:t>
            </w:r>
            <w:r>
              <w:rPr>
                <w:noProof/>
              </w:rPr>
              <w:tab/>
            </w:r>
            <w:r>
              <w:rPr>
                <w:noProof/>
              </w:rPr>
              <w:fldChar w:fldCharType="begin"/>
            </w:r>
            <w:r>
              <w:rPr>
                <w:noProof/>
              </w:rPr>
              <w:instrText xml:space="preserve"> PAGEREF _Toc237337462 \h </w:instrText>
            </w:r>
            <w:r>
              <w:rPr>
                <w:noProof/>
              </w:rPr>
            </w:r>
            <w:r>
              <w:rPr>
                <w:noProof/>
              </w:rPr>
              <w:fldChar w:fldCharType="separate"/>
            </w:r>
            <w:r>
              <w:rPr>
                <w:noProof/>
              </w:rPr>
              <w:t>1</w:t>
            </w:r>
            <w:r>
              <w:rPr>
                <w:noProof/>
              </w:rPr>
              <w:fldChar w:fldCharType="end"/>
            </w:r>
          </w:hyperlink>
        </w:p>
        <w:p w14:paraId="29DC96D8" w14:textId="77777777" w:rsidR="00592E03" w:rsidRDefault="00592E03">
          <w:pPr>
            <w:pStyle w:val="TOC2"/>
            <w:tabs>
              <w:tab w:val="right" w:leader="dot" w:pos="9350"/>
            </w:tabs>
            <w:rPr>
              <w:noProof/>
            </w:rPr>
          </w:pPr>
          <w:hyperlink w:anchor="_Toc237337463" w:history="1">
            <w:r w:rsidRPr="00403474">
              <w:rPr>
                <w:rStyle w:val="Hyperlink"/>
                <w:noProof/>
              </w:rPr>
              <w:t>8.2  Which Level Closes Belong To</w:t>
            </w:r>
            <w:r>
              <w:rPr>
                <w:noProof/>
              </w:rPr>
              <w:tab/>
            </w:r>
            <w:r>
              <w:rPr>
                <w:noProof/>
              </w:rPr>
              <w:fldChar w:fldCharType="begin"/>
            </w:r>
            <w:r>
              <w:rPr>
                <w:noProof/>
              </w:rPr>
              <w:instrText xml:space="preserve"> PAGEREF _Toc237337463 \h </w:instrText>
            </w:r>
            <w:r>
              <w:rPr>
                <w:noProof/>
              </w:rPr>
            </w:r>
            <w:r>
              <w:rPr>
                <w:noProof/>
              </w:rPr>
              <w:fldChar w:fldCharType="separate"/>
            </w:r>
            <w:r>
              <w:rPr>
                <w:noProof/>
              </w:rPr>
              <w:t>1</w:t>
            </w:r>
            <w:r>
              <w:rPr>
                <w:noProof/>
              </w:rPr>
              <w:fldChar w:fldCharType="end"/>
            </w:r>
          </w:hyperlink>
        </w:p>
        <w:p w14:paraId="0E93AFF1" w14:textId="77777777" w:rsidR="00592E03" w:rsidRDefault="00592E03">
          <w:pPr>
            <w:pStyle w:val="TOC2"/>
            <w:tabs>
              <w:tab w:val="right" w:leader="dot" w:pos="9350"/>
            </w:tabs>
            <w:rPr>
              <w:noProof/>
            </w:rPr>
          </w:pPr>
          <w:hyperlink w:anchor="_Toc237337464" w:history="1">
            <w:r w:rsidRPr="00403474">
              <w:rPr>
                <w:rStyle w:val="Hyperlink"/>
                <w:noProof/>
              </w:rPr>
              <w:t>8.3  Term and Commitment Period</w:t>
            </w:r>
            <w:r>
              <w:rPr>
                <w:noProof/>
              </w:rPr>
              <w:tab/>
            </w:r>
            <w:r>
              <w:rPr>
                <w:noProof/>
              </w:rPr>
              <w:fldChar w:fldCharType="begin"/>
            </w:r>
            <w:r>
              <w:rPr>
                <w:noProof/>
              </w:rPr>
              <w:instrText xml:space="preserve"> PAGEREF _Toc237337464 \h </w:instrText>
            </w:r>
            <w:r>
              <w:rPr>
                <w:noProof/>
              </w:rPr>
            </w:r>
            <w:r>
              <w:rPr>
                <w:noProof/>
              </w:rPr>
              <w:fldChar w:fldCharType="separate"/>
            </w:r>
            <w:r>
              <w:rPr>
                <w:noProof/>
              </w:rPr>
              <w:t>1</w:t>
            </w:r>
            <w:r>
              <w:rPr>
                <w:noProof/>
              </w:rPr>
              <w:fldChar w:fldCharType="end"/>
            </w:r>
          </w:hyperlink>
        </w:p>
        <w:p w14:paraId="52D1715D" w14:textId="77777777" w:rsidR="00592E03" w:rsidRDefault="00592E03">
          <w:pPr>
            <w:pStyle w:val="TOC2"/>
            <w:tabs>
              <w:tab w:val="right" w:leader="dot" w:pos="9350"/>
            </w:tabs>
            <w:rPr>
              <w:noProof/>
            </w:rPr>
          </w:pPr>
          <w:hyperlink w:anchor="_Toc237337465" w:history="1">
            <w:r w:rsidRPr="00403474">
              <w:rPr>
                <w:rStyle w:val="Hyperlink"/>
                <w:noProof/>
              </w:rPr>
              <w:t>8.4  Every Date, on One Timeline</w:t>
            </w:r>
            <w:r>
              <w:rPr>
                <w:noProof/>
              </w:rPr>
              <w:tab/>
            </w:r>
            <w:r>
              <w:rPr>
                <w:noProof/>
              </w:rPr>
              <w:fldChar w:fldCharType="begin"/>
            </w:r>
            <w:r>
              <w:rPr>
                <w:noProof/>
              </w:rPr>
              <w:instrText xml:space="preserve"> PAGEREF _Toc237337465 \h </w:instrText>
            </w:r>
            <w:r>
              <w:rPr>
                <w:noProof/>
              </w:rPr>
            </w:r>
            <w:r>
              <w:rPr>
                <w:noProof/>
              </w:rPr>
              <w:fldChar w:fldCharType="separate"/>
            </w:r>
            <w:r>
              <w:rPr>
                <w:noProof/>
              </w:rPr>
              <w:t>1</w:t>
            </w:r>
            <w:r>
              <w:rPr>
                <w:noProof/>
              </w:rPr>
              <w:fldChar w:fldCharType="end"/>
            </w:r>
          </w:hyperlink>
        </w:p>
        <w:p w14:paraId="47F6DB32" w14:textId="77777777" w:rsidR="00592E03" w:rsidRDefault="00592E03">
          <w:pPr>
            <w:pStyle w:val="TOC2"/>
            <w:tabs>
              <w:tab w:val="right" w:leader="dot" w:pos="9350"/>
            </w:tabs>
            <w:rPr>
              <w:noProof/>
            </w:rPr>
          </w:pPr>
          <w:hyperlink w:anchor="_Toc237337466" w:history="1">
            <w:r w:rsidRPr="00403474">
              <w:rPr>
                <w:rStyle w:val="Hyperlink"/>
                <w:noProof/>
              </w:rPr>
              <w:t>8.5  Do Feeders Have Separate Dates from the Master?</w:t>
            </w:r>
            <w:r>
              <w:rPr>
                <w:noProof/>
              </w:rPr>
              <w:tab/>
            </w:r>
            <w:r>
              <w:rPr>
                <w:noProof/>
              </w:rPr>
              <w:fldChar w:fldCharType="begin"/>
            </w:r>
            <w:r>
              <w:rPr>
                <w:noProof/>
              </w:rPr>
              <w:instrText xml:space="preserve"> PAGEREF _Toc237337466 \h </w:instrText>
            </w:r>
            <w:r>
              <w:rPr>
                <w:noProof/>
              </w:rPr>
            </w:r>
            <w:r>
              <w:rPr>
                <w:noProof/>
              </w:rPr>
              <w:fldChar w:fldCharType="separate"/>
            </w:r>
            <w:r>
              <w:rPr>
                <w:noProof/>
              </w:rPr>
              <w:t>1</w:t>
            </w:r>
            <w:r>
              <w:rPr>
                <w:noProof/>
              </w:rPr>
              <w:fldChar w:fldCharType="end"/>
            </w:r>
          </w:hyperlink>
        </w:p>
        <w:p w14:paraId="6443E1E8" w14:textId="77777777" w:rsidR="00592E03" w:rsidRDefault="00592E03">
          <w:pPr>
            <w:pStyle w:val="TOC1"/>
            <w:tabs>
              <w:tab w:val="right" w:leader="dot" w:pos="9350"/>
            </w:tabs>
            <w:rPr>
              <w:noProof/>
            </w:rPr>
          </w:pPr>
          <w:hyperlink w:anchor="_Toc237337467" w:history="1">
            <w:r w:rsidRPr="00403474">
              <w:rPr>
                <w:rStyle w:val="Hyperlink"/>
                <w:noProof/>
              </w:rPr>
              <w:t>9  From Opportunity to Commitment</w:t>
            </w:r>
            <w:r>
              <w:rPr>
                <w:noProof/>
              </w:rPr>
              <w:tab/>
            </w:r>
            <w:r>
              <w:rPr>
                <w:noProof/>
              </w:rPr>
              <w:fldChar w:fldCharType="begin"/>
            </w:r>
            <w:r>
              <w:rPr>
                <w:noProof/>
              </w:rPr>
              <w:instrText xml:space="preserve"> PAGEREF _Toc237337467 \h </w:instrText>
            </w:r>
            <w:r>
              <w:rPr>
                <w:noProof/>
              </w:rPr>
            </w:r>
            <w:r>
              <w:rPr>
                <w:noProof/>
              </w:rPr>
              <w:fldChar w:fldCharType="separate"/>
            </w:r>
            <w:r>
              <w:rPr>
                <w:noProof/>
              </w:rPr>
              <w:t>1</w:t>
            </w:r>
            <w:r>
              <w:rPr>
                <w:noProof/>
              </w:rPr>
              <w:fldChar w:fldCharType="end"/>
            </w:r>
          </w:hyperlink>
        </w:p>
        <w:p w14:paraId="1B3E6BD5" w14:textId="77777777" w:rsidR="00592E03" w:rsidRDefault="00592E03">
          <w:pPr>
            <w:pStyle w:val="TOC2"/>
            <w:tabs>
              <w:tab w:val="right" w:leader="dot" w:pos="9350"/>
            </w:tabs>
            <w:rPr>
              <w:noProof/>
            </w:rPr>
          </w:pPr>
          <w:hyperlink w:anchor="_Toc237337468" w:history="1">
            <w:r w:rsidRPr="00403474">
              <w:rPr>
                <w:rStyle w:val="Hyperlink"/>
                <w:noProof/>
              </w:rPr>
              <w:t>9.1  Co-Investment and Separately Managed Account Are Opposites</w:t>
            </w:r>
            <w:r>
              <w:rPr>
                <w:noProof/>
              </w:rPr>
              <w:tab/>
            </w:r>
            <w:r>
              <w:rPr>
                <w:noProof/>
              </w:rPr>
              <w:fldChar w:fldCharType="begin"/>
            </w:r>
            <w:r>
              <w:rPr>
                <w:noProof/>
              </w:rPr>
              <w:instrText xml:space="preserve"> PAGEREF _Toc237337468 \h </w:instrText>
            </w:r>
            <w:r>
              <w:rPr>
                <w:noProof/>
              </w:rPr>
            </w:r>
            <w:r>
              <w:rPr>
                <w:noProof/>
              </w:rPr>
              <w:fldChar w:fldCharType="separate"/>
            </w:r>
            <w:r>
              <w:rPr>
                <w:noProof/>
              </w:rPr>
              <w:t>1</w:t>
            </w:r>
            <w:r>
              <w:rPr>
                <w:noProof/>
              </w:rPr>
              <w:fldChar w:fldCharType="end"/>
            </w:r>
          </w:hyperlink>
        </w:p>
        <w:p w14:paraId="44BB8918" w14:textId="77777777" w:rsidR="00592E03" w:rsidRDefault="00592E03">
          <w:pPr>
            <w:pStyle w:val="TOC1"/>
            <w:tabs>
              <w:tab w:val="right" w:leader="dot" w:pos="9350"/>
            </w:tabs>
            <w:rPr>
              <w:noProof/>
            </w:rPr>
          </w:pPr>
          <w:hyperlink w:anchor="_Toc237337469" w:history="1">
            <w:r w:rsidRPr="00403474">
              <w:rPr>
                <w:rStyle w:val="Hyperlink"/>
                <w:noProof/>
              </w:rPr>
              <w:t>10  Capital Calls, Bookkeeping, and Deployment</w:t>
            </w:r>
            <w:r>
              <w:rPr>
                <w:noProof/>
              </w:rPr>
              <w:tab/>
            </w:r>
            <w:r>
              <w:rPr>
                <w:noProof/>
              </w:rPr>
              <w:fldChar w:fldCharType="begin"/>
            </w:r>
            <w:r>
              <w:rPr>
                <w:noProof/>
              </w:rPr>
              <w:instrText xml:space="preserve"> PAGEREF _Toc237337469 \h </w:instrText>
            </w:r>
            <w:r>
              <w:rPr>
                <w:noProof/>
              </w:rPr>
            </w:r>
            <w:r>
              <w:rPr>
                <w:noProof/>
              </w:rPr>
              <w:fldChar w:fldCharType="separate"/>
            </w:r>
            <w:r>
              <w:rPr>
                <w:noProof/>
              </w:rPr>
              <w:t>1</w:t>
            </w:r>
            <w:r>
              <w:rPr>
                <w:noProof/>
              </w:rPr>
              <w:fldChar w:fldCharType="end"/>
            </w:r>
          </w:hyperlink>
        </w:p>
        <w:p w14:paraId="698738D4" w14:textId="77777777" w:rsidR="00592E03" w:rsidRDefault="00592E03">
          <w:pPr>
            <w:pStyle w:val="TOC2"/>
            <w:tabs>
              <w:tab w:val="right" w:leader="dot" w:pos="9350"/>
            </w:tabs>
            <w:rPr>
              <w:noProof/>
            </w:rPr>
          </w:pPr>
          <w:hyperlink w:anchor="_Toc237337470" w:history="1">
            <w:r w:rsidRPr="00403474">
              <w:rPr>
                <w:rStyle w:val="Hyperlink"/>
                <w:noProof/>
              </w:rPr>
              <w:t>10.1  Capital Called Is Not Capital Invested</w:t>
            </w:r>
            <w:r>
              <w:rPr>
                <w:noProof/>
              </w:rPr>
              <w:tab/>
            </w:r>
            <w:r>
              <w:rPr>
                <w:noProof/>
              </w:rPr>
              <w:fldChar w:fldCharType="begin"/>
            </w:r>
            <w:r>
              <w:rPr>
                <w:noProof/>
              </w:rPr>
              <w:instrText xml:space="preserve"> PAGEREF _Toc237337470 \h </w:instrText>
            </w:r>
            <w:r>
              <w:rPr>
                <w:noProof/>
              </w:rPr>
            </w:r>
            <w:r>
              <w:rPr>
                <w:noProof/>
              </w:rPr>
              <w:fldChar w:fldCharType="separate"/>
            </w:r>
            <w:r>
              <w:rPr>
                <w:noProof/>
              </w:rPr>
              <w:t>1</w:t>
            </w:r>
            <w:r>
              <w:rPr>
                <w:noProof/>
              </w:rPr>
              <w:fldChar w:fldCharType="end"/>
            </w:r>
          </w:hyperlink>
        </w:p>
        <w:p w14:paraId="039C186D" w14:textId="77777777" w:rsidR="00592E03" w:rsidRDefault="00592E03">
          <w:pPr>
            <w:pStyle w:val="TOC2"/>
            <w:tabs>
              <w:tab w:val="right" w:leader="dot" w:pos="9350"/>
            </w:tabs>
            <w:rPr>
              <w:noProof/>
            </w:rPr>
          </w:pPr>
          <w:hyperlink w:anchor="_Toc237337471" w:history="1">
            <w:r w:rsidRPr="00403474">
              <w:rPr>
                <w:rStyle w:val="Hyperlink"/>
                <w:noProof/>
              </w:rPr>
              <w:t>10.2  Three Books, One Truth</w:t>
            </w:r>
            <w:r>
              <w:rPr>
                <w:noProof/>
              </w:rPr>
              <w:tab/>
            </w:r>
            <w:r>
              <w:rPr>
                <w:noProof/>
              </w:rPr>
              <w:fldChar w:fldCharType="begin"/>
            </w:r>
            <w:r>
              <w:rPr>
                <w:noProof/>
              </w:rPr>
              <w:instrText xml:space="preserve"> PAGEREF _Toc237337471 \h </w:instrText>
            </w:r>
            <w:r>
              <w:rPr>
                <w:noProof/>
              </w:rPr>
            </w:r>
            <w:r>
              <w:rPr>
                <w:noProof/>
              </w:rPr>
              <w:fldChar w:fldCharType="separate"/>
            </w:r>
            <w:r>
              <w:rPr>
                <w:noProof/>
              </w:rPr>
              <w:t>1</w:t>
            </w:r>
            <w:r>
              <w:rPr>
                <w:noProof/>
              </w:rPr>
              <w:fldChar w:fldCharType="end"/>
            </w:r>
          </w:hyperlink>
        </w:p>
        <w:p w14:paraId="1661C74C" w14:textId="77777777" w:rsidR="00592E03" w:rsidRDefault="00592E03">
          <w:pPr>
            <w:pStyle w:val="TOC2"/>
            <w:tabs>
              <w:tab w:val="right" w:leader="dot" w:pos="9350"/>
            </w:tabs>
            <w:rPr>
              <w:noProof/>
            </w:rPr>
          </w:pPr>
          <w:hyperlink w:anchor="_Toc237337472" w:history="1">
            <w:r w:rsidRPr="00403474">
              <w:rPr>
                <w:rStyle w:val="Hyperlink"/>
                <w:noProof/>
              </w:rPr>
              <w:t>10.3  The Waterfall Is Where Pro Rata Stops</w:t>
            </w:r>
            <w:r>
              <w:rPr>
                <w:noProof/>
              </w:rPr>
              <w:tab/>
            </w:r>
            <w:r>
              <w:rPr>
                <w:noProof/>
              </w:rPr>
              <w:fldChar w:fldCharType="begin"/>
            </w:r>
            <w:r>
              <w:rPr>
                <w:noProof/>
              </w:rPr>
              <w:instrText xml:space="preserve"> PAGEREF _Toc237337472 \h </w:instrText>
            </w:r>
            <w:r>
              <w:rPr>
                <w:noProof/>
              </w:rPr>
            </w:r>
            <w:r>
              <w:rPr>
                <w:noProof/>
              </w:rPr>
              <w:fldChar w:fldCharType="separate"/>
            </w:r>
            <w:r>
              <w:rPr>
                <w:noProof/>
              </w:rPr>
              <w:t>1</w:t>
            </w:r>
            <w:r>
              <w:rPr>
                <w:noProof/>
              </w:rPr>
              <w:fldChar w:fldCharType="end"/>
            </w:r>
          </w:hyperlink>
        </w:p>
        <w:p w14:paraId="40275CD7" w14:textId="77777777" w:rsidR="00592E03" w:rsidRDefault="00592E03">
          <w:pPr>
            <w:pStyle w:val="TOC2"/>
            <w:tabs>
              <w:tab w:val="right" w:leader="dot" w:pos="9350"/>
            </w:tabs>
            <w:rPr>
              <w:noProof/>
            </w:rPr>
          </w:pPr>
          <w:hyperlink w:anchor="_Toc237337473" w:history="1">
            <w:r w:rsidRPr="00403474">
              <w:rPr>
                <w:rStyle w:val="Hyperlink"/>
                <w:noProof/>
              </w:rPr>
              <w:t>10.4  A Worked Commitment and Call Schedule</w:t>
            </w:r>
            <w:r>
              <w:rPr>
                <w:noProof/>
              </w:rPr>
              <w:tab/>
            </w:r>
            <w:r>
              <w:rPr>
                <w:noProof/>
              </w:rPr>
              <w:fldChar w:fldCharType="begin"/>
            </w:r>
            <w:r>
              <w:rPr>
                <w:noProof/>
              </w:rPr>
              <w:instrText xml:space="preserve"> PAGEREF _Toc237337473 \h </w:instrText>
            </w:r>
            <w:r>
              <w:rPr>
                <w:noProof/>
              </w:rPr>
            </w:r>
            <w:r>
              <w:rPr>
                <w:noProof/>
              </w:rPr>
              <w:fldChar w:fldCharType="separate"/>
            </w:r>
            <w:r>
              <w:rPr>
                <w:noProof/>
              </w:rPr>
              <w:t>1</w:t>
            </w:r>
            <w:r>
              <w:rPr>
                <w:noProof/>
              </w:rPr>
              <w:fldChar w:fldCharType="end"/>
            </w:r>
          </w:hyperlink>
        </w:p>
        <w:p w14:paraId="412180B8" w14:textId="77777777" w:rsidR="00592E03" w:rsidRDefault="00592E03">
          <w:pPr>
            <w:pStyle w:val="TOC1"/>
            <w:tabs>
              <w:tab w:val="right" w:leader="dot" w:pos="9350"/>
            </w:tabs>
            <w:rPr>
              <w:noProof/>
            </w:rPr>
          </w:pPr>
          <w:hyperlink w:anchor="_Toc237337474" w:history="1">
            <w:r w:rsidRPr="00403474">
              <w:rPr>
                <w:rStyle w:val="Hyperlink"/>
                <w:noProof/>
              </w:rPr>
              <w:t>11  The Economics: Two Levels, Four Facts</w:t>
            </w:r>
            <w:r>
              <w:rPr>
                <w:noProof/>
              </w:rPr>
              <w:tab/>
            </w:r>
            <w:r>
              <w:rPr>
                <w:noProof/>
              </w:rPr>
              <w:fldChar w:fldCharType="begin"/>
            </w:r>
            <w:r>
              <w:rPr>
                <w:noProof/>
              </w:rPr>
              <w:instrText xml:space="preserve"> PAGEREF _Toc237337474 \h </w:instrText>
            </w:r>
            <w:r>
              <w:rPr>
                <w:noProof/>
              </w:rPr>
            </w:r>
            <w:r>
              <w:rPr>
                <w:noProof/>
              </w:rPr>
              <w:fldChar w:fldCharType="separate"/>
            </w:r>
            <w:r>
              <w:rPr>
                <w:noProof/>
              </w:rPr>
              <w:t>1</w:t>
            </w:r>
            <w:r>
              <w:rPr>
                <w:noProof/>
              </w:rPr>
              <w:fldChar w:fldCharType="end"/>
            </w:r>
          </w:hyperlink>
        </w:p>
        <w:p w14:paraId="3D53D9CD" w14:textId="77777777" w:rsidR="00592E03" w:rsidRDefault="00592E03">
          <w:pPr>
            <w:pStyle w:val="TOC2"/>
            <w:tabs>
              <w:tab w:val="right" w:leader="dot" w:pos="9350"/>
            </w:tabs>
            <w:rPr>
              <w:noProof/>
            </w:rPr>
          </w:pPr>
          <w:hyperlink w:anchor="_Toc237337475" w:history="1">
            <w:r w:rsidRPr="00403474">
              <w:rPr>
                <w:rStyle w:val="Hyperlink"/>
                <w:noProof/>
              </w:rPr>
              <w:t>11.1  Fee Terms Live at Two Levels, Deliberately</w:t>
            </w:r>
            <w:r>
              <w:rPr>
                <w:noProof/>
              </w:rPr>
              <w:tab/>
            </w:r>
            <w:r>
              <w:rPr>
                <w:noProof/>
              </w:rPr>
              <w:fldChar w:fldCharType="begin"/>
            </w:r>
            <w:r>
              <w:rPr>
                <w:noProof/>
              </w:rPr>
              <w:instrText xml:space="preserve"> PAGEREF _Toc237337475 \h </w:instrText>
            </w:r>
            <w:r>
              <w:rPr>
                <w:noProof/>
              </w:rPr>
            </w:r>
            <w:r>
              <w:rPr>
                <w:noProof/>
              </w:rPr>
              <w:fldChar w:fldCharType="separate"/>
            </w:r>
            <w:r>
              <w:rPr>
                <w:noProof/>
              </w:rPr>
              <w:t>1</w:t>
            </w:r>
            <w:r>
              <w:rPr>
                <w:noProof/>
              </w:rPr>
              <w:fldChar w:fldCharType="end"/>
            </w:r>
          </w:hyperlink>
        </w:p>
        <w:p w14:paraId="54D767D6" w14:textId="77777777" w:rsidR="00592E03" w:rsidRDefault="00592E03">
          <w:pPr>
            <w:pStyle w:val="TOC2"/>
            <w:tabs>
              <w:tab w:val="right" w:leader="dot" w:pos="9350"/>
            </w:tabs>
            <w:rPr>
              <w:noProof/>
            </w:rPr>
          </w:pPr>
          <w:hyperlink w:anchor="_Toc237337476" w:history="1">
            <w:r w:rsidRPr="00403474">
              <w:rPr>
                <w:rStyle w:val="Hyperlink"/>
                <w:noProof/>
              </w:rPr>
              <w:t>11.2  A Hurdle Is Four Facts, Not One Number</w:t>
            </w:r>
            <w:r>
              <w:rPr>
                <w:noProof/>
              </w:rPr>
              <w:tab/>
            </w:r>
            <w:r>
              <w:rPr>
                <w:noProof/>
              </w:rPr>
              <w:fldChar w:fldCharType="begin"/>
            </w:r>
            <w:r>
              <w:rPr>
                <w:noProof/>
              </w:rPr>
              <w:instrText xml:space="preserve"> PAGEREF _Toc237337476 \h </w:instrText>
            </w:r>
            <w:r>
              <w:rPr>
                <w:noProof/>
              </w:rPr>
            </w:r>
            <w:r>
              <w:rPr>
                <w:noProof/>
              </w:rPr>
              <w:fldChar w:fldCharType="separate"/>
            </w:r>
            <w:r>
              <w:rPr>
                <w:noProof/>
              </w:rPr>
              <w:t>1</w:t>
            </w:r>
            <w:r>
              <w:rPr>
                <w:noProof/>
              </w:rPr>
              <w:fldChar w:fldCharType="end"/>
            </w:r>
          </w:hyperlink>
        </w:p>
        <w:p w14:paraId="66B758D4" w14:textId="77777777" w:rsidR="00592E03" w:rsidRDefault="00592E03">
          <w:pPr>
            <w:pStyle w:val="TOC2"/>
            <w:tabs>
              <w:tab w:val="right" w:leader="dot" w:pos="9350"/>
            </w:tabs>
            <w:rPr>
              <w:noProof/>
            </w:rPr>
          </w:pPr>
          <w:hyperlink w:anchor="_Toc237337477" w:history="1">
            <w:r w:rsidRPr="00403474">
              <w:rPr>
                <w:rStyle w:val="Hyperlink"/>
                <w:noProof/>
              </w:rPr>
              <w:t>11.3  The Waterfall Is a Fund Fact</w:t>
            </w:r>
            <w:r>
              <w:rPr>
                <w:noProof/>
              </w:rPr>
              <w:tab/>
            </w:r>
            <w:r>
              <w:rPr>
                <w:noProof/>
              </w:rPr>
              <w:fldChar w:fldCharType="begin"/>
            </w:r>
            <w:r>
              <w:rPr>
                <w:noProof/>
              </w:rPr>
              <w:instrText xml:space="preserve"> PAGEREF _Toc237337477 \h </w:instrText>
            </w:r>
            <w:r>
              <w:rPr>
                <w:noProof/>
              </w:rPr>
            </w:r>
            <w:r>
              <w:rPr>
                <w:noProof/>
              </w:rPr>
              <w:fldChar w:fldCharType="separate"/>
            </w:r>
            <w:r>
              <w:rPr>
                <w:noProof/>
              </w:rPr>
              <w:t>1</w:t>
            </w:r>
            <w:r>
              <w:rPr>
                <w:noProof/>
              </w:rPr>
              <w:fldChar w:fldCharType="end"/>
            </w:r>
          </w:hyperlink>
        </w:p>
        <w:p w14:paraId="22D79FEC" w14:textId="77777777" w:rsidR="00592E03" w:rsidRDefault="00592E03">
          <w:pPr>
            <w:pStyle w:val="TOC2"/>
            <w:tabs>
              <w:tab w:val="right" w:leader="dot" w:pos="9350"/>
            </w:tabs>
            <w:rPr>
              <w:noProof/>
            </w:rPr>
          </w:pPr>
          <w:hyperlink w:anchor="_Toc237337478" w:history="1">
            <w:r w:rsidRPr="00403474">
              <w:rPr>
                <w:rStyle w:val="Hyperlink"/>
                <w:noProof/>
              </w:rPr>
              <w:t>11.4  What the Constraints Actually Catch</w:t>
            </w:r>
            <w:r>
              <w:rPr>
                <w:noProof/>
              </w:rPr>
              <w:tab/>
            </w:r>
            <w:r>
              <w:rPr>
                <w:noProof/>
              </w:rPr>
              <w:fldChar w:fldCharType="begin"/>
            </w:r>
            <w:r>
              <w:rPr>
                <w:noProof/>
              </w:rPr>
              <w:instrText xml:space="preserve"> PAGEREF _Toc237337478 \h </w:instrText>
            </w:r>
            <w:r>
              <w:rPr>
                <w:noProof/>
              </w:rPr>
            </w:r>
            <w:r>
              <w:rPr>
                <w:noProof/>
              </w:rPr>
              <w:fldChar w:fldCharType="separate"/>
            </w:r>
            <w:r>
              <w:rPr>
                <w:noProof/>
              </w:rPr>
              <w:t>1</w:t>
            </w:r>
            <w:r>
              <w:rPr>
                <w:noProof/>
              </w:rPr>
              <w:fldChar w:fldCharType="end"/>
            </w:r>
          </w:hyperlink>
        </w:p>
        <w:p w14:paraId="451EF195" w14:textId="77777777" w:rsidR="00592E03" w:rsidRDefault="00592E03">
          <w:pPr>
            <w:pStyle w:val="TOC1"/>
            <w:tabs>
              <w:tab w:val="right" w:leader="dot" w:pos="9350"/>
            </w:tabs>
            <w:rPr>
              <w:noProof/>
            </w:rPr>
          </w:pPr>
          <w:hyperlink w:anchor="_Toc237337479" w:history="1">
            <w:r w:rsidRPr="00403474">
              <w:rPr>
                <w:rStyle w:val="Hyperlink"/>
                <w:noProof/>
              </w:rPr>
              <w:t>12  Who Covers the Investor</w:t>
            </w:r>
            <w:r>
              <w:rPr>
                <w:noProof/>
              </w:rPr>
              <w:tab/>
            </w:r>
            <w:r>
              <w:rPr>
                <w:noProof/>
              </w:rPr>
              <w:fldChar w:fldCharType="begin"/>
            </w:r>
            <w:r>
              <w:rPr>
                <w:noProof/>
              </w:rPr>
              <w:instrText xml:space="preserve"> PAGEREF _Toc237337479 \h </w:instrText>
            </w:r>
            <w:r>
              <w:rPr>
                <w:noProof/>
              </w:rPr>
            </w:r>
            <w:r>
              <w:rPr>
                <w:noProof/>
              </w:rPr>
              <w:fldChar w:fldCharType="separate"/>
            </w:r>
            <w:r>
              <w:rPr>
                <w:noProof/>
              </w:rPr>
              <w:t>1</w:t>
            </w:r>
            <w:r>
              <w:rPr>
                <w:noProof/>
              </w:rPr>
              <w:fldChar w:fldCharType="end"/>
            </w:r>
          </w:hyperlink>
        </w:p>
        <w:p w14:paraId="4F26BA98" w14:textId="77777777" w:rsidR="00592E03" w:rsidRDefault="00592E03">
          <w:pPr>
            <w:pStyle w:val="TOC2"/>
            <w:tabs>
              <w:tab w:val="right" w:leader="dot" w:pos="9350"/>
            </w:tabs>
            <w:rPr>
              <w:noProof/>
            </w:rPr>
          </w:pPr>
          <w:hyperlink w:anchor="_Toc237337480" w:history="1">
            <w:r w:rsidRPr="00403474">
              <w:rPr>
                <w:rStyle w:val="Hyperlink"/>
                <w:noProof/>
              </w:rPr>
              <w:t>12.1  Relationship Manager Is a Role, Not a Class</w:t>
            </w:r>
            <w:r>
              <w:rPr>
                <w:noProof/>
              </w:rPr>
              <w:tab/>
            </w:r>
            <w:r>
              <w:rPr>
                <w:noProof/>
              </w:rPr>
              <w:fldChar w:fldCharType="begin"/>
            </w:r>
            <w:r>
              <w:rPr>
                <w:noProof/>
              </w:rPr>
              <w:instrText xml:space="preserve"> PAGEREF _Toc237337480 \h </w:instrText>
            </w:r>
            <w:r>
              <w:rPr>
                <w:noProof/>
              </w:rPr>
            </w:r>
            <w:r>
              <w:rPr>
                <w:noProof/>
              </w:rPr>
              <w:fldChar w:fldCharType="separate"/>
            </w:r>
            <w:r>
              <w:rPr>
                <w:noProof/>
              </w:rPr>
              <w:t>1</w:t>
            </w:r>
            <w:r>
              <w:rPr>
                <w:noProof/>
              </w:rPr>
              <w:fldChar w:fldCharType="end"/>
            </w:r>
          </w:hyperlink>
        </w:p>
        <w:p w14:paraId="1BD12E6A" w14:textId="77777777" w:rsidR="00592E03" w:rsidRDefault="00592E03">
          <w:pPr>
            <w:pStyle w:val="TOC2"/>
            <w:tabs>
              <w:tab w:val="right" w:leader="dot" w:pos="9350"/>
            </w:tabs>
            <w:rPr>
              <w:noProof/>
            </w:rPr>
          </w:pPr>
          <w:hyperlink w:anchor="_Toc237337481" w:history="1">
            <w:r w:rsidRPr="00403474">
              <w:rPr>
                <w:rStyle w:val="Hyperlink"/>
                <w:noProof/>
              </w:rPr>
              <w:t>12.2  Coverage Is Reified</w:t>
            </w:r>
            <w:r>
              <w:rPr>
                <w:noProof/>
              </w:rPr>
              <w:tab/>
            </w:r>
            <w:r>
              <w:rPr>
                <w:noProof/>
              </w:rPr>
              <w:fldChar w:fldCharType="begin"/>
            </w:r>
            <w:r>
              <w:rPr>
                <w:noProof/>
              </w:rPr>
              <w:instrText xml:space="preserve"> PAGEREF _Toc237337481 \h </w:instrText>
            </w:r>
            <w:r>
              <w:rPr>
                <w:noProof/>
              </w:rPr>
            </w:r>
            <w:r>
              <w:rPr>
                <w:noProof/>
              </w:rPr>
              <w:fldChar w:fldCharType="separate"/>
            </w:r>
            <w:r>
              <w:rPr>
                <w:noProof/>
              </w:rPr>
              <w:t>1</w:t>
            </w:r>
            <w:r>
              <w:rPr>
                <w:noProof/>
              </w:rPr>
              <w:fldChar w:fldCharType="end"/>
            </w:r>
          </w:hyperlink>
        </w:p>
        <w:p w14:paraId="42EE6024" w14:textId="77777777" w:rsidR="00592E03" w:rsidRDefault="00592E03">
          <w:pPr>
            <w:pStyle w:val="TOC2"/>
            <w:tabs>
              <w:tab w:val="right" w:leader="dot" w:pos="9350"/>
            </w:tabs>
            <w:rPr>
              <w:noProof/>
            </w:rPr>
          </w:pPr>
          <w:hyperlink w:anchor="_Toc237337482" w:history="1">
            <w:r w:rsidRPr="00403474">
              <w:rPr>
                <w:rStyle w:val="Hyperlink"/>
                <w:noProof/>
              </w:rPr>
              <w:t>12.3  The Constraint That Pays for the Extension</w:t>
            </w:r>
            <w:r>
              <w:rPr>
                <w:noProof/>
              </w:rPr>
              <w:tab/>
            </w:r>
            <w:r>
              <w:rPr>
                <w:noProof/>
              </w:rPr>
              <w:fldChar w:fldCharType="begin"/>
            </w:r>
            <w:r>
              <w:rPr>
                <w:noProof/>
              </w:rPr>
              <w:instrText xml:space="preserve"> PAGEREF _Toc237337482 \h </w:instrText>
            </w:r>
            <w:r>
              <w:rPr>
                <w:noProof/>
              </w:rPr>
            </w:r>
            <w:r>
              <w:rPr>
                <w:noProof/>
              </w:rPr>
              <w:fldChar w:fldCharType="separate"/>
            </w:r>
            <w:r>
              <w:rPr>
                <w:noProof/>
              </w:rPr>
              <w:t>1</w:t>
            </w:r>
            <w:r>
              <w:rPr>
                <w:noProof/>
              </w:rPr>
              <w:fldChar w:fldCharType="end"/>
            </w:r>
          </w:hyperlink>
        </w:p>
        <w:p w14:paraId="4DEB116E" w14:textId="77777777" w:rsidR="00592E03" w:rsidRDefault="00592E03">
          <w:pPr>
            <w:pStyle w:val="TOC2"/>
            <w:tabs>
              <w:tab w:val="right" w:leader="dot" w:pos="9350"/>
            </w:tabs>
            <w:rPr>
              <w:noProof/>
            </w:rPr>
          </w:pPr>
          <w:hyperlink w:anchor="_Toc237337483" w:history="1">
            <w:r w:rsidRPr="00403474">
              <w:rPr>
                <w:rStyle w:val="Hyperlink"/>
                <w:noProof/>
              </w:rPr>
              <w:t>12.4  Identifying the Investor</w:t>
            </w:r>
            <w:r>
              <w:rPr>
                <w:noProof/>
              </w:rPr>
              <w:tab/>
            </w:r>
            <w:r>
              <w:rPr>
                <w:noProof/>
              </w:rPr>
              <w:fldChar w:fldCharType="begin"/>
            </w:r>
            <w:r>
              <w:rPr>
                <w:noProof/>
              </w:rPr>
              <w:instrText xml:space="preserve"> PAGEREF _Toc237337483 \h </w:instrText>
            </w:r>
            <w:r>
              <w:rPr>
                <w:noProof/>
              </w:rPr>
            </w:r>
            <w:r>
              <w:rPr>
                <w:noProof/>
              </w:rPr>
              <w:fldChar w:fldCharType="separate"/>
            </w:r>
            <w:r>
              <w:rPr>
                <w:noProof/>
              </w:rPr>
              <w:t>1</w:t>
            </w:r>
            <w:r>
              <w:rPr>
                <w:noProof/>
              </w:rPr>
              <w:fldChar w:fldCharType="end"/>
            </w:r>
          </w:hyperlink>
        </w:p>
        <w:p w14:paraId="4E088652" w14:textId="77777777" w:rsidR="00592E03" w:rsidRDefault="00592E03">
          <w:pPr>
            <w:pStyle w:val="TOC1"/>
            <w:tabs>
              <w:tab w:val="right" w:leader="dot" w:pos="9350"/>
            </w:tabs>
            <w:rPr>
              <w:noProof/>
            </w:rPr>
          </w:pPr>
          <w:hyperlink w:anchor="_Toc237337484" w:history="1">
            <w:r w:rsidRPr="00403474">
              <w:rPr>
                <w:rStyle w:val="Hyperlink"/>
                <w:noProof/>
              </w:rPr>
              <w:t>13  The Recurring Rule: Derive, Do Not Store</w:t>
            </w:r>
            <w:r>
              <w:rPr>
                <w:noProof/>
              </w:rPr>
              <w:tab/>
            </w:r>
            <w:r>
              <w:rPr>
                <w:noProof/>
              </w:rPr>
              <w:fldChar w:fldCharType="begin"/>
            </w:r>
            <w:r>
              <w:rPr>
                <w:noProof/>
              </w:rPr>
              <w:instrText xml:space="preserve"> PAGEREF _Toc237337484 \h </w:instrText>
            </w:r>
            <w:r>
              <w:rPr>
                <w:noProof/>
              </w:rPr>
            </w:r>
            <w:r>
              <w:rPr>
                <w:noProof/>
              </w:rPr>
              <w:fldChar w:fldCharType="separate"/>
            </w:r>
            <w:r>
              <w:rPr>
                <w:noProof/>
              </w:rPr>
              <w:t>1</w:t>
            </w:r>
            <w:r>
              <w:rPr>
                <w:noProof/>
              </w:rPr>
              <w:fldChar w:fldCharType="end"/>
            </w:r>
          </w:hyperlink>
        </w:p>
        <w:p w14:paraId="3815DE11" w14:textId="77777777" w:rsidR="00592E03" w:rsidRDefault="00592E03">
          <w:pPr>
            <w:pStyle w:val="TOC1"/>
            <w:tabs>
              <w:tab w:val="right" w:leader="dot" w:pos="9350"/>
            </w:tabs>
            <w:rPr>
              <w:noProof/>
            </w:rPr>
          </w:pPr>
          <w:hyperlink w:anchor="_Toc237337485" w:history="1">
            <w:r w:rsidRPr="00403474">
              <w:rPr>
                <w:rStyle w:val="Hyperlink"/>
                <w:noProof/>
              </w:rPr>
              <w:t>14  Constraint Mechanics, and Six Ways They Fail Silently</w:t>
            </w:r>
            <w:r>
              <w:rPr>
                <w:noProof/>
              </w:rPr>
              <w:tab/>
            </w:r>
            <w:r>
              <w:rPr>
                <w:noProof/>
              </w:rPr>
              <w:fldChar w:fldCharType="begin"/>
            </w:r>
            <w:r>
              <w:rPr>
                <w:noProof/>
              </w:rPr>
              <w:instrText xml:space="preserve"> PAGEREF _Toc237337485 \h </w:instrText>
            </w:r>
            <w:r>
              <w:rPr>
                <w:noProof/>
              </w:rPr>
            </w:r>
            <w:r>
              <w:rPr>
                <w:noProof/>
              </w:rPr>
              <w:fldChar w:fldCharType="separate"/>
            </w:r>
            <w:r>
              <w:rPr>
                <w:noProof/>
              </w:rPr>
              <w:t>1</w:t>
            </w:r>
            <w:r>
              <w:rPr>
                <w:noProof/>
              </w:rPr>
              <w:fldChar w:fldCharType="end"/>
            </w:r>
          </w:hyperlink>
        </w:p>
        <w:p w14:paraId="39F509B1" w14:textId="77777777" w:rsidR="00592E03" w:rsidRDefault="00592E03">
          <w:pPr>
            <w:pStyle w:val="TOC2"/>
            <w:tabs>
              <w:tab w:val="right" w:leader="dot" w:pos="9350"/>
            </w:tabs>
            <w:rPr>
              <w:noProof/>
            </w:rPr>
          </w:pPr>
          <w:hyperlink w:anchor="_Toc237337486" w:history="1">
            <w:r w:rsidRPr="00403474">
              <w:rPr>
                <w:rStyle w:val="Hyperlink"/>
                <w:noProof/>
              </w:rPr>
              <w:t>14.1  Shapes Do Not Inherit</w:t>
            </w:r>
            <w:r>
              <w:rPr>
                <w:noProof/>
              </w:rPr>
              <w:tab/>
            </w:r>
            <w:r>
              <w:rPr>
                <w:noProof/>
              </w:rPr>
              <w:fldChar w:fldCharType="begin"/>
            </w:r>
            <w:r>
              <w:rPr>
                <w:noProof/>
              </w:rPr>
              <w:instrText xml:space="preserve"> PAGEREF _Toc237337486 \h </w:instrText>
            </w:r>
            <w:r>
              <w:rPr>
                <w:noProof/>
              </w:rPr>
            </w:r>
            <w:r>
              <w:rPr>
                <w:noProof/>
              </w:rPr>
              <w:fldChar w:fldCharType="separate"/>
            </w:r>
            <w:r>
              <w:rPr>
                <w:noProof/>
              </w:rPr>
              <w:t>1</w:t>
            </w:r>
            <w:r>
              <w:rPr>
                <w:noProof/>
              </w:rPr>
              <w:fldChar w:fldCharType="end"/>
            </w:r>
          </w:hyperlink>
        </w:p>
        <w:p w14:paraId="0881AB23" w14:textId="77777777" w:rsidR="00592E03" w:rsidRDefault="00592E03">
          <w:pPr>
            <w:pStyle w:val="TOC2"/>
            <w:tabs>
              <w:tab w:val="right" w:leader="dot" w:pos="9350"/>
            </w:tabs>
            <w:rPr>
              <w:noProof/>
            </w:rPr>
          </w:pPr>
          <w:hyperlink w:anchor="_Toc237337487" w:history="1">
            <w:r w:rsidRPr="00403474">
              <w:rPr>
                <w:rStyle w:val="Hyperlink"/>
                <w:noProof/>
              </w:rPr>
              <w:t>14.2  Five Failure Modes</w:t>
            </w:r>
            <w:r>
              <w:rPr>
                <w:noProof/>
              </w:rPr>
              <w:tab/>
            </w:r>
            <w:r>
              <w:rPr>
                <w:noProof/>
              </w:rPr>
              <w:fldChar w:fldCharType="begin"/>
            </w:r>
            <w:r>
              <w:rPr>
                <w:noProof/>
              </w:rPr>
              <w:instrText xml:space="preserve"> PAGEREF _Toc237337487 \h </w:instrText>
            </w:r>
            <w:r>
              <w:rPr>
                <w:noProof/>
              </w:rPr>
            </w:r>
            <w:r>
              <w:rPr>
                <w:noProof/>
              </w:rPr>
              <w:fldChar w:fldCharType="separate"/>
            </w:r>
            <w:r>
              <w:rPr>
                <w:noProof/>
              </w:rPr>
              <w:t>1</w:t>
            </w:r>
            <w:r>
              <w:rPr>
                <w:noProof/>
              </w:rPr>
              <w:fldChar w:fldCharType="end"/>
            </w:r>
          </w:hyperlink>
        </w:p>
        <w:p w14:paraId="718F1D67" w14:textId="77777777" w:rsidR="00592E03" w:rsidRDefault="00592E03">
          <w:pPr>
            <w:pStyle w:val="TOC1"/>
            <w:tabs>
              <w:tab w:val="right" w:leader="dot" w:pos="9350"/>
            </w:tabs>
            <w:rPr>
              <w:noProof/>
            </w:rPr>
          </w:pPr>
          <w:hyperlink w:anchor="_Toc237337488" w:history="1">
            <w:r w:rsidRPr="00403474">
              <w:rPr>
                <w:rStyle w:val="Hyperlink"/>
                <w:noProof/>
              </w:rPr>
              <w:t>15  The Reference Dataset</w:t>
            </w:r>
            <w:r>
              <w:rPr>
                <w:noProof/>
              </w:rPr>
              <w:tab/>
            </w:r>
            <w:r>
              <w:rPr>
                <w:noProof/>
              </w:rPr>
              <w:fldChar w:fldCharType="begin"/>
            </w:r>
            <w:r>
              <w:rPr>
                <w:noProof/>
              </w:rPr>
              <w:instrText xml:space="preserve"> PAGEREF _Toc237337488 \h </w:instrText>
            </w:r>
            <w:r>
              <w:rPr>
                <w:noProof/>
              </w:rPr>
            </w:r>
            <w:r>
              <w:rPr>
                <w:noProof/>
              </w:rPr>
              <w:fldChar w:fldCharType="separate"/>
            </w:r>
            <w:r>
              <w:rPr>
                <w:noProof/>
              </w:rPr>
              <w:t>1</w:t>
            </w:r>
            <w:r>
              <w:rPr>
                <w:noProof/>
              </w:rPr>
              <w:fldChar w:fldCharType="end"/>
            </w:r>
          </w:hyperlink>
        </w:p>
        <w:p w14:paraId="1A67E165" w14:textId="77777777" w:rsidR="00592E03" w:rsidRDefault="00592E03">
          <w:pPr>
            <w:pStyle w:val="TOC1"/>
            <w:tabs>
              <w:tab w:val="right" w:leader="dot" w:pos="9350"/>
            </w:tabs>
            <w:rPr>
              <w:noProof/>
            </w:rPr>
          </w:pPr>
          <w:hyperlink w:anchor="_Toc237337489" w:history="1">
            <w:r w:rsidRPr="00403474">
              <w:rPr>
                <w:rStyle w:val="Hyperlink"/>
                <w:noProof/>
              </w:rPr>
              <w:t>16  Open Items</w:t>
            </w:r>
            <w:r>
              <w:rPr>
                <w:noProof/>
              </w:rPr>
              <w:tab/>
            </w:r>
            <w:r>
              <w:rPr>
                <w:noProof/>
              </w:rPr>
              <w:fldChar w:fldCharType="begin"/>
            </w:r>
            <w:r>
              <w:rPr>
                <w:noProof/>
              </w:rPr>
              <w:instrText xml:space="preserve"> PAGEREF _Toc237337489 \h </w:instrText>
            </w:r>
            <w:r>
              <w:rPr>
                <w:noProof/>
              </w:rPr>
            </w:r>
            <w:r>
              <w:rPr>
                <w:noProof/>
              </w:rPr>
              <w:fldChar w:fldCharType="separate"/>
            </w:r>
            <w:r>
              <w:rPr>
                <w:noProof/>
              </w:rPr>
              <w:t>1</w:t>
            </w:r>
            <w:r>
              <w:rPr>
                <w:noProof/>
              </w:rPr>
              <w:fldChar w:fldCharType="end"/>
            </w:r>
          </w:hyperlink>
        </w:p>
        <w:p w14:paraId="1E3EA59A" w14:textId="77777777" w:rsidR="00592E03" w:rsidRDefault="00592E03">
          <w:pPr>
            <w:pStyle w:val="TOC1"/>
            <w:tabs>
              <w:tab w:val="right" w:leader="dot" w:pos="9350"/>
            </w:tabs>
            <w:rPr>
              <w:noProof/>
            </w:rPr>
          </w:pPr>
          <w:hyperlink w:anchor="_Toc237337490" w:history="1">
            <w:r w:rsidRPr="00403474">
              <w:rPr>
                <w:rStyle w:val="Hyperlink"/>
                <w:noProof/>
              </w:rPr>
              <w:t>Appendix A  Running a Capital Call</w:t>
            </w:r>
            <w:r>
              <w:rPr>
                <w:noProof/>
              </w:rPr>
              <w:tab/>
            </w:r>
            <w:r>
              <w:rPr>
                <w:noProof/>
              </w:rPr>
              <w:fldChar w:fldCharType="begin"/>
            </w:r>
            <w:r>
              <w:rPr>
                <w:noProof/>
              </w:rPr>
              <w:instrText xml:space="preserve"> PAGEREF _Toc237337490 \h </w:instrText>
            </w:r>
            <w:r>
              <w:rPr>
                <w:noProof/>
              </w:rPr>
            </w:r>
            <w:r>
              <w:rPr>
                <w:noProof/>
              </w:rPr>
              <w:fldChar w:fldCharType="separate"/>
            </w:r>
            <w:r>
              <w:rPr>
                <w:noProof/>
              </w:rPr>
              <w:t>1</w:t>
            </w:r>
            <w:r>
              <w:rPr>
                <w:noProof/>
              </w:rPr>
              <w:fldChar w:fldCharType="end"/>
            </w:r>
          </w:hyperlink>
        </w:p>
        <w:p w14:paraId="6463CA7A" w14:textId="77777777" w:rsidR="00592E03" w:rsidRDefault="00592E03">
          <w:pPr>
            <w:pStyle w:val="TOC2"/>
            <w:tabs>
              <w:tab w:val="right" w:leader="dot" w:pos="9350"/>
            </w:tabs>
            <w:rPr>
              <w:noProof/>
            </w:rPr>
          </w:pPr>
          <w:hyperlink w:anchor="_Toc237337491" w:history="1">
            <w:r w:rsidRPr="00403474">
              <w:rPr>
                <w:rStyle w:val="Hyperlink"/>
                <w:noProof/>
              </w:rPr>
              <w:t>A.1  Size the Call — Capital Called Is Not Capital Invested</w:t>
            </w:r>
            <w:r>
              <w:rPr>
                <w:noProof/>
              </w:rPr>
              <w:tab/>
            </w:r>
            <w:r>
              <w:rPr>
                <w:noProof/>
              </w:rPr>
              <w:fldChar w:fldCharType="begin"/>
            </w:r>
            <w:r>
              <w:rPr>
                <w:noProof/>
              </w:rPr>
              <w:instrText xml:space="preserve"> PAGEREF _Toc237337491 \h </w:instrText>
            </w:r>
            <w:r>
              <w:rPr>
                <w:noProof/>
              </w:rPr>
            </w:r>
            <w:r>
              <w:rPr>
                <w:noProof/>
              </w:rPr>
              <w:fldChar w:fldCharType="separate"/>
            </w:r>
            <w:r>
              <w:rPr>
                <w:noProof/>
              </w:rPr>
              <w:t>1</w:t>
            </w:r>
            <w:r>
              <w:rPr>
                <w:noProof/>
              </w:rPr>
              <w:fldChar w:fldCharType="end"/>
            </w:r>
          </w:hyperlink>
        </w:p>
        <w:p w14:paraId="635B99BD" w14:textId="77777777" w:rsidR="00592E03" w:rsidRDefault="00592E03">
          <w:pPr>
            <w:pStyle w:val="TOC2"/>
            <w:tabs>
              <w:tab w:val="right" w:leader="dot" w:pos="9350"/>
            </w:tabs>
            <w:rPr>
              <w:noProof/>
            </w:rPr>
          </w:pPr>
          <w:hyperlink w:anchor="_Toc237337492" w:history="1">
            <w:r w:rsidRPr="00403474">
              <w:rPr>
                <w:rStyle w:val="Hyperlink"/>
                <w:noProof/>
              </w:rPr>
              <w:t>A.2  Allocate — Pro Rata to Unfunded, Then Adjust</w:t>
            </w:r>
            <w:r>
              <w:rPr>
                <w:noProof/>
              </w:rPr>
              <w:tab/>
            </w:r>
            <w:r>
              <w:rPr>
                <w:noProof/>
              </w:rPr>
              <w:fldChar w:fldCharType="begin"/>
            </w:r>
            <w:r>
              <w:rPr>
                <w:noProof/>
              </w:rPr>
              <w:instrText xml:space="preserve"> PAGEREF _Toc237337492 \h </w:instrText>
            </w:r>
            <w:r>
              <w:rPr>
                <w:noProof/>
              </w:rPr>
            </w:r>
            <w:r>
              <w:rPr>
                <w:noProof/>
              </w:rPr>
              <w:fldChar w:fldCharType="separate"/>
            </w:r>
            <w:r>
              <w:rPr>
                <w:noProof/>
              </w:rPr>
              <w:t>1</w:t>
            </w:r>
            <w:r>
              <w:rPr>
                <w:noProof/>
              </w:rPr>
              <w:fldChar w:fldCharType="end"/>
            </w:r>
          </w:hyperlink>
        </w:p>
        <w:p w14:paraId="4C25C552" w14:textId="77777777" w:rsidR="00592E03" w:rsidRDefault="00592E03">
          <w:pPr>
            <w:pStyle w:val="TOC2"/>
            <w:tabs>
              <w:tab w:val="right" w:leader="dot" w:pos="9350"/>
            </w:tabs>
            <w:rPr>
              <w:noProof/>
            </w:rPr>
          </w:pPr>
          <w:hyperlink w:anchor="_Toc237337493" w:history="1">
            <w:r w:rsidRPr="00403474">
              <w:rPr>
                <w:rStyle w:val="Hyperlink"/>
                <w:noProof/>
              </w:rPr>
              <w:t>A.3  The Feeder Offset — The Trap in a Master-Feeder Structure</w:t>
            </w:r>
            <w:r>
              <w:rPr>
                <w:noProof/>
              </w:rPr>
              <w:tab/>
            </w:r>
            <w:r>
              <w:rPr>
                <w:noProof/>
              </w:rPr>
              <w:fldChar w:fldCharType="begin"/>
            </w:r>
            <w:r>
              <w:rPr>
                <w:noProof/>
              </w:rPr>
              <w:instrText xml:space="preserve"> PAGEREF _Toc237337493 \h </w:instrText>
            </w:r>
            <w:r>
              <w:rPr>
                <w:noProof/>
              </w:rPr>
            </w:r>
            <w:r>
              <w:rPr>
                <w:noProof/>
              </w:rPr>
              <w:fldChar w:fldCharType="separate"/>
            </w:r>
            <w:r>
              <w:rPr>
                <w:noProof/>
              </w:rPr>
              <w:t>1</w:t>
            </w:r>
            <w:r>
              <w:rPr>
                <w:noProof/>
              </w:rPr>
              <w:fldChar w:fldCharType="end"/>
            </w:r>
          </w:hyperlink>
        </w:p>
        <w:p w14:paraId="600FB693" w14:textId="77777777" w:rsidR="00592E03" w:rsidRDefault="00592E03">
          <w:pPr>
            <w:pStyle w:val="TOC2"/>
            <w:tabs>
              <w:tab w:val="right" w:leader="dot" w:pos="9350"/>
            </w:tabs>
            <w:rPr>
              <w:noProof/>
            </w:rPr>
          </w:pPr>
          <w:hyperlink w:anchor="_Toc237337494" w:history="1">
            <w:r w:rsidRPr="00403474">
              <w:rPr>
                <w:rStyle w:val="Hyperlink"/>
                <w:noProof/>
              </w:rPr>
              <w:t>A.4  Issue the Notices</w:t>
            </w:r>
            <w:r>
              <w:rPr>
                <w:noProof/>
              </w:rPr>
              <w:tab/>
            </w:r>
            <w:r>
              <w:rPr>
                <w:noProof/>
              </w:rPr>
              <w:fldChar w:fldCharType="begin"/>
            </w:r>
            <w:r>
              <w:rPr>
                <w:noProof/>
              </w:rPr>
              <w:instrText xml:space="preserve"> PAGEREF _Toc237337494 \h </w:instrText>
            </w:r>
            <w:r>
              <w:rPr>
                <w:noProof/>
              </w:rPr>
            </w:r>
            <w:r>
              <w:rPr>
                <w:noProof/>
              </w:rPr>
              <w:fldChar w:fldCharType="separate"/>
            </w:r>
            <w:r>
              <w:rPr>
                <w:noProof/>
              </w:rPr>
              <w:t>1</w:t>
            </w:r>
            <w:r>
              <w:rPr>
                <w:noProof/>
              </w:rPr>
              <w:fldChar w:fldCharType="end"/>
            </w:r>
          </w:hyperlink>
        </w:p>
        <w:p w14:paraId="55DC12CC" w14:textId="77777777" w:rsidR="00592E03" w:rsidRDefault="00592E03">
          <w:pPr>
            <w:pStyle w:val="TOC2"/>
            <w:tabs>
              <w:tab w:val="right" w:leader="dot" w:pos="9350"/>
            </w:tabs>
            <w:rPr>
              <w:noProof/>
            </w:rPr>
          </w:pPr>
          <w:hyperlink w:anchor="_Toc237337495" w:history="1">
            <w:r w:rsidRPr="00403474">
              <w:rPr>
                <w:rStyle w:val="Hyperlink"/>
                <w:noProof/>
              </w:rPr>
              <w:t>A.5  Between Notice and Due Date</w:t>
            </w:r>
            <w:r>
              <w:rPr>
                <w:noProof/>
              </w:rPr>
              <w:tab/>
            </w:r>
            <w:r>
              <w:rPr>
                <w:noProof/>
              </w:rPr>
              <w:fldChar w:fldCharType="begin"/>
            </w:r>
            <w:r>
              <w:rPr>
                <w:noProof/>
              </w:rPr>
              <w:instrText xml:space="preserve"> PAGEREF _Toc237337495 \h </w:instrText>
            </w:r>
            <w:r>
              <w:rPr>
                <w:noProof/>
              </w:rPr>
            </w:r>
            <w:r>
              <w:rPr>
                <w:noProof/>
              </w:rPr>
              <w:fldChar w:fldCharType="separate"/>
            </w:r>
            <w:r>
              <w:rPr>
                <w:noProof/>
              </w:rPr>
              <w:t>1</w:t>
            </w:r>
            <w:r>
              <w:rPr>
                <w:noProof/>
              </w:rPr>
              <w:fldChar w:fldCharType="end"/>
            </w:r>
          </w:hyperlink>
        </w:p>
        <w:p w14:paraId="76C9FD70" w14:textId="77777777" w:rsidR="00592E03" w:rsidRDefault="00592E03">
          <w:pPr>
            <w:pStyle w:val="TOC2"/>
            <w:tabs>
              <w:tab w:val="right" w:leader="dot" w:pos="9350"/>
            </w:tabs>
            <w:rPr>
              <w:noProof/>
            </w:rPr>
          </w:pPr>
          <w:hyperlink w:anchor="_Toc237337496" w:history="1">
            <w:r w:rsidRPr="00403474">
              <w:rPr>
                <w:rStyle w:val="Hyperlink"/>
                <w:noProof/>
              </w:rPr>
              <w:t>A.6  Due Date, Then Reconcile</w:t>
            </w:r>
            <w:r>
              <w:rPr>
                <w:noProof/>
              </w:rPr>
              <w:tab/>
            </w:r>
            <w:r>
              <w:rPr>
                <w:noProof/>
              </w:rPr>
              <w:fldChar w:fldCharType="begin"/>
            </w:r>
            <w:r>
              <w:rPr>
                <w:noProof/>
              </w:rPr>
              <w:instrText xml:space="preserve"> PAGEREF _Toc237337496 \h </w:instrText>
            </w:r>
            <w:r>
              <w:rPr>
                <w:noProof/>
              </w:rPr>
            </w:r>
            <w:r>
              <w:rPr>
                <w:noProof/>
              </w:rPr>
              <w:fldChar w:fldCharType="separate"/>
            </w:r>
            <w:r>
              <w:rPr>
                <w:noProof/>
              </w:rPr>
              <w:t>1</w:t>
            </w:r>
            <w:r>
              <w:rPr>
                <w:noProof/>
              </w:rPr>
              <w:fldChar w:fldCharType="end"/>
            </w:r>
          </w:hyperlink>
        </w:p>
        <w:p w14:paraId="3E0CB004" w14:textId="77777777" w:rsidR="00592E03" w:rsidRDefault="00592E03">
          <w:pPr>
            <w:pStyle w:val="TOC2"/>
            <w:tabs>
              <w:tab w:val="right" w:leader="dot" w:pos="9350"/>
            </w:tabs>
            <w:rPr>
              <w:noProof/>
            </w:rPr>
          </w:pPr>
          <w:hyperlink w:anchor="_Toc237337497" w:history="1">
            <w:r w:rsidRPr="00403474">
              <w:rPr>
                <w:rStyle w:val="Hyperlink"/>
                <w:noProof/>
              </w:rPr>
              <w:t>A.7  Deploy, Then Post</w:t>
            </w:r>
            <w:r>
              <w:rPr>
                <w:noProof/>
              </w:rPr>
              <w:tab/>
            </w:r>
            <w:r>
              <w:rPr>
                <w:noProof/>
              </w:rPr>
              <w:fldChar w:fldCharType="begin"/>
            </w:r>
            <w:r>
              <w:rPr>
                <w:noProof/>
              </w:rPr>
              <w:instrText xml:space="preserve"> PAGEREF _Toc237337497 \h </w:instrText>
            </w:r>
            <w:r>
              <w:rPr>
                <w:noProof/>
              </w:rPr>
            </w:r>
            <w:r>
              <w:rPr>
                <w:noProof/>
              </w:rPr>
              <w:fldChar w:fldCharType="separate"/>
            </w:r>
            <w:r>
              <w:rPr>
                <w:noProof/>
              </w:rPr>
              <w:t>1</w:t>
            </w:r>
            <w:r>
              <w:rPr>
                <w:noProof/>
              </w:rPr>
              <w:fldChar w:fldCharType="end"/>
            </w:r>
          </w:hyperlink>
        </w:p>
        <w:p w14:paraId="07C96CE3" w14:textId="77777777" w:rsidR="00592E03" w:rsidRDefault="00592E03">
          <w:pPr>
            <w:pStyle w:val="TOC2"/>
            <w:tabs>
              <w:tab w:val="right" w:leader="dot" w:pos="9350"/>
            </w:tabs>
            <w:rPr>
              <w:noProof/>
            </w:rPr>
          </w:pPr>
          <w:hyperlink w:anchor="_Toc237337498" w:history="1">
            <w:r w:rsidRPr="00403474">
              <w:rPr>
                <w:rStyle w:val="Hyperlink"/>
                <w:noProof/>
              </w:rPr>
              <w:t>A.8  Failure to Fund</w:t>
            </w:r>
            <w:r>
              <w:rPr>
                <w:noProof/>
              </w:rPr>
              <w:tab/>
            </w:r>
            <w:r>
              <w:rPr>
                <w:noProof/>
              </w:rPr>
              <w:fldChar w:fldCharType="begin"/>
            </w:r>
            <w:r>
              <w:rPr>
                <w:noProof/>
              </w:rPr>
              <w:instrText xml:space="preserve"> PAGEREF _Toc237337498 \h </w:instrText>
            </w:r>
            <w:r>
              <w:rPr>
                <w:noProof/>
              </w:rPr>
            </w:r>
            <w:r>
              <w:rPr>
                <w:noProof/>
              </w:rPr>
              <w:fldChar w:fldCharType="separate"/>
            </w:r>
            <w:r>
              <w:rPr>
                <w:noProof/>
              </w:rPr>
              <w:t>1</w:t>
            </w:r>
            <w:r>
              <w:rPr>
                <w:noProof/>
              </w:rPr>
              <w:fldChar w:fldCharType="end"/>
            </w:r>
          </w:hyperlink>
        </w:p>
        <w:p w14:paraId="5562F55D" w14:textId="77777777" w:rsidR="00592E03" w:rsidRDefault="00592E03">
          <w:pPr>
            <w:pStyle w:val="TOC2"/>
            <w:tabs>
              <w:tab w:val="right" w:leader="dot" w:pos="9350"/>
            </w:tabs>
            <w:rPr>
              <w:noProof/>
            </w:rPr>
          </w:pPr>
          <w:hyperlink w:anchor="_Toc237337499" w:history="1">
            <w:r w:rsidRPr="00403474">
              <w:rPr>
                <w:rStyle w:val="Hyperlink"/>
                <w:noProof/>
              </w:rPr>
              <w:t>A.9  What Changes for the Other Three Calls</w:t>
            </w:r>
            <w:r>
              <w:rPr>
                <w:noProof/>
              </w:rPr>
              <w:tab/>
            </w:r>
            <w:r>
              <w:rPr>
                <w:noProof/>
              </w:rPr>
              <w:fldChar w:fldCharType="begin"/>
            </w:r>
            <w:r>
              <w:rPr>
                <w:noProof/>
              </w:rPr>
              <w:instrText xml:space="preserve"> PAGEREF _Toc237337499 \h </w:instrText>
            </w:r>
            <w:r>
              <w:rPr>
                <w:noProof/>
              </w:rPr>
            </w:r>
            <w:r>
              <w:rPr>
                <w:noProof/>
              </w:rPr>
              <w:fldChar w:fldCharType="separate"/>
            </w:r>
            <w:r>
              <w:rPr>
                <w:noProof/>
              </w:rPr>
              <w:t>1</w:t>
            </w:r>
            <w:r>
              <w:rPr>
                <w:noProof/>
              </w:rPr>
              <w:fldChar w:fldCharType="end"/>
            </w:r>
          </w:hyperlink>
        </w:p>
        <w:p w14:paraId="506BD3C4" w14:textId="77777777" w:rsidR="00592E03" w:rsidRDefault="00592E03">
          <w:pPr>
            <w:pStyle w:val="TOC2"/>
            <w:tabs>
              <w:tab w:val="right" w:leader="dot" w:pos="9350"/>
            </w:tabs>
            <w:rPr>
              <w:noProof/>
            </w:rPr>
          </w:pPr>
          <w:hyperlink w:anchor="_Toc237337500" w:history="1">
            <w:r w:rsidRPr="00403474">
              <w:rPr>
                <w:rStyle w:val="Hyperlink"/>
                <w:noProof/>
              </w:rPr>
              <w:t>A.10  The Controls, In One Place</w:t>
            </w:r>
            <w:r>
              <w:rPr>
                <w:noProof/>
              </w:rPr>
              <w:tab/>
            </w:r>
            <w:r>
              <w:rPr>
                <w:noProof/>
              </w:rPr>
              <w:fldChar w:fldCharType="begin"/>
            </w:r>
            <w:r>
              <w:rPr>
                <w:noProof/>
              </w:rPr>
              <w:instrText xml:space="preserve"> PAGEREF _Toc237337500 \h </w:instrText>
            </w:r>
            <w:r>
              <w:rPr>
                <w:noProof/>
              </w:rPr>
            </w:r>
            <w:r>
              <w:rPr>
                <w:noProof/>
              </w:rPr>
              <w:fldChar w:fldCharType="separate"/>
            </w:r>
            <w:r>
              <w:rPr>
                <w:noProof/>
              </w:rPr>
              <w:t>1</w:t>
            </w:r>
            <w:r>
              <w:rPr>
                <w:noProof/>
              </w:rPr>
              <w:fldChar w:fldCharType="end"/>
            </w:r>
          </w:hyperlink>
        </w:p>
        <w:p w14:paraId="53A7DE05" w14:textId="77777777" w:rsidR="00592E03" w:rsidRDefault="00592E03">
          <w:pPr>
            <w:pStyle w:val="TOC1"/>
            <w:tabs>
              <w:tab w:val="right" w:leader="dot" w:pos="9350"/>
            </w:tabs>
            <w:rPr>
              <w:noProof/>
            </w:rPr>
          </w:pPr>
          <w:hyperlink w:anchor="_Toc237337501" w:history="1">
            <w:r w:rsidRPr="00403474">
              <w:rPr>
                <w:rStyle w:val="Hyperlink"/>
                <w:noProof/>
              </w:rPr>
              <w:t>Appendix B  Feeder → Main Fund: Operational Mechanics</w:t>
            </w:r>
            <w:r>
              <w:rPr>
                <w:noProof/>
              </w:rPr>
              <w:tab/>
            </w:r>
            <w:r>
              <w:rPr>
                <w:noProof/>
              </w:rPr>
              <w:fldChar w:fldCharType="begin"/>
            </w:r>
            <w:r>
              <w:rPr>
                <w:noProof/>
              </w:rPr>
              <w:instrText xml:space="preserve"> PAGEREF _Toc237337501 \h </w:instrText>
            </w:r>
            <w:r>
              <w:rPr>
                <w:noProof/>
              </w:rPr>
            </w:r>
            <w:r>
              <w:rPr>
                <w:noProof/>
              </w:rPr>
              <w:fldChar w:fldCharType="separate"/>
            </w:r>
            <w:r>
              <w:rPr>
                <w:noProof/>
              </w:rPr>
              <w:t>1</w:t>
            </w:r>
            <w:r>
              <w:rPr>
                <w:noProof/>
              </w:rPr>
              <w:fldChar w:fldCharType="end"/>
            </w:r>
          </w:hyperlink>
        </w:p>
        <w:p w14:paraId="69FD3B28" w14:textId="77777777" w:rsidR="00592E03" w:rsidRDefault="00592E03">
          <w:pPr>
            <w:pStyle w:val="TOC2"/>
            <w:tabs>
              <w:tab w:val="right" w:leader="dot" w:pos="9350"/>
            </w:tabs>
            <w:rPr>
              <w:noProof/>
            </w:rPr>
          </w:pPr>
          <w:hyperlink w:anchor="_Toc237337502" w:history="1">
            <w:r w:rsidRPr="00403474">
              <w:rPr>
                <w:rStyle w:val="Hyperlink"/>
                <w:noProof/>
              </w:rPr>
              <w:t>B.1  Structure Overview</w:t>
            </w:r>
            <w:r>
              <w:rPr>
                <w:noProof/>
              </w:rPr>
              <w:tab/>
            </w:r>
            <w:r>
              <w:rPr>
                <w:noProof/>
              </w:rPr>
              <w:fldChar w:fldCharType="begin"/>
            </w:r>
            <w:r>
              <w:rPr>
                <w:noProof/>
              </w:rPr>
              <w:instrText xml:space="preserve"> PAGEREF _Toc237337502 \h </w:instrText>
            </w:r>
            <w:r>
              <w:rPr>
                <w:noProof/>
              </w:rPr>
            </w:r>
            <w:r>
              <w:rPr>
                <w:noProof/>
              </w:rPr>
              <w:fldChar w:fldCharType="separate"/>
            </w:r>
            <w:r>
              <w:rPr>
                <w:noProof/>
              </w:rPr>
              <w:t>1</w:t>
            </w:r>
            <w:r>
              <w:rPr>
                <w:noProof/>
              </w:rPr>
              <w:fldChar w:fldCharType="end"/>
            </w:r>
          </w:hyperlink>
        </w:p>
        <w:p w14:paraId="32D36977" w14:textId="77777777" w:rsidR="00592E03" w:rsidRDefault="00592E03">
          <w:pPr>
            <w:pStyle w:val="TOC2"/>
            <w:tabs>
              <w:tab w:val="right" w:leader="dot" w:pos="9350"/>
            </w:tabs>
            <w:rPr>
              <w:noProof/>
            </w:rPr>
          </w:pPr>
          <w:hyperlink w:anchor="_Toc237337503" w:history="1">
            <w:r w:rsidRPr="00403474">
              <w:rPr>
                <w:rStyle w:val="Hyperlink"/>
                <w:noProof/>
              </w:rPr>
              <w:t>B.2  Capital Call Flow — Step by Step</w:t>
            </w:r>
            <w:r>
              <w:rPr>
                <w:noProof/>
              </w:rPr>
              <w:tab/>
            </w:r>
            <w:r>
              <w:rPr>
                <w:noProof/>
              </w:rPr>
              <w:fldChar w:fldCharType="begin"/>
            </w:r>
            <w:r>
              <w:rPr>
                <w:noProof/>
              </w:rPr>
              <w:instrText xml:space="preserve"> PAGEREF _Toc237337503 \h </w:instrText>
            </w:r>
            <w:r>
              <w:rPr>
                <w:noProof/>
              </w:rPr>
            </w:r>
            <w:r>
              <w:rPr>
                <w:noProof/>
              </w:rPr>
              <w:fldChar w:fldCharType="separate"/>
            </w:r>
            <w:r>
              <w:rPr>
                <w:noProof/>
              </w:rPr>
              <w:t>1</w:t>
            </w:r>
            <w:r>
              <w:rPr>
                <w:noProof/>
              </w:rPr>
              <w:fldChar w:fldCharType="end"/>
            </w:r>
          </w:hyperlink>
        </w:p>
        <w:p w14:paraId="7381BE56" w14:textId="77777777" w:rsidR="00592E03" w:rsidRDefault="00592E03">
          <w:pPr>
            <w:pStyle w:val="TOC2"/>
            <w:tabs>
              <w:tab w:val="right" w:leader="dot" w:pos="9350"/>
            </w:tabs>
            <w:rPr>
              <w:noProof/>
            </w:rPr>
          </w:pPr>
          <w:hyperlink w:anchor="_Toc237337504" w:history="1">
            <w:r w:rsidRPr="00403474">
              <w:rPr>
                <w:rStyle w:val="Hyperlink"/>
                <w:noProof/>
              </w:rPr>
              <w:t>B.3  Journal Entries at Each Level</w:t>
            </w:r>
            <w:r>
              <w:rPr>
                <w:noProof/>
              </w:rPr>
              <w:tab/>
            </w:r>
            <w:r>
              <w:rPr>
                <w:noProof/>
              </w:rPr>
              <w:fldChar w:fldCharType="begin"/>
            </w:r>
            <w:r>
              <w:rPr>
                <w:noProof/>
              </w:rPr>
              <w:instrText xml:space="preserve"> PAGEREF _Toc237337504 \h </w:instrText>
            </w:r>
            <w:r>
              <w:rPr>
                <w:noProof/>
              </w:rPr>
            </w:r>
            <w:r>
              <w:rPr>
                <w:noProof/>
              </w:rPr>
              <w:fldChar w:fldCharType="separate"/>
            </w:r>
            <w:r>
              <w:rPr>
                <w:noProof/>
              </w:rPr>
              <w:t>1</w:t>
            </w:r>
            <w:r>
              <w:rPr>
                <w:noProof/>
              </w:rPr>
              <w:fldChar w:fldCharType="end"/>
            </w:r>
          </w:hyperlink>
        </w:p>
        <w:p w14:paraId="536FEDB7" w14:textId="77777777" w:rsidR="00592E03" w:rsidRDefault="00592E03">
          <w:pPr>
            <w:pStyle w:val="TOC3"/>
            <w:tabs>
              <w:tab w:val="right" w:leader="dot" w:pos="9350"/>
            </w:tabs>
            <w:rPr>
              <w:noProof/>
            </w:rPr>
          </w:pPr>
          <w:hyperlink w:anchor="_Toc237337505" w:history="1">
            <w:r w:rsidRPr="00403474">
              <w:rPr>
                <w:rStyle w:val="Hyperlink"/>
                <w:noProof/>
              </w:rPr>
              <w:t>Feeder A (40% ownership)</w:t>
            </w:r>
            <w:r>
              <w:rPr>
                <w:noProof/>
              </w:rPr>
              <w:tab/>
            </w:r>
            <w:r>
              <w:rPr>
                <w:noProof/>
              </w:rPr>
              <w:fldChar w:fldCharType="begin"/>
            </w:r>
            <w:r>
              <w:rPr>
                <w:noProof/>
              </w:rPr>
              <w:instrText xml:space="preserve"> PAGEREF _Toc237337505 \h </w:instrText>
            </w:r>
            <w:r>
              <w:rPr>
                <w:noProof/>
              </w:rPr>
            </w:r>
            <w:r>
              <w:rPr>
                <w:noProof/>
              </w:rPr>
              <w:fldChar w:fldCharType="separate"/>
            </w:r>
            <w:r>
              <w:rPr>
                <w:noProof/>
              </w:rPr>
              <w:t>1</w:t>
            </w:r>
            <w:r>
              <w:rPr>
                <w:noProof/>
              </w:rPr>
              <w:fldChar w:fldCharType="end"/>
            </w:r>
          </w:hyperlink>
        </w:p>
        <w:p w14:paraId="07FF64B8" w14:textId="77777777" w:rsidR="00592E03" w:rsidRDefault="00592E03">
          <w:pPr>
            <w:pStyle w:val="TOC3"/>
            <w:tabs>
              <w:tab w:val="right" w:leader="dot" w:pos="9350"/>
            </w:tabs>
            <w:rPr>
              <w:noProof/>
            </w:rPr>
          </w:pPr>
          <w:hyperlink w:anchor="_Toc237337506" w:history="1">
            <w:r w:rsidRPr="00403474">
              <w:rPr>
                <w:rStyle w:val="Hyperlink"/>
                <w:noProof/>
              </w:rPr>
              <w:t>Main Fund</w:t>
            </w:r>
            <w:r>
              <w:rPr>
                <w:noProof/>
              </w:rPr>
              <w:tab/>
            </w:r>
            <w:r>
              <w:rPr>
                <w:noProof/>
              </w:rPr>
              <w:fldChar w:fldCharType="begin"/>
            </w:r>
            <w:r>
              <w:rPr>
                <w:noProof/>
              </w:rPr>
              <w:instrText xml:space="preserve"> PAGEREF _Toc237337506 \h </w:instrText>
            </w:r>
            <w:r>
              <w:rPr>
                <w:noProof/>
              </w:rPr>
            </w:r>
            <w:r>
              <w:rPr>
                <w:noProof/>
              </w:rPr>
              <w:fldChar w:fldCharType="separate"/>
            </w:r>
            <w:r>
              <w:rPr>
                <w:noProof/>
              </w:rPr>
              <w:t>1</w:t>
            </w:r>
            <w:r>
              <w:rPr>
                <w:noProof/>
              </w:rPr>
              <w:fldChar w:fldCharType="end"/>
            </w:r>
          </w:hyperlink>
        </w:p>
        <w:p w14:paraId="6BC79526" w14:textId="77777777" w:rsidR="00592E03" w:rsidRDefault="00592E03">
          <w:pPr>
            <w:pStyle w:val="TOC2"/>
            <w:tabs>
              <w:tab w:val="right" w:leader="dot" w:pos="9350"/>
            </w:tabs>
            <w:rPr>
              <w:noProof/>
            </w:rPr>
          </w:pPr>
          <w:hyperlink w:anchor="_Toc237337507" w:history="1">
            <w:r w:rsidRPr="00403474">
              <w:rPr>
                <w:rStyle w:val="Hyperlink"/>
                <w:noProof/>
              </w:rPr>
              <w:t>B.4  Balance Sheet After Investment</w:t>
            </w:r>
            <w:r>
              <w:rPr>
                <w:noProof/>
              </w:rPr>
              <w:tab/>
            </w:r>
            <w:r>
              <w:rPr>
                <w:noProof/>
              </w:rPr>
              <w:fldChar w:fldCharType="begin"/>
            </w:r>
            <w:r>
              <w:rPr>
                <w:noProof/>
              </w:rPr>
              <w:instrText xml:space="preserve"> PAGEREF _Toc237337507 \h </w:instrText>
            </w:r>
            <w:r>
              <w:rPr>
                <w:noProof/>
              </w:rPr>
            </w:r>
            <w:r>
              <w:rPr>
                <w:noProof/>
              </w:rPr>
              <w:fldChar w:fldCharType="separate"/>
            </w:r>
            <w:r>
              <w:rPr>
                <w:noProof/>
              </w:rPr>
              <w:t>1</w:t>
            </w:r>
            <w:r>
              <w:rPr>
                <w:noProof/>
              </w:rPr>
              <w:fldChar w:fldCharType="end"/>
            </w:r>
          </w:hyperlink>
        </w:p>
        <w:p w14:paraId="62B1B662" w14:textId="77777777" w:rsidR="00592E03" w:rsidRDefault="00592E03">
          <w:pPr>
            <w:pStyle w:val="TOC2"/>
            <w:tabs>
              <w:tab w:val="right" w:leader="dot" w:pos="9350"/>
            </w:tabs>
            <w:rPr>
              <w:noProof/>
            </w:rPr>
          </w:pPr>
          <w:hyperlink w:anchor="_Toc237337508" w:history="1">
            <w:r w:rsidRPr="00403474">
              <w:rPr>
                <w:rStyle w:val="Hyperlink"/>
                <w:noProof/>
              </w:rPr>
              <w:t>B.5  Quarterly P&amp;L Allocation</w:t>
            </w:r>
            <w:r>
              <w:rPr>
                <w:noProof/>
              </w:rPr>
              <w:tab/>
            </w:r>
            <w:r>
              <w:rPr>
                <w:noProof/>
              </w:rPr>
              <w:fldChar w:fldCharType="begin"/>
            </w:r>
            <w:r>
              <w:rPr>
                <w:noProof/>
              </w:rPr>
              <w:instrText xml:space="preserve"> PAGEREF _Toc237337508 \h </w:instrText>
            </w:r>
            <w:r>
              <w:rPr>
                <w:noProof/>
              </w:rPr>
            </w:r>
            <w:r>
              <w:rPr>
                <w:noProof/>
              </w:rPr>
              <w:fldChar w:fldCharType="separate"/>
            </w:r>
            <w:r>
              <w:rPr>
                <w:noProof/>
              </w:rPr>
              <w:t>1</w:t>
            </w:r>
            <w:r>
              <w:rPr>
                <w:noProof/>
              </w:rPr>
              <w:fldChar w:fldCharType="end"/>
            </w:r>
          </w:hyperlink>
        </w:p>
        <w:p w14:paraId="56AEB6E0" w14:textId="77777777" w:rsidR="00592E03" w:rsidRDefault="00592E03">
          <w:pPr>
            <w:pStyle w:val="TOC2"/>
            <w:tabs>
              <w:tab w:val="right" w:leader="dot" w:pos="9350"/>
            </w:tabs>
            <w:rPr>
              <w:noProof/>
            </w:rPr>
          </w:pPr>
          <w:hyperlink w:anchor="_Toc237337509" w:history="1">
            <w:r w:rsidRPr="00403474">
              <w:rPr>
                <w:rStyle w:val="Hyperlink"/>
                <w:noProof/>
              </w:rPr>
              <w:t>B.6  Exit and Distribution</w:t>
            </w:r>
            <w:r>
              <w:rPr>
                <w:noProof/>
              </w:rPr>
              <w:tab/>
            </w:r>
            <w:r>
              <w:rPr>
                <w:noProof/>
              </w:rPr>
              <w:fldChar w:fldCharType="begin"/>
            </w:r>
            <w:r>
              <w:rPr>
                <w:noProof/>
              </w:rPr>
              <w:instrText xml:space="preserve"> PAGEREF _Toc237337509 \h </w:instrText>
            </w:r>
            <w:r>
              <w:rPr>
                <w:noProof/>
              </w:rPr>
            </w:r>
            <w:r>
              <w:rPr>
                <w:noProof/>
              </w:rPr>
              <w:fldChar w:fldCharType="separate"/>
            </w:r>
            <w:r>
              <w:rPr>
                <w:noProof/>
              </w:rPr>
              <w:t>1</w:t>
            </w:r>
            <w:r>
              <w:rPr>
                <w:noProof/>
              </w:rPr>
              <w:fldChar w:fldCharType="end"/>
            </w:r>
          </w:hyperlink>
        </w:p>
        <w:p w14:paraId="07AA9116" w14:textId="77777777" w:rsidR="00592E03" w:rsidRDefault="00592E03">
          <w:pPr>
            <w:pStyle w:val="TOC1"/>
            <w:tabs>
              <w:tab w:val="right" w:leader="dot" w:pos="9350"/>
            </w:tabs>
            <w:rPr>
              <w:noProof/>
            </w:rPr>
          </w:pPr>
          <w:hyperlink w:anchor="_Toc237337510" w:history="1">
            <w:r w:rsidRPr="00403474">
              <w:rPr>
                <w:rStyle w:val="Hyperlink"/>
                <w:noProof/>
              </w:rPr>
              <w:t>Appendix C  Fund Closes and Equalization Mechanics</w:t>
            </w:r>
            <w:r>
              <w:rPr>
                <w:noProof/>
              </w:rPr>
              <w:tab/>
            </w:r>
            <w:r>
              <w:rPr>
                <w:noProof/>
              </w:rPr>
              <w:fldChar w:fldCharType="begin"/>
            </w:r>
            <w:r>
              <w:rPr>
                <w:noProof/>
              </w:rPr>
              <w:instrText xml:space="preserve"> PAGEREF _Toc237337510 \h </w:instrText>
            </w:r>
            <w:r>
              <w:rPr>
                <w:noProof/>
              </w:rPr>
            </w:r>
            <w:r>
              <w:rPr>
                <w:noProof/>
              </w:rPr>
              <w:fldChar w:fldCharType="separate"/>
            </w:r>
            <w:r>
              <w:rPr>
                <w:noProof/>
              </w:rPr>
              <w:t>1</w:t>
            </w:r>
            <w:r>
              <w:rPr>
                <w:noProof/>
              </w:rPr>
              <w:fldChar w:fldCharType="end"/>
            </w:r>
          </w:hyperlink>
        </w:p>
        <w:p w14:paraId="358CA713" w14:textId="77777777" w:rsidR="00592E03" w:rsidRDefault="00592E03">
          <w:pPr>
            <w:pStyle w:val="TOC2"/>
            <w:tabs>
              <w:tab w:val="right" w:leader="dot" w:pos="9350"/>
            </w:tabs>
            <w:rPr>
              <w:noProof/>
            </w:rPr>
          </w:pPr>
          <w:hyperlink w:anchor="_Toc237337511" w:history="1">
            <w:r w:rsidRPr="00403474">
              <w:rPr>
                <w:rStyle w:val="Hyperlink"/>
                <w:noProof/>
              </w:rPr>
              <w:t>C.1  Three Types of Close Date</w:t>
            </w:r>
            <w:r>
              <w:rPr>
                <w:noProof/>
              </w:rPr>
              <w:tab/>
            </w:r>
            <w:r>
              <w:rPr>
                <w:noProof/>
              </w:rPr>
              <w:fldChar w:fldCharType="begin"/>
            </w:r>
            <w:r>
              <w:rPr>
                <w:noProof/>
              </w:rPr>
              <w:instrText xml:space="preserve"> PAGEREF _Toc237337511 \h </w:instrText>
            </w:r>
            <w:r>
              <w:rPr>
                <w:noProof/>
              </w:rPr>
            </w:r>
            <w:r>
              <w:rPr>
                <w:noProof/>
              </w:rPr>
              <w:fldChar w:fldCharType="separate"/>
            </w:r>
            <w:r>
              <w:rPr>
                <w:noProof/>
              </w:rPr>
              <w:t>1</w:t>
            </w:r>
            <w:r>
              <w:rPr>
                <w:noProof/>
              </w:rPr>
              <w:fldChar w:fldCharType="end"/>
            </w:r>
          </w:hyperlink>
        </w:p>
        <w:p w14:paraId="6FF25293" w14:textId="77777777" w:rsidR="00592E03" w:rsidRDefault="00592E03">
          <w:pPr>
            <w:pStyle w:val="TOC2"/>
            <w:tabs>
              <w:tab w:val="right" w:leader="dot" w:pos="9350"/>
            </w:tabs>
            <w:rPr>
              <w:noProof/>
            </w:rPr>
          </w:pPr>
          <w:hyperlink w:anchor="_Toc237337512" w:history="1">
            <w:r w:rsidRPr="00403474">
              <w:rPr>
                <w:rStyle w:val="Hyperlink"/>
                <w:noProof/>
              </w:rPr>
              <w:t>C.2  Fundraising Timeline — Three Closes over 18 Months</w:t>
            </w:r>
            <w:r>
              <w:rPr>
                <w:noProof/>
              </w:rPr>
              <w:tab/>
            </w:r>
            <w:r>
              <w:rPr>
                <w:noProof/>
              </w:rPr>
              <w:fldChar w:fldCharType="begin"/>
            </w:r>
            <w:r>
              <w:rPr>
                <w:noProof/>
              </w:rPr>
              <w:instrText xml:space="preserve"> PAGEREF _Toc237337512 \h </w:instrText>
            </w:r>
            <w:r>
              <w:rPr>
                <w:noProof/>
              </w:rPr>
            </w:r>
            <w:r>
              <w:rPr>
                <w:noProof/>
              </w:rPr>
              <w:fldChar w:fldCharType="separate"/>
            </w:r>
            <w:r>
              <w:rPr>
                <w:noProof/>
              </w:rPr>
              <w:t>1</w:t>
            </w:r>
            <w:r>
              <w:rPr>
                <w:noProof/>
              </w:rPr>
              <w:fldChar w:fldCharType="end"/>
            </w:r>
          </w:hyperlink>
        </w:p>
        <w:p w14:paraId="3E56C6F7" w14:textId="77777777" w:rsidR="00592E03" w:rsidRDefault="00592E03">
          <w:pPr>
            <w:pStyle w:val="TOC2"/>
            <w:tabs>
              <w:tab w:val="right" w:leader="dot" w:pos="9350"/>
            </w:tabs>
            <w:rPr>
              <w:noProof/>
            </w:rPr>
          </w:pPr>
          <w:hyperlink w:anchor="_Toc237337513" w:history="1">
            <w:r w:rsidRPr="00403474">
              <w:rPr>
                <w:rStyle w:val="Hyperlink"/>
                <w:noProof/>
              </w:rPr>
              <w:t>C.3  Feeder Close vs. Fund Close — Timing</w:t>
            </w:r>
            <w:r>
              <w:rPr>
                <w:noProof/>
              </w:rPr>
              <w:tab/>
            </w:r>
            <w:r>
              <w:rPr>
                <w:noProof/>
              </w:rPr>
              <w:fldChar w:fldCharType="begin"/>
            </w:r>
            <w:r>
              <w:rPr>
                <w:noProof/>
              </w:rPr>
              <w:instrText xml:space="preserve"> PAGEREF _Toc237337513 \h </w:instrText>
            </w:r>
            <w:r>
              <w:rPr>
                <w:noProof/>
              </w:rPr>
            </w:r>
            <w:r>
              <w:rPr>
                <w:noProof/>
              </w:rPr>
              <w:fldChar w:fldCharType="separate"/>
            </w:r>
            <w:r>
              <w:rPr>
                <w:noProof/>
              </w:rPr>
              <w:t>1</w:t>
            </w:r>
            <w:r>
              <w:rPr>
                <w:noProof/>
              </w:rPr>
              <w:fldChar w:fldCharType="end"/>
            </w:r>
          </w:hyperlink>
        </w:p>
        <w:p w14:paraId="221BCB6C" w14:textId="77777777" w:rsidR="00592E03" w:rsidRDefault="00592E03">
          <w:pPr>
            <w:pStyle w:val="TOC2"/>
            <w:tabs>
              <w:tab w:val="right" w:leader="dot" w:pos="9350"/>
            </w:tabs>
            <w:rPr>
              <w:noProof/>
            </w:rPr>
          </w:pPr>
          <w:hyperlink w:anchor="_Toc237337514" w:history="1">
            <w:r w:rsidRPr="00403474">
              <w:rPr>
                <w:rStyle w:val="Hyperlink"/>
                <w:noProof/>
              </w:rPr>
              <w:t>C.4  Equalization — Worked Example (Second Close, Month 9)</w:t>
            </w:r>
            <w:r>
              <w:rPr>
                <w:noProof/>
              </w:rPr>
              <w:tab/>
            </w:r>
            <w:r>
              <w:rPr>
                <w:noProof/>
              </w:rPr>
              <w:fldChar w:fldCharType="begin"/>
            </w:r>
            <w:r>
              <w:rPr>
                <w:noProof/>
              </w:rPr>
              <w:instrText xml:space="preserve"> PAGEREF _Toc237337514 \h </w:instrText>
            </w:r>
            <w:r>
              <w:rPr>
                <w:noProof/>
              </w:rPr>
            </w:r>
            <w:r>
              <w:rPr>
                <w:noProof/>
              </w:rPr>
              <w:fldChar w:fldCharType="separate"/>
            </w:r>
            <w:r>
              <w:rPr>
                <w:noProof/>
              </w:rPr>
              <w:t>1</w:t>
            </w:r>
            <w:r>
              <w:rPr>
                <w:noProof/>
              </w:rPr>
              <w:fldChar w:fldCharType="end"/>
            </w:r>
          </w:hyperlink>
        </w:p>
        <w:p w14:paraId="1F57B1F9" w14:textId="77777777" w:rsidR="00592E03" w:rsidRDefault="00592E03">
          <w:pPr>
            <w:pStyle w:val="TOC3"/>
            <w:tabs>
              <w:tab w:val="right" w:leader="dot" w:pos="9350"/>
            </w:tabs>
            <w:rPr>
              <w:noProof/>
            </w:rPr>
          </w:pPr>
          <w:hyperlink w:anchor="_Toc237337515" w:history="1">
            <w:r w:rsidRPr="00403474">
              <w:rPr>
                <w:rStyle w:val="Hyperlink"/>
                <w:noProof/>
              </w:rPr>
              <w:t>Step 1 — Calculate Pro-Rata Share of Prior Calls</w:t>
            </w:r>
            <w:r>
              <w:rPr>
                <w:noProof/>
              </w:rPr>
              <w:tab/>
            </w:r>
            <w:r>
              <w:rPr>
                <w:noProof/>
              </w:rPr>
              <w:fldChar w:fldCharType="begin"/>
            </w:r>
            <w:r>
              <w:rPr>
                <w:noProof/>
              </w:rPr>
              <w:instrText xml:space="preserve"> PAGEREF _Toc237337515 \h </w:instrText>
            </w:r>
            <w:r>
              <w:rPr>
                <w:noProof/>
              </w:rPr>
            </w:r>
            <w:r>
              <w:rPr>
                <w:noProof/>
              </w:rPr>
              <w:fldChar w:fldCharType="separate"/>
            </w:r>
            <w:r>
              <w:rPr>
                <w:noProof/>
              </w:rPr>
              <w:t>1</w:t>
            </w:r>
            <w:r>
              <w:rPr>
                <w:noProof/>
              </w:rPr>
              <w:fldChar w:fldCharType="end"/>
            </w:r>
          </w:hyperlink>
        </w:p>
        <w:p w14:paraId="025358BB" w14:textId="77777777" w:rsidR="00592E03" w:rsidRDefault="00592E03">
          <w:pPr>
            <w:pStyle w:val="TOC3"/>
            <w:tabs>
              <w:tab w:val="right" w:leader="dot" w:pos="9350"/>
            </w:tabs>
            <w:rPr>
              <w:noProof/>
            </w:rPr>
          </w:pPr>
          <w:hyperlink w:anchor="_Toc237337516" w:history="1">
            <w:r w:rsidRPr="00403474">
              <w:rPr>
                <w:rStyle w:val="Hyperlink"/>
                <w:noProof/>
              </w:rPr>
              <w:t>Step 2 — Calculate Equalization Interest</w:t>
            </w:r>
            <w:r>
              <w:rPr>
                <w:noProof/>
              </w:rPr>
              <w:tab/>
            </w:r>
            <w:r>
              <w:rPr>
                <w:noProof/>
              </w:rPr>
              <w:fldChar w:fldCharType="begin"/>
            </w:r>
            <w:r>
              <w:rPr>
                <w:noProof/>
              </w:rPr>
              <w:instrText xml:space="preserve"> PAGEREF _Toc237337516 \h </w:instrText>
            </w:r>
            <w:r>
              <w:rPr>
                <w:noProof/>
              </w:rPr>
            </w:r>
            <w:r>
              <w:rPr>
                <w:noProof/>
              </w:rPr>
              <w:fldChar w:fldCharType="separate"/>
            </w:r>
            <w:r>
              <w:rPr>
                <w:noProof/>
              </w:rPr>
              <w:t>1</w:t>
            </w:r>
            <w:r>
              <w:rPr>
                <w:noProof/>
              </w:rPr>
              <w:fldChar w:fldCharType="end"/>
            </w:r>
          </w:hyperlink>
        </w:p>
        <w:p w14:paraId="527FA50C" w14:textId="77777777" w:rsidR="00592E03" w:rsidRDefault="00592E03">
          <w:pPr>
            <w:pStyle w:val="TOC3"/>
            <w:tabs>
              <w:tab w:val="right" w:leader="dot" w:pos="9350"/>
            </w:tabs>
            <w:rPr>
              <w:noProof/>
            </w:rPr>
          </w:pPr>
          <w:hyperlink w:anchor="_Toc237337517" w:history="1">
            <w:r w:rsidRPr="00403474">
              <w:rPr>
                <w:rStyle w:val="Hyperlink"/>
                <w:noProof/>
              </w:rPr>
              <w:t>Step 3 — Total Wire from Feeder B to Main Fund</w:t>
            </w:r>
            <w:r>
              <w:rPr>
                <w:noProof/>
              </w:rPr>
              <w:tab/>
            </w:r>
            <w:r>
              <w:rPr>
                <w:noProof/>
              </w:rPr>
              <w:fldChar w:fldCharType="begin"/>
            </w:r>
            <w:r>
              <w:rPr>
                <w:noProof/>
              </w:rPr>
              <w:instrText xml:space="preserve"> PAGEREF _Toc237337517 \h </w:instrText>
            </w:r>
            <w:r>
              <w:rPr>
                <w:noProof/>
              </w:rPr>
            </w:r>
            <w:r>
              <w:rPr>
                <w:noProof/>
              </w:rPr>
              <w:fldChar w:fldCharType="separate"/>
            </w:r>
            <w:r>
              <w:rPr>
                <w:noProof/>
              </w:rPr>
              <w:t>1</w:t>
            </w:r>
            <w:r>
              <w:rPr>
                <w:noProof/>
              </w:rPr>
              <w:fldChar w:fldCharType="end"/>
            </w:r>
          </w:hyperlink>
        </w:p>
        <w:p w14:paraId="05EB9029" w14:textId="77777777" w:rsidR="00592E03" w:rsidRDefault="00592E03">
          <w:pPr>
            <w:pStyle w:val="TOC3"/>
            <w:tabs>
              <w:tab w:val="right" w:leader="dot" w:pos="9350"/>
            </w:tabs>
            <w:rPr>
              <w:noProof/>
            </w:rPr>
          </w:pPr>
          <w:hyperlink w:anchor="_Toc237337518" w:history="1">
            <w:r w:rsidRPr="00403474">
              <w:rPr>
                <w:rStyle w:val="Hyperlink"/>
                <w:noProof/>
              </w:rPr>
              <w:t>Step 4 — Main Fund Redistributes Interest to Feeder A</w:t>
            </w:r>
            <w:r>
              <w:rPr>
                <w:noProof/>
              </w:rPr>
              <w:tab/>
            </w:r>
            <w:r>
              <w:rPr>
                <w:noProof/>
              </w:rPr>
              <w:fldChar w:fldCharType="begin"/>
            </w:r>
            <w:r>
              <w:rPr>
                <w:noProof/>
              </w:rPr>
              <w:instrText xml:space="preserve"> PAGEREF _Toc237337518 \h </w:instrText>
            </w:r>
            <w:r>
              <w:rPr>
                <w:noProof/>
              </w:rPr>
            </w:r>
            <w:r>
              <w:rPr>
                <w:noProof/>
              </w:rPr>
              <w:fldChar w:fldCharType="separate"/>
            </w:r>
            <w:r>
              <w:rPr>
                <w:noProof/>
              </w:rPr>
              <w:t>1</w:t>
            </w:r>
            <w:r>
              <w:rPr>
                <w:noProof/>
              </w:rPr>
              <w:fldChar w:fldCharType="end"/>
            </w:r>
          </w:hyperlink>
        </w:p>
        <w:p w14:paraId="3906345C" w14:textId="77777777" w:rsidR="00592E03" w:rsidRDefault="00592E03">
          <w:pPr>
            <w:pStyle w:val="TOC3"/>
            <w:tabs>
              <w:tab w:val="right" w:leader="dot" w:pos="9350"/>
            </w:tabs>
            <w:rPr>
              <w:noProof/>
            </w:rPr>
          </w:pPr>
          <w:hyperlink w:anchor="_Toc237337519" w:history="1">
            <w:r w:rsidRPr="00403474">
              <w:rPr>
                <w:rStyle w:val="Hyperlink"/>
                <w:noProof/>
              </w:rPr>
              <w:t>Step 5 — Journal Entries</w:t>
            </w:r>
            <w:r>
              <w:rPr>
                <w:noProof/>
              </w:rPr>
              <w:tab/>
            </w:r>
            <w:r>
              <w:rPr>
                <w:noProof/>
              </w:rPr>
              <w:fldChar w:fldCharType="begin"/>
            </w:r>
            <w:r>
              <w:rPr>
                <w:noProof/>
              </w:rPr>
              <w:instrText xml:space="preserve"> PAGEREF _Toc237337519 \h </w:instrText>
            </w:r>
            <w:r>
              <w:rPr>
                <w:noProof/>
              </w:rPr>
            </w:r>
            <w:r>
              <w:rPr>
                <w:noProof/>
              </w:rPr>
              <w:fldChar w:fldCharType="separate"/>
            </w:r>
            <w:r>
              <w:rPr>
                <w:noProof/>
              </w:rPr>
              <w:t>1</w:t>
            </w:r>
            <w:r>
              <w:rPr>
                <w:noProof/>
              </w:rPr>
              <w:fldChar w:fldCharType="end"/>
            </w:r>
          </w:hyperlink>
        </w:p>
        <w:p w14:paraId="3E13817E" w14:textId="77777777" w:rsidR="00592E03" w:rsidRDefault="00592E03">
          <w:pPr>
            <w:pStyle w:val="TOC2"/>
            <w:tabs>
              <w:tab w:val="right" w:leader="dot" w:pos="9350"/>
            </w:tabs>
            <w:rPr>
              <w:noProof/>
            </w:rPr>
          </w:pPr>
          <w:hyperlink w:anchor="_Toc237337520" w:history="1">
            <w:r w:rsidRPr="00403474">
              <w:rPr>
                <w:rStyle w:val="Hyperlink"/>
                <w:noProof/>
              </w:rPr>
              <w:t>C.5  Ownership % Shift Across Closes</w:t>
            </w:r>
            <w:r>
              <w:rPr>
                <w:noProof/>
              </w:rPr>
              <w:tab/>
            </w:r>
            <w:r>
              <w:rPr>
                <w:noProof/>
              </w:rPr>
              <w:fldChar w:fldCharType="begin"/>
            </w:r>
            <w:r>
              <w:rPr>
                <w:noProof/>
              </w:rPr>
              <w:instrText xml:space="preserve"> PAGEREF _Toc237337520 \h </w:instrText>
            </w:r>
            <w:r>
              <w:rPr>
                <w:noProof/>
              </w:rPr>
            </w:r>
            <w:r>
              <w:rPr>
                <w:noProof/>
              </w:rPr>
              <w:fldChar w:fldCharType="separate"/>
            </w:r>
            <w:r>
              <w:rPr>
                <w:noProof/>
              </w:rPr>
              <w:t>1</w:t>
            </w:r>
            <w:r>
              <w:rPr>
                <w:noProof/>
              </w:rPr>
              <w:fldChar w:fldCharType="end"/>
            </w:r>
          </w:hyperlink>
        </w:p>
        <w:p w14:paraId="0D5B90F9" w14:textId="77777777" w:rsidR="00592E03" w:rsidRDefault="00592E03">
          <w:pPr>
            <w:pStyle w:val="TOC1"/>
            <w:tabs>
              <w:tab w:val="right" w:leader="dot" w:pos="9350"/>
            </w:tabs>
            <w:rPr>
              <w:noProof/>
            </w:rPr>
          </w:pPr>
          <w:hyperlink w:anchor="_Toc237337521" w:history="1">
            <w:r w:rsidRPr="00403474">
              <w:rPr>
                <w:rStyle w:val="Hyperlink"/>
                <w:noProof/>
              </w:rPr>
              <w:t>Appendix D  SMA vs. Co-Investment: Operational and Model Comparison</w:t>
            </w:r>
            <w:r>
              <w:rPr>
                <w:noProof/>
              </w:rPr>
              <w:tab/>
            </w:r>
            <w:r>
              <w:rPr>
                <w:noProof/>
              </w:rPr>
              <w:fldChar w:fldCharType="begin"/>
            </w:r>
            <w:r>
              <w:rPr>
                <w:noProof/>
              </w:rPr>
              <w:instrText xml:space="preserve"> PAGEREF _Toc237337521 \h </w:instrText>
            </w:r>
            <w:r>
              <w:rPr>
                <w:noProof/>
              </w:rPr>
            </w:r>
            <w:r>
              <w:rPr>
                <w:noProof/>
              </w:rPr>
              <w:fldChar w:fldCharType="separate"/>
            </w:r>
            <w:r>
              <w:rPr>
                <w:noProof/>
              </w:rPr>
              <w:t>1</w:t>
            </w:r>
            <w:r>
              <w:rPr>
                <w:noProof/>
              </w:rPr>
              <w:fldChar w:fldCharType="end"/>
            </w:r>
          </w:hyperlink>
        </w:p>
        <w:p w14:paraId="0CD55DE7" w14:textId="77777777" w:rsidR="00592E03" w:rsidRDefault="00592E03">
          <w:pPr>
            <w:pStyle w:val="TOC2"/>
            <w:tabs>
              <w:tab w:val="right" w:leader="dot" w:pos="9350"/>
            </w:tabs>
            <w:rPr>
              <w:noProof/>
            </w:rPr>
          </w:pPr>
          <w:hyperlink w:anchor="_Toc237337522" w:history="1">
            <w:r w:rsidRPr="00403474">
              <w:rPr>
                <w:rStyle w:val="Hyperlink"/>
                <w:noProof/>
              </w:rPr>
              <w:t>D.1  What Each Structure Is</w:t>
            </w:r>
            <w:r>
              <w:rPr>
                <w:noProof/>
              </w:rPr>
              <w:tab/>
            </w:r>
            <w:r>
              <w:rPr>
                <w:noProof/>
              </w:rPr>
              <w:fldChar w:fldCharType="begin"/>
            </w:r>
            <w:r>
              <w:rPr>
                <w:noProof/>
              </w:rPr>
              <w:instrText xml:space="preserve"> PAGEREF _Toc237337522 \h </w:instrText>
            </w:r>
            <w:r>
              <w:rPr>
                <w:noProof/>
              </w:rPr>
            </w:r>
            <w:r>
              <w:rPr>
                <w:noProof/>
              </w:rPr>
              <w:fldChar w:fldCharType="separate"/>
            </w:r>
            <w:r>
              <w:rPr>
                <w:noProof/>
              </w:rPr>
              <w:t>1</w:t>
            </w:r>
            <w:r>
              <w:rPr>
                <w:noProof/>
              </w:rPr>
              <w:fldChar w:fldCharType="end"/>
            </w:r>
          </w:hyperlink>
        </w:p>
        <w:p w14:paraId="7080184B" w14:textId="77777777" w:rsidR="00592E03" w:rsidRDefault="00592E03">
          <w:pPr>
            <w:pStyle w:val="TOC3"/>
            <w:tabs>
              <w:tab w:val="right" w:leader="dot" w:pos="9350"/>
            </w:tabs>
            <w:rPr>
              <w:noProof/>
            </w:rPr>
          </w:pPr>
          <w:hyperlink w:anchor="_Toc237337523" w:history="1">
            <w:r w:rsidRPr="00403474">
              <w:rPr>
                <w:rStyle w:val="Hyperlink"/>
                <w:noProof/>
              </w:rPr>
              <w:t>Separately Managed Account (SMA)</w:t>
            </w:r>
            <w:r>
              <w:rPr>
                <w:noProof/>
              </w:rPr>
              <w:tab/>
            </w:r>
            <w:r>
              <w:rPr>
                <w:noProof/>
              </w:rPr>
              <w:fldChar w:fldCharType="begin"/>
            </w:r>
            <w:r>
              <w:rPr>
                <w:noProof/>
              </w:rPr>
              <w:instrText xml:space="preserve"> PAGEREF _Toc237337523 \h </w:instrText>
            </w:r>
            <w:r>
              <w:rPr>
                <w:noProof/>
              </w:rPr>
            </w:r>
            <w:r>
              <w:rPr>
                <w:noProof/>
              </w:rPr>
              <w:fldChar w:fldCharType="separate"/>
            </w:r>
            <w:r>
              <w:rPr>
                <w:noProof/>
              </w:rPr>
              <w:t>1</w:t>
            </w:r>
            <w:r>
              <w:rPr>
                <w:noProof/>
              </w:rPr>
              <w:fldChar w:fldCharType="end"/>
            </w:r>
          </w:hyperlink>
        </w:p>
        <w:p w14:paraId="7D30E9FB" w14:textId="77777777" w:rsidR="00592E03" w:rsidRDefault="00592E03">
          <w:pPr>
            <w:pStyle w:val="TOC3"/>
            <w:tabs>
              <w:tab w:val="right" w:leader="dot" w:pos="9350"/>
            </w:tabs>
            <w:rPr>
              <w:noProof/>
            </w:rPr>
          </w:pPr>
          <w:hyperlink w:anchor="_Toc237337524" w:history="1">
            <w:r w:rsidRPr="00403474">
              <w:rPr>
                <w:rStyle w:val="Hyperlink"/>
                <w:noProof/>
              </w:rPr>
              <w:t>Co-Investment</w:t>
            </w:r>
            <w:r>
              <w:rPr>
                <w:noProof/>
              </w:rPr>
              <w:tab/>
            </w:r>
            <w:r>
              <w:rPr>
                <w:noProof/>
              </w:rPr>
              <w:fldChar w:fldCharType="begin"/>
            </w:r>
            <w:r>
              <w:rPr>
                <w:noProof/>
              </w:rPr>
              <w:instrText xml:space="preserve"> PAGEREF _Toc237337524 \h </w:instrText>
            </w:r>
            <w:r>
              <w:rPr>
                <w:noProof/>
              </w:rPr>
            </w:r>
            <w:r>
              <w:rPr>
                <w:noProof/>
              </w:rPr>
              <w:fldChar w:fldCharType="separate"/>
            </w:r>
            <w:r>
              <w:rPr>
                <w:noProof/>
              </w:rPr>
              <w:t>1</w:t>
            </w:r>
            <w:r>
              <w:rPr>
                <w:noProof/>
              </w:rPr>
              <w:fldChar w:fldCharType="end"/>
            </w:r>
          </w:hyperlink>
        </w:p>
        <w:p w14:paraId="588D4262" w14:textId="77777777" w:rsidR="00592E03" w:rsidRDefault="00592E03">
          <w:pPr>
            <w:pStyle w:val="TOC2"/>
            <w:tabs>
              <w:tab w:val="right" w:leader="dot" w:pos="9350"/>
            </w:tabs>
            <w:rPr>
              <w:noProof/>
            </w:rPr>
          </w:pPr>
          <w:hyperlink w:anchor="_Toc237337525" w:history="1">
            <w:r w:rsidRPr="00403474">
              <w:rPr>
                <w:rStyle w:val="Hyperlink"/>
                <w:noProof/>
              </w:rPr>
              <w:t>D.2  Side-by-Side Comparison</w:t>
            </w:r>
            <w:r>
              <w:rPr>
                <w:noProof/>
              </w:rPr>
              <w:tab/>
            </w:r>
            <w:r>
              <w:rPr>
                <w:noProof/>
              </w:rPr>
              <w:fldChar w:fldCharType="begin"/>
            </w:r>
            <w:r>
              <w:rPr>
                <w:noProof/>
              </w:rPr>
              <w:instrText xml:space="preserve"> PAGEREF _Toc237337525 \h </w:instrText>
            </w:r>
            <w:r>
              <w:rPr>
                <w:noProof/>
              </w:rPr>
            </w:r>
            <w:r>
              <w:rPr>
                <w:noProof/>
              </w:rPr>
              <w:fldChar w:fldCharType="separate"/>
            </w:r>
            <w:r>
              <w:rPr>
                <w:noProof/>
              </w:rPr>
              <w:t>1</w:t>
            </w:r>
            <w:r>
              <w:rPr>
                <w:noProof/>
              </w:rPr>
              <w:fldChar w:fldCharType="end"/>
            </w:r>
          </w:hyperlink>
        </w:p>
        <w:p w14:paraId="3E38A1B6" w14:textId="77777777" w:rsidR="00592E03" w:rsidRDefault="00592E03">
          <w:pPr>
            <w:pStyle w:val="TOC2"/>
            <w:tabs>
              <w:tab w:val="right" w:leader="dot" w:pos="9350"/>
            </w:tabs>
            <w:rPr>
              <w:noProof/>
            </w:rPr>
          </w:pPr>
          <w:hyperlink w:anchor="_Toc237337526" w:history="1">
            <w:r w:rsidRPr="00403474">
              <w:rPr>
                <w:rStyle w:val="Hyperlink"/>
                <w:noProof/>
              </w:rPr>
              <w:t>D.3  The Model Constraints Each One Triggers</w:t>
            </w:r>
            <w:r>
              <w:rPr>
                <w:noProof/>
              </w:rPr>
              <w:tab/>
            </w:r>
            <w:r>
              <w:rPr>
                <w:noProof/>
              </w:rPr>
              <w:fldChar w:fldCharType="begin"/>
            </w:r>
            <w:r>
              <w:rPr>
                <w:noProof/>
              </w:rPr>
              <w:instrText xml:space="preserve"> PAGEREF _Toc237337526 \h </w:instrText>
            </w:r>
            <w:r>
              <w:rPr>
                <w:noProof/>
              </w:rPr>
            </w:r>
            <w:r>
              <w:rPr>
                <w:noProof/>
              </w:rPr>
              <w:fldChar w:fldCharType="separate"/>
            </w:r>
            <w:r>
              <w:rPr>
                <w:noProof/>
              </w:rPr>
              <w:t>1</w:t>
            </w:r>
            <w:r>
              <w:rPr>
                <w:noProof/>
              </w:rPr>
              <w:fldChar w:fldCharType="end"/>
            </w:r>
          </w:hyperlink>
        </w:p>
        <w:p w14:paraId="1DA0A37A" w14:textId="77777777" w:rsidR="00592E03" w:rsidRDefault="00592E03">
          <w:pPr>
            <w:pStyle w:val="TOC2"/>
            <w:tabs>
              <w:tab w:val="right" w:leader="dot" w:pos="9350"/>
            </w:tabs>
            <w:rPr>
              <w:noProof/>
            </w:rPr>
          </w:pPr>
          <w:hyperlink w:anchor="_Toc237337527" w:history="1">
            <w:r w:rsidRPr="00403474">
              <w:rPr>
                <w:rStyle w:val="Hyperlink"/>
                <w:noProof/>
              </w:rPr>
              <w:t>D.4  Where They Overlap</w:t>
            </w:r>
            <w:r>
              <w:rPr>
                <w:noProof/>
              </w:rPr>
              <w:tab/>
            </w:r>
            <w:r>
              <w:rPr>
                <w:noProof/>
              </w:rPr>
              <w:fldChar w:fldCharType="begin"/>
            </w:r>
            <w:r>
              <w:rPr>
                <w:noProof/>
              </w:rPr>
              <w:instrText xml:space="preserve"> PAGEREF _Toc237337527 \h </w:instrText>
            </w:r>
            <w:r>
              <w:rPr>
                <w:noProof/>
              </w:rPr>
            </w:r>
            <w:r>
              <w:rPr>
                <w:noProof/>
              </w:rPr>
              <w:fldChar w:fldCharType="separate"/>
            </w:r>
            <w:r>
              <w:rPr>
                <w:noProof/>
              </w:rPr>
              <w:t>1</w:t>
            </w:r>
            <w:r>
              <w:rPr>
                <w:noProof/>
              </w:rPr>
              <w:fldChar w:fldCharType="end"/>
            </w:r>
          </w:hyperlink>
        </w:p>
        <w:p w14:paraId="36AC496D" w14:textId="77777777" w:rsidR="00592E03" w:rsidRDefault="00592E03">
          <w:pPr>
            <w:pStyle w:val="TOC2"/>
            <w:tabs>
              <w:tab w:val="right" w:leader="dot" w:pos="9350"/>
            </w:tabs>
            <w:rPr>
              <w:noProof/>
            </w:rPr>
          </w:pPr>
          <w:hyperlink w:anchor="_Toc237337528" w:history="1">
            <w:r w:rsidRPr="00403474">
              <w:rPr>
                <w:rStyle w:val="Hyperlink"/>
                <w:noProof/>
              </w:rPr>
              <w:t>D.5  Pipeline View — How Each Route Appears in the Opportunity Model</w:t>
            </w:r>
            <w:r>
              <w:rPr>
                <w:noProof/>
              </w:rPr>
              <w:tab/>
            </w:r>
            <w:r>
              <w:rPr>
                <w:noProof/>
              </w:rPr>
              <w:fldChar w:fldCharType="begin"/>
            </w:r>
            <w:r>
              <w:rPr>
                <w:noProof/>
              </w:rPr>
              <w:instrText xml:space="preserve"> PAGEREF _Toc237337528 \h </w:instrText>
            </w:r>
            <w:r>
              <w:rPr>
                <w:noProof/>
              </w:rPr>
            </w:r>
            <w:r>
              <w:rPr>
                <w:noProof/>
              </w:rPr>
              <w:fldChar w:fldCharType="separate"/>
            </w:r>
            <w:r>
              <w:rPr>
                <w:noProof/>
              </w:rPr>
              <w:t>1</w:t>
            </w:r>
            <w:r>
              <w:rPr>
                <w:noProof/>
              </w:rPr>
              <w:fldChar w:fldCharType="end"/>
            </w:r>
          </w:hyperlink>
        </w:p>
        <w:p w14:paraId="0A89A6BA" w14:textId="77777777" w:rsidR="0046004D" w:rsidRDefault="00000000">
          <w:r>
            <w:fldChar w:fldCharType="end"/>
          </w:r>
        </w:p>
      </w:sdtContent>
    </w:sdt>
    <w:p w14:paraId="5DCDF606" w14:textId="77777777" w:rsidR="0046004D" w:rsidRDefault="00000000">
      <w:r>
        <w:br w:type="page"/>
      </w:r>
    </w:p>
    <w:p w14:paraId="416436D2" w14:textId="77777777" w:rsidR="0046004D" w:rsidRDefault="00000000">
      <w:pPr>
        <w:pStyle w:val="Heading1"/>
        <w:pBdr>
          <w:bottom w:val="single" w:sz="8" w:space="0" w:color="C8952A"/>
        </w:pBdr>
      </w:pPr>
      <w:bookmarkStart w:id="2" w:name="_Toc237337445"/>
      <w:proofErr w:type="gramStart"/>
      <w:r>
        <w:lastRenderedPageBreak/>
        <w:t>1  Why</w:t>
      </w:r>
      <w:proofErr w:type="gramEnd"/>
      <w:r>
        <w:t xml:space="preserve"> the Model Has Four Levels</w:t>
      </w:r>
      <w:bookmarkEnd w:id="2"/>
    </w:p>
    <w:p w14:paraId="3C97ECAF" w14:textId="77777777" w:rsidR="0046004D" w:rsidRDefault="00000000">
      <w:pPr>
        <w:spacing w:after="120"/>
      </w:pPr>
      <w:r>
        <w:t>Current private markets product models fail to answer many foundational questions because they conflate objects that are semantically distinct:</w:t>
      </w:r>
    </w:p>
    <w:p w14:paraId="2B5FB99C" w14:textId="77777777" w:rsidR="0046004D" w:rsidRDefault="00000000">
      <w:pPr>
        <w:pStyle w:val="ListParagraph"/>
        <w:numPr>
          <w:ilvl w:val="0"/>
          <w:numId w:val="1"/>
        </w:numPr>
        <w:spacing w:after="80"/>
      </w:pPr>
      <w:r>
        <w:t>The thing that is sold (the strategy brand)</w:t>
      </w:r>
    </w:p>
    <w:p w14:paraId="12606CD1" w14:textId="77777777" w:rsidR="0046004D" w:rsidRDefault="00000000">
      <w:pPr>
        <w:pStyle w:val="ListParagraph"/>
        <w:numPr>
          <w:ilvl w:val="0"/>
          <w:numId w:val="1"/>
        </w:numPr>
        <w:spacing w:after="80"/>
      </w:pPr>
      <w:r>
        <w:t>The thing that has a track record (the vintage fund)</w:t>
      </w:r>
    </w:p>
    <w:p w14:paraId="183B4AEC" w14:textId="77777777" w:rsidR="0046004D" w:rsidRDefault="00000000">
      <w:pPr>
        <w:pStyle w:val="ListParagraph"/>
        <w:numPr>
          <w:ilvl w:val="0"/>
          <w:numId w:val="1"/>
        </w:numPr>
        <w:spacing w:after="80"/>
      </w:pPr>
      <w:r>
        <w:t>The thing that signs contracts (the legal vehicle)</w:t>
      </w:r>
    </w:p>
    <w:p w14:paraId="35B5EDAB" w14:textId="77777777" w:rsidR="0046004D" w:rsidRDefault="00000000">
      <w:pPr>
        <w:pStyle w:val="ListParagraph"/>
        <w:numPr>
          <w:ilvl w:val="0"/>
          <w:numId w:val="1"/>
        </w:numPr>
        <w:spacing w:after="80"/>
      </w:pPr>
      <w:r>
        <w:t xml:space="preserve">The thing an investor </w:t>
      </w:r>
      <w:proofErr w:type="gramStart"/>
      <w:r>
        <w:t>actually subscribes</w:t>
      </w:r>
      <w:proofErr w:type="gramEnd"/>
      <w:r>
        <w:t xml:space="preserve"> to (the share class / offering)</w:t>
      </w:r>
    </w:p>
    <w:p w14:paraId="1F6B79DD" w14:textId="77777777" w:rsidR="0046004D" w:rsidRDefault="0046004D">
      <w:pPr>
        <w:spacing w:after="80"/>
      </w:pPr>
    </w:p>
    <w:p w14:paraId="792EC45C" w14:textId="77777777" w:rsidR="0046004D" w:rsidRDefault="00000000">
      <w:pPr>
        <w:spacing w:after="120"/>
      </w:pPr>
      <w:r>
        <w:t xml:space="preserve">Once these are collapsed, errors become structural rather than cosmetic — and a large amount of meaning is permanently lost. The </w:t>
      </w:r>
      <w:proofErr w:type="spellStart"/>
      <w:r>
        <w:t>Ontollogix</w:t>
      </w:r>
      <w:proofErr w:type="spellEnd"/>
      <w:r>
        <w:t xml:space="preserve"> model separates them:</w:t>
      </w:r>
    </w:p>
    <w:p w14:paraId="122FFCA7" w14:textId="77777777" w:rsidR="0046004D" w:rsidRDefault="0046004D">
      <w:pPr>
        <w:spacing w:after="80"/>
      </w:pPr>
    </w:p>
    <w:p w14:paraId="55FC56A0" w14:textId="77777777" w:rsidR="0046004D" w:rsidRDefault="00000000">
      <w:pPr>
        <w:shd w:val="clear" w:color="auto" w:fill="F1F3F7"/>
        <w:ind w:left="360" w:right="360"/>
      </w:pPr>
      <w:r>
        <w:rPr>
          <w:rFonts w:ascii="Courier New" w:eastAsia="Courier New" w:hAnsi="Courier New" w:cs="Courier New"/>
          <w:color w:val="2D3748"/>
          <w:sz w:val="18"/>
          <w:szCs w:val="18"/>
        </w:rPr>
        <w:t>Product      "Buyout"          strategy family · no vintage · no economics</w:t>
      </w:r>
    </w:p>
    <w:p w14:paraId="4C942EA9"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 Fund   "Buyout VIII"     vintage 2024 · term · commitment period</w:t>
      </w:r>
    </w:p>
    <w:p w14:paraId="6BCEF0DE"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 Vehicle              legal entity · domicile</w:t>
      </w:r>
    </w:p>
    <w:p w14:paraId="7CFB6EEE"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 Offering         share class · currency · minimum · fees</w:t>
      </w:r>
    </w:p>
    <w:p w14:paraId="54DB8B15" w14:textId="77777777" w:rsidR="0046004D" w:rsidRDefault="0046004D">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3D84F3B6" w14:textId="77777777">
        <w:tc>
          <w:tcPr>
            <w:tcW w:w="9360" w:type="dxa"/>
            <w:tcBorders>
              <w:top w:val="single" w:sz="12" w:space="0" w:color="3182CE"/>
              <w:left w:val="single" w:sz="12" w:space="0" w:color="3182CE"/>
            </w:tcBorders>
            <w:shd w:val="clear" w:color="auto" w:fill="EBF4FF"/>
            <w:tcMar>
              <w:top w:w="80" w:type="dxa"/>
              <w:left w:w="120" w:type="dxa"/>
              <w:bottom w:w="0" w:type="dxa"/>
              <w:right w:w="120" w:type="dxa"/>
            </w:tcMar>
          </w:tcPr>
          <w:p w14:paraId="057390C1" w14:textId="77777777" w:rsidR="0046004D" w:rsidRDefault="00000000">
            <w:r>
              <w:rPr>
                <w:b/>
                <w:bCs/>
                <w:color w:val="3182CE"/>
                <w:sz w:val="20"/>
                <w:szCs w:val="20"/>
              </w:rPr>
              <w:t>The Core Distinction</w:t>
            </w:r>
          </w:p>
        </w:tc>
      </w:tr>
      <w:tr w:rsidR="0046004D" w14:paraId="2DE0E56C" w14:textId="77777777">
        <w:tc>
          <w:tcPr>
            <w:tcW w:w="9360" w:type="dxa"/>
            <w:tcBorders>
              <w:left w:val="single" w:sz="12" w:space="0" w:color="3182CE"/>
            </w:tcBorders>
            <w:shd w:val="clear" w:color="auto" w:fill="EBF4FF"/>
            <w:tcMar>
              <w:top w:w="0" w:type="dxa"/>
              <w:left w:w="120" w:type="dxa"/>
              <w:bottom w:w="0" w:type="dxa"/>
              <w:right w:w="120" w:type="dxa"/>
            </w:tcMar>
          </w:tcPr>
          <w:p w14:paraId="30865E6A" w14:textId="77777777" w:rsidR="0046004D" w:rsidRDefault="00000000">
            <w:pPr>
              <w:spacing w:after="80"/>
            </w:pPr>
            <w:r>
              <w:rPr>
                <w:color w:val="2D3748"/>
                <w:sz w:val="20"/>
                <w:szCs w:val="20"/>
              </w:rPr>
              <w:t xml:space="preserve">Product and Fund are commercial constructs. </w:t>
            </w:r>
            <w:proofErr w:type="gramStart"/>
            <w:r>
              <w:rPr>
                <w:color w:val="2D3748"/>
                <w:sz w:val="20"/>
                <w:szCs w:val="20"/>
              </w:rPr>
              <w:t>Vehicle is</w:t>
            </w:r>
            <w:proofErr w:type="gramEnd"/>
            <w:r>
              <w:rPr>
                <w:color w:val="2D3748"/>
                <w:sz w:val="20"/>
                <w:szCs w:val="20"/>
              </w:rPr>
              <w:t xml:space="preserve"> legal. Offering is transactional.</w:t>
            </w:r>
          </w:p>
        </w:tc>
      </w:tr>
      <w:tr w:rsidR="0046004D" w14:paraId="292FEF46" w14:textId="77777777">
        <w:tc>
          <w:tcPr>
            <w:tcW w:w="9360" w:type="dxa"/>
            <w:tcBorders>
              <w:left w:val="single" w:sz="12" w:space="0" w:color="3182CE"/>
            </w:tcBorders>
            <w:shd w:val="clear" w:color="auto" w:fill="EBF4FF"/>
            <w:tcMar>
              <w:top w:w="0" w:type="dxa"/>
              <w:left w:w="120" w:type="dxa"/>
              <w:bottom w:w="0" w:type="dxa"/>
              <w:right w:w="120" w:type="dxa"/>
            </w:tcMar>
          </w:tcPr>
          <w:p w14:paraId="27CE1CB4" w14:textId="77777777" w:rsidR="0046004D" w:rsidRDefault="0046004D">
            <w:pPr>
              <w:spacing w:after="80"/>
            </w:pPr>
          </w:p>
        </w:tc>
      </w:tr>
      <w:tr w:rsidR="0046004D" w14:paraId="6F61667C" w14:textId="77777777">
        <w:tc>
          <w:tcPr>
            <w:tcW w:w="9360" w:type="dxa"/>
            <w:tcBorders>
              <w:left w:val="single" w:sz="12" w:space="0" w:color="3182CE"/>
              <w:bottom w:val="single" w:sz="4" w:space="0" w:color="3182CE"/>
            </w:tcBorders>
            <w:shd w:val="clear" w:color="auto" w:fill="EBF4FF"/>
            <w:tcMar>
              <w:top w:w="0" w:type="dxa"/>
              <w:left w:w="120" w:type="dxa"/>
              <w:bottom w:w="80" w:type="dxa"/>
              <w:right w:w="120" w:type="dxa"/>
            </w:tcMar>
          </w:tcPr>
          <w:p w14:paraId="2EFB07A7" w14:textId="77777777" w:rsidR="0046004D" w:rsidRDefault="00000000">
            <w:r>
              <w:rPr>
                <w:color w:val="2D3748"/>
                <w:sz w:val="20"/>
                <w:szCs w:val="20"/>
              </w:rPr>
              <w:t xml:space="preserve">Defining Product as the strategy family — persistent across vintages — is what forces the fourth level. The vintage has nowhere else to live, and vintage is </w:t>
            </w:r>
            <w:proofErr w:type="gramStart"/>
            <w:r>
              <w:rPr>
                <w:color w:val="2D3748"/>
                <w:sz w:val="20"/>
                <w:szCs w:val="20"/>
              </w:rPr>
              <w:t>load-bearing</w:t>
            </w:r>
            <w:proofErr w:type="gramEnd"/>
            <w:r>
              <w:rPr>
                <w:color w:val="2D3748"/>
                <w:sz w:val="20"/>
                <w:szCs w:val="20"/>
              </w:rPr>
              <w:t>: it is the unit of track record.</w:t>
            </w:r>
          </w:p>
        </w:tc>
      </w:tr>
    </w:tbl>
    <w:p w14:paraId="06A59491" w14:textId="77777777" w:rsidR="0046004D" w:rsidRDefault="0046004D">
      <w:pPr>
        <w:spacing w:after="160"/>
      </w:pPr>
    </w:p>
    <w:p w14:paraId="19413959" w14:textId="77777777" w:rsidR="0046004D" w:rsidRDefault="00000000">
      <w:pPr>
        <w:pStyle w:val="Heading2"/>
      </w:pPr>
      <w:bookmarkStart w:id="3" w:name="_Toc237337446"/>
      <w:proofErr w:type="gramStart"/>
      <w:r>
        <w:t>1.1  Fund</w:t>
      </w:r>
      <w:proofErr w:type="gramEnd"/>
      <w:r>
        <w:t xml:space="preserve"> Is Deliberately Not a Subclass of Vehicle</w:t>
      </w:r>
      <w:bookmarkEnd w:id="3"/>
    </w:p>
    <w:p w14:paraId="7641C76C" w14:textId="77777777" w:rsidR="0046004D" w:rsidRDefault="00000000">
      <w:pPr>
        <w:spacing w:after="120"/>
      </w:pPr>
      <w:r>
        <w:t>Fund VIII cannot sign a contract; the Delaware master can. That alone suggests Fund is not a legal entity. The stronger argument is structural: parallel fund structures often have no single master — the fund is a commercial construct spanning multiple co-equal vehicles.</w:t>
      </w:r>
    </w:p>
    <w:p w14:paraId="548C6DFF" w14:textId="77777777" w:rsidR="0046004D" w:rsidRDefault="00000000">
      <w:pPr>
        <w:pStyle w:val="Heading1"/>
        <w:pBdr>
          <w:bottom w:val="single" w:sz="8" w:space="0" w:color="C8952A"/>
        </w:pBdr>
      </w:pPr>
      <w:bookmarkStart w:id="4" w:name="_Toc237337447"/>
      <w:proofErr w:type="gramStart"/>
      <w:r>
        <w:t>2  Structural</w:t>
      </w:r>
      <w:proofErr w:type="gramEnd"/>
      <w:r>
        <w:t xml:space="preserve"> Roles Are Relationships, Not Classes</w:t>
      </w:r>
      <w:bookmarkEnd w:id="4"/>
    </w:p>
    <w:p w14:paraId="2A64C1E7" w14:textId="77777777" w:rsidR="0046004D" w:rsidRDefault="00000000">
      <w:pPr>
        <w:spacing w:after="120"/>
      </w:pPr>
      <w:r>
        <w:t>Feeder, master, parallel, AIV, and blocker are roles. They are expressed as object properties on Vehicle rather than as subclasses:</w:t>
      </w:r>
    </w:p>
    <w:p w14:paraId="766F94D4" w14:textId="77777777" w:rsidR="0046004D" w:rsidRDefault="0046004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46004D" w14:paraId="09C7E377" w14:textId="77777777">
        <w:tblPrEx>
          <w:tblCellMar>
            <w:top w:w="0" w:type="dxa"/>
            <w:bottom w:w="0" w:type="dxa"/>
          </w:tblCellMar>
        </w:tblPrEx>
        <w:tc>
          <w:tcPr>
            <w:tcW w:w="32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31AD8805" w14:textId="77777777" w:rsidR="0046004D" w:rsidRDefault="00000000">
            <w:r>
              <w:rPr>
                <w:b/>
                <w:bCs/>
                <w:color w:val="FFFFFF"/>
                <w:sz w:val="20"/>
                <w:szCs w:val="20"/>
              </w:rPr>
              <w:t>Property</w:t>
            </w:r>
          </w:p>
        </w:tc>
        <w:tc>
          <w:tcPr>
            <w:tcW w:w="61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6947FD28" w14:textId="77777777" w:rsidR="0046004D" w:rsidRDefault="00000000">
            <w:r>
              <w:rPr>
                <w:b/>
                <w:bCs/>
                <w:color w:val="FFFFFF"/>
                <w:sz w:val="20"/>
                <w:szCs w:val="20"/>
              </w:rPr>
              <w:t>Meaning</w:t>
            </w:r>
          </w:p>
        </w:tc>
      </w:tr>
      <w:tr w:rsidR="0046004D" w14:paraId="4815C6B7" w14:textId="77777777">
        <w:tblPrEx>
          <w:tblCellMar>
            <w:top w:w="0" w:type="dxa"/>
            <w:bottom w:w="0" w:type="dxa"/>
          </w:tblCellMar>
        </w:tblPrEx>
        <w:tc>
          <w:tcPr>
            <w:tcW w:w="32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46E1057" w14:textId="77777777" w:rsidR="0046004D" w:rsidRDefault="00000000">
            <w:proofErr w:type="spellStart"/>
            <w:proofErr w:type="gramStart"/>
            <w:r>
              <w:rPr>
                <w:sz w:val="20"/>
                <w:szCs w:val="20"/>
              </w:rPr>
              <w:t>pe:feedsInto</w:t>
            </w:r>
            <w:proofErr w:type="spellEnd"/>
            <w:proofErr w:type="gramEnd"/>
          </w:p>
        </w:tc>
        <w:tc>
          <w:tcPr>
            <w:tcW w:w="61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D75B7B8" w14:textId="77777777" w:rsidR="0046004D" w:rsidRDefault="00000000">
            <w:r>
              <w:rPr>
                <w:sz w:val="20"/>
                <w:szCs w:val="20"/>
              </w:rPr>
              <w:t>Feeder vehicle into its master vehicle</w:t>
            </w:r>
          </w:p>
        </w:tc>
      </w:tr>
      <w:tr w:rsidR="0046004D" w14:paraId="59AEA0CD" w14:textId="77777777">
        <w:tblPrEx>
          <w:tblCellMar>
            <w:top w:w="0" w:type="dxa"/>
            <w:bottom w:w="0" w:type="dxa"/>
          </w:tblCellMar>
        </w:tblPrEx>
        <w:tc>
          <w:tcPr>
            <w:tcW w:w="3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6752F27" w14:textId="77777777" w:rsidR="0046004D" w:rsidRDefault="00000000">
            <w:proofErr w:type="spellStart"/>
            <w:proofErr w:type="gramStart"/>
            <w:r>
              <w:rPr>
                <w:sz w:val="20"/>
                <w:szCs w:val="20"/>
              </w:rPr>
              <w:t>pe:parallelTo</w:t>
            </w:r>
            <w:proofErr w:type="spellEnd"/>
            <w:proofErr w:type="gramEnd"/>
          </w:p>
        </w:tc>
        <w:tc>
          <w:tcPr>
            <w:tcW w:w="61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89EA862" w14:textId="77777777" w:rsidR="0046004D" w:rsidRDefault="00000000">
            <w:r>
              <w:rPr>
                <w:sz w:val="20"/>
                <w:szCs w:val="20"/>
              </w:rPr>
              <w:t>Symmetric — two vehicles in parallel</w:t>
            </w:r>
          </w:p>
        </w:tc>
      </w:tr>
      <w:tr w:rsidR="0046004D" w14:paraId="48759460" w14:textId="77777777">
        <w:tblPrEx>
          <w:tblCellMar>
            <w:top w:w="0" w:type="dxa"/>
            <w:bottom w:w="0" w:type="dxa"/>
          </w:tblCellMar>
        </w:tblPrEx>
        <w:tc>
          <w:tcPr>
            <w:tcW w:w="32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B5BB337" w14:textId="77777777" w:rsidR="0046004D" w:rsidRDefault="00000000">
            <w:proofErr w:type="spellStart"/>
            <w:proofErr w:type="gramStart"/>
            <w:r>
              <w:rPr>
                <w:sz w:val="20"/>
                <w:szCs w:val="20"/>
              </w:rPr>
              <w:t>pe:alternativeInvestmentVehicleOf</w:t>
            </w:r>
            <w:proofErr w:type="spellEnd"/>
            <w:proofErr w:type="gramEnd"/>
          </w:p>
        </w:tc>
        <w:tc>
          <w:tcPr>
            <w:tcW w:w="61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7F6F72F" w14:textId="77777777" w:rsidR="0046004D" w:rsidRDefault="00000000">
            <w:r>
              <w:rPr>
                <w:sz w:val="20"/>
                <w:szCs w:val="20"/>
              </w:rPr>
              <w:t xml:space="preserve">AIV relationship </w:t>
            </w:r>
            <w:proofErr w:type="gramStart"/>
            <w:r>
              <w:rPr>
                <w:sz w:val="20"/>
                <w:szCs w:val="20"/>
              </w:rPr>
              <w:t>to</w:t>
            </w:r>
            <w:proofErr w:type="gramEnd"/>
            <w:r>
              <w:rPr>
                <w:sz w:val="20"/>
                <w:szCs w:val="20"/>
              </w:rPr>
              <w:t xml:space="preserve"> parent vehicle</w:t>
            </w:r>
          </w:p>
        </w:tc>
      </w:tr>
      <w:tr w:rsidR="0046004D" w14:paraId="6F5DEBF1" w14:textId="77777777">
        <w:tblPrEx>
          <w:tblCellMar>
            <w:top w:w="0" w:type="dxa"/>
            <w:bottom w:w="0" w:type="dxa"/>
          </w:tblCellMar>
        </w:tblPrEx>
        <w:tc>
          <w:tcPr>
            <w:tcW w:w="3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1C9F998" w14:textId="77777777" w:rsidR="0046004D" w:rsidRDefault="00000000">
            <w:proofErr w:type="spellStart"/>
            <w:proofErr w:type="gramStart"/>
            <w:r>
              <w:rPr>
                <w:sz w:val="20"/>
                <w:szCs w:val="20"/>
              </w:rPr>
              <w:t>pe:blockerFor</w:t>
            </w:r>
            <w:proofErr w:type="spellEnd"/>
            <w:proofErr w:type="gramEnd"/>
          </w:p>
        </w:tc>
        <w:tc>
          <w:tcPr>
            <w:tcW w:w="61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C792A71" w14:textId="77777777" w:rsidR="0046004D" w:rsidRDefault="00000000">
            <w:r>
              <w:rPr>
                <w:sz w:val="20"/>
                <w:szCs w:val="20"/>
              </w:rPr>
              <w:t>Blocker entity relationship</w:t>
            </w:r>
          </w:p>
        </w:tc>
      </w:tr>
    </w:tbl>
    <w:p w14:paraId="013173EA" w14:textId="77777777" w:rsidR="0046004D" w:rsidRDefault="0046004D">
      <w:pPr>
        <w:spacing w:after="200"/>
      </w:pPr>
    </w:p>
    <w:p w14:paraId="6138991E" w14:textId="77777777" w:rsidR="0046004D" w:rsidRDefault="00000000">
      <w:pPr>
        <w:spacing w:after="120"/>
      </w:pPr>
      <w:r>
        <w:lastRenderedPageBreak/>
        <w:t>They are not subclasses because roles combine — a Cayman feeder can also be a parallel fund — and because they change: a parallel fund can be restructured as a feeder. Subclassing per role produces a combinatorial explosion and makes restructuring a schema migration.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4DC7F0CC" w14:textId="77777777">
        <w:tc>
          <w:tcPr>
            <w:tcW w:w="9360" w:type="dxa"/>
            <w:tcBorders>
              <w:top w:val="single" w:sz="12" w:space="0" w:color="D69E2E"/>
              <w:left w:val="single" w:sz="12" w:space="0" w:color="D69E2E"/>
            </w:tcBorders>
            <w:shd w:val="clear" w:color="auto" w:fill="FFFBEB"/>
            <w:tcMar>
              <w:top w:w="80" w:type="dxa"/>
              <w:left w:w="120" w:type="dxa"/>
              <w:bottom w:w="0" w:type="dxa"/>
              <w:right w:w="120" w:type="dxa"/>
            </w:tcMar>
          </w:tcPr>
          <w:p w14:paraId="53570E2F" w14:textId="77777777" w:rsidR="0046004D" w:rsidRDefault="00000000">
            <w:r>
              <w:rPr>
                <w:b/>
                <w:bCs/>
                <w:color w:val="D69E2E"/>
                <w:sz w:val="20"/>
                <w:szCs w:val="20"/>
              </w:rPr>
              <w:t>Key Invariant</w:t>
            </w:r>
          </w:p>
        </w:tc>
      </w:tr>
      <w:tr w:rsidR="0046004D" w14:paraId="2B8B795D" w14:textId="77777777">
        <w:tc>
          <w:tcPr>
            <w:tcW w:w="9360" w:type="dxa"/>
            <w:tcBorders>
              <w:left w:val="single" w:sz="12" w:space="0" w:color="D69E2E"/>
            </w:tcBorders>
            <w:shd w:val="clear" w:color="auto" w:fill="FFFBEB"/>
            <w:tcMar>
              <w:top w:w="0" w:type="dxa"/>
              <w:left w:w="120" w:type="dxa"/>
              <w:bottom w:w="0" w:type="dxa"/>
              <w:right w:w="120" w:type="dxa"/>
            </w:tcMar>
          </w:tcPr>
          <w:p w14:paraId="0A6DA624" w14:textId="77777777" w:rsidR="0046004D" w:rsidRDefault="00000000">
            <w:pPr>
              <w:spacing w:after="80"/>
            </w:pPr>
            <w:r>
              <w:rPr>
                <w:color w:val="2D3748"/>
                <w:sz w:val="20"/>
                <w:szCs w:val="20"/>
              </w:rPr>
              <w:t xml:space="preserve">Lateral edges never cross levels. </w:t>
            </w:r>
            <w:proofErr w:type="spellStart"/>
            <w:r>
              <w:rPr>
                <w:color w:val="2D3748"/>
                <w:sz w:val="20"/>
                <w:szCs w:val="20"/>
              </w:rPr>
              <w:t>parentProduct</w:t>
            </w:r>
            <w:proofErr w:type="spellEnd"/>
            <w:r>
              <w:rPr>
                <w:color w:val="2D3748"/>
                <w:sz w:val="20"/>
                <w:szCs w:val="20"/>
              </w:rPr>
              <w:t xml:space="preserve"> at Product, </w:t>
            </w:r>
            <w:proofErr w:type="spellStart"/>
            <w:r>
              <w:rPr>
                <w:color w:val="2D3748"/>
                <w:sz w:val="20"/>
                <w:szCs w:val="20"/>
              </w:rPr>
              <w:t>successorOf</w:t>
            </w:r>
            <w:proofErr w:type="spellEnd"/>
            <w:r>
              <w:rPr>
                <w:color w:val="2D3748"/>
                <w:sz w:val="20"/>
                <w:szCs w:val="20"/>
              </w:rPr>
              <w:t xml:space="preserve"> and </w:t>
            </w:r>
            <w:proofErr w:type="spellStart"/>
            <w:r>
              <w:rPr>
                <w:color w:val="2D3748"/>
                <w:sz w:val="20"/>
                <w:szCs w:val="20"/>
              </w:rPr>
              <w:t>coInvestsAlongside</w:t>
            </w:r>
            <w:proofErr w:type="spellEnd"/>
            <w:r>
              <w:rPr>
                <w:color w:val="2D3748"/>
                <w:sz w:val="20"/>
                <w:szCs w:val="20"/>
              </w:rPr>
              <w:t xml:space="preserve"> at Fund, </w:t>
            </w:r>
            <w:proofErr w:type="spellStart"/>
            <w:r>
              <w:rPr>
                <w:color w:val="2D3748"/>
                <w:sz w:val="20"/>
                <w:szCs w:val="20"/>
              </w:rPr>
              <w:t>feedsInto</w:t>
            </w:r>
            <w:proofErr w:type="spellEnd"/>
            <w:r>
              <w:rPr>
                <w:color w:val="2D3748"/>
                <w:sz w:val="20"/>
                <w:szCs w:val="20"/>
              </w:rPr>
              <w:t xml:space="preserve"> and </w:t>
            </w:r>
            <w:proofErr w:type="spellStart"/>
            <w:r>
              <w:rPr>
                <w:color w:val="2D3748"/>
                <w:sz w:val="20"/>
                <w:szCs w:val="20"/>
              </w:rPr>
              <w:t>parallelTo</w:t>
            </w:r>
            <w:proofErr w:type="spellEnd"/>
            <w:r>
              <w:rPr>
                <w:color w:val="2D3748"/>
                <w:sz w:val="20"/>
                <w:szCs w:val="20"/>
              </w:rPr>
              <w:t xml:space="preserve"> at Vehicle.</w:t>
            </w:r>
          </w:p>
        </w:tc>
      </w:tr>
      <w:tr w:rsidR="0046004D" w14:paraId="59FABAEC" w14:textId="77777777">
        <w:tc>
          <w:tcPr>
            <w:tcW w:w="9360" w:type="dxa"/>
            <w:tcBorders>
              <w:left w:val="single" w:sz="12" w:space="0" w:color="D69E2E"/>
              <w:bottom w:val="single" w:sz="4" w:space="0" w:color="D69E2E"/>
            </w:tcBorders>
            <w:shd w:val="clear" w:color="auto" w:fill="FFFBEB"/>
            <w:tcMar>
              <w:top w:w="0" w:type="dxa"/>
              <w:left w:w="120" w:type="dxa"/>
              <w:bottom w:w="80" w:type="dxa"/>
              <w:right w:w="120" w:type="dxa"/>
            </w:tcMar>
          </w:tcPr>
          <w:p w14:paraId="20BBA6CD" w14:textId="77777777" w:rsidR="0046004D" w:rsidRDefault="00000000">
            <w:r>
              <w:rPr>
                <w:color w:val="2D3748"/>
                <w:sz w:val="20"/>
                <w:szCs w:val="20"/>
              </w:rPr>
              <w:t>If you find yourself wanting a lateral edge at a level where one doesn't belong, the hierarchy has been drawn incorrectly.</w:t>
            </w:r>
          </w:p>
        </w:tc>
      </w:tr>
    </w:tbl>
    <w:p w14:paraId="02E1CF46" w14:textId="77777777" w:rsidR="0046004D" w:rsidRDefault="0046004D">
      <w:pPr>
        <w:spacing w:after="160"/>
      </w:pPr>
    </w:p>
    <w:p w14:paraId="2BD9543F" w14:textId="77777777" w:rsidR="0046004D" w:rsidRDefault="00000000">
      <w:pPr>
        <w:pStyle w:val="Heading2"/>
      </w:pPr>
      <w:bookmarkStart w:id="5" w:name="_Toc237337448"/>
      <w:proofErr w:type="gramStart"/>
      <w:r>
        <w:t>2.1  Feeders</w:t>
      </w:r>
      <w:bookmarkEnd w:id="5"/>
      <w:proofErr w:type="gramEnd"/>
    </w:p>
    <w:p w14:paraId="4B81C7FC" w14:textId="77777777" w:rsidR="0046004D" w:rsidRDefault="00000000">
      <w:pPr>
        <w:spacing w:after="120"/>
      </w:pPr>
      <w:r>
        <w:t>A feeder gets its own legal identity, administrator, audit, NAV, capital accounts, and expense allocation. It does not get its own track record, and it does not get its own AUM line — its commitments live inside the master's total.</w:t>
      </w:r>
    </w:p>
    <w:p w14:paraId="4CE1E9E2" w14:textId="77777777" w:rsidR="0046004D" w:rsidRDefault="00000000">
      <w:pPr>
        <w:spacing w:after="120"/>
      </w:pPr>
      <w:r>
        <w:t xml:space="preserve">This is why </w:t>
      </w:r>
      <w:proofErr w:type="spellStart"/>
      <w:proofErr w:type="gramStart"/>
      <w:r>
        <w:t>pe:consolidationTreatment</w:t>
      </w:r>
      <w:proofErr w:type="spellEnd"/>
      <w:proofErr w:type="gramEnd"/>
      <w:r>
        <w:t xml:space="preserve"> is mandatory on every Vehicle. It is the single most common place this class of model breaks: count the feeder and the master separately and the fund appears to have double the capital it raised.</w:t>
      </w:r>
    </w:p>
    <w:p w14:paraId="11D66D0E" w14:textId="77777777" w:rsidR="0046004D" w:rsidRDefault="00000000">
      <w:pPr>
        <w:pStyle w:val="Heading2"/>
      </w:pPr>
      <w:bookmarkStart w:id="6" w:name="_Toc237337449"/>
      <w:proofErr w:type="gramStart"/>
      <w:r>
        <w:t>2.2  Deal</w:t>
      </w:r>
      <w:proofErr w:type="gramEnd"/>
      <w:r>
        <w:t xml:space="preserve"> SPVs Sit Outside the Hierarchy</w:t>
      </w:r>
      <w:bookmarkEnd w:id="6"/>
    </w:p>
    <w:p w14:paraId="6A225F6A" w14:textId="77777777" w:rsidR="0046004D" w:rsidRDefault="00000000">
      <w:pPr>
        <w:spacing w:after="120"/>
      </w:pPr>
      <w:r>
        <w:t xml:space="preserve">An entity belongs </w:t>
      </w:r>
      <w:proofErr w:type="gramStart"/>
      <w:r>
        <w:t>in</w:t>
      </w:r>
      <w:proofErr w:type="gramEnd"/>
      <w:r>
        <w:t xml:space="preserve"> the offering hierarchy if and only if someone subscribes to it. Deal SPVs therefore live in a separate branch, reached from Fund via </w:t>
      </w:r>
      <w:proofErr w:type="spellStart"/>
      <w:r>
        <w:t>holdsInvestment</w:t>
      </w:r>
      <w:proofErr w:type="spellEnd"/>
      <w:r>
        <w:t xml:space="preserve"> rather than from Vehicle. The deal branch departs from Fund, not from Vehicle — economically the fund complex holds the investment.</w:t>
      </w:r>
    </w:p>
    <w:p w14:paraId="43B36197" w14:textId="77777777" w:rsidR="0046004D" w:rsidRDefault="00000000">
      <w:pPr>
        <w:pStyle w:val="Heading2"/>
      </w:pPr>
      <w:bookmarkStart w:id="7" w:name="_Toc237337450"/>
      <w:proofErr w:type="gramStart"/>
      <w:r>
        <w:t>2.3  A</w:t>
      </w:r>
      <w:proofErr w:type="gramEnd"/>
      <w:r>
        <w:t xml:space="preserve"> Worked Instance</w:t>
      </w:r>
      <w:bookmarkEnd w:id="7"/>
    </w:p>
    <w:p w14:paraId="53B3AFE7" w14:textId="77777777" w:rsidR="0046004D" w:rsidRDefault="00000000">
      <w:pPr>
        <w:spacing w:after="120"/>
      </w:pPr>
      <w:r>
        <w:t xml:space="preserve">Figure 2 (Buyout VIII): five legal vehicles, three of them </w:t>
      </w:r>
      <w:proofErr w:type="spellStart"/>
      <w:r>
        <w:t>subscribable</w:t>
      </w:r>
      <w:proofErr w:type="spellEnd"/>
      <w:r>
        <w:t xml:space="preserve">, four share classes. Both "Class A" designations are real: one on the master, one on the feeder, with different minimums. </w:t>
      </w:r>
      <w:proofErr w:type="spellStart"/>
      <w:r>
        <w:t>Offerability</w:t>
      </w:r>
      <w:proofErr w:type="spellEnd"/>
      <w:r>
        <w:t xml:space="preserve"> falls out of the data rather than being declared as a class.</w:t>
      </w:r>
    </w:p>
    <w:p w14:paraId="2F7006CA" w14:textId="77777777" w:rsidR="0046004D" w:rsidRDefault="00000000">
      <w:pPr>
        <w:pStyle w:val="Heading1"/>
        <w:pBdr>
          <w:bottom w:val="single" w:sz="8" w:space="0" w:color="C8952A"/>
        </w:pBdr>
      </w:pPr>
      <w:bookmarkStart w:id="8" w:name="_Toc237337451"/>
      <w:proofErr w:type="gramStart"/>
      <w:r>
        <w:t>3  The</w:t>
      </w:r>
      <w:proofErr w:type="gramEnd"/>
      <w:r>
        <w:t xml:space="preserve"> Same Structure, Simplified</w:t>
      </w:r>
      <w:bookmarkEnd w:id="8"/>
    </w:p>
    <w:p w14:paraId="77C12D00" w14:textId="77777777" w:rsidR="0046004D" w:rsidRDefault="00000000">
      <w:pPr>
        <w:spacing w:after="120"/>
      </w:pPr>
      <w:r>
        <w:t>Stripped to one Product, one Fund, one master and one feeder, three things remain visible:</w:t>
      </w:r>
    </w:p>
    <w:p w14:paraId="48E84CFD" w14:textId="77777777" w:rsidR="0046004D" w:rsidRDefault="00000000">
      <w:pPr>
        <w:pStyle w:val="ListParagraph"/>
        <w:numPr>
          <w:ilvl w:val="0"/>
          <w:numId w:val="1"/>
        </w:numPr>
        <w:spacing w:after="80"/>
      </w:pPr>
      <w:proofErr w:type="spellStart"/>
      <w:proofErr w:type="gramStart"/>
      <w:r>
        <w:t>pe:feedsInto</w:t>
      </w:r>
      <w:proofErr w:type="spellEnd"/>
      <w:proofErr w:type="gramEnd"/>
      <w:r>
        <w:t xml:space="preserve"> points sideways, at the master — not up at the Fund. Both vehicles are children of Buyout VIII; the feeder relationship </w:t>
      </w:r>
      <w:proofErr w:type="gramStart"/>
      <w:r>
        <w:t>is between peers</w:t>
      </w:r>
      <w:proofErr w:type="gramEnd"/>
      <w:r>
        <w:t xml:space="preserve"> at the same level.</w:t>
      </w:r>
    </w:p>
    <w:p w14:paraId="12DE66A5" w14:textId="77777777" w:rsidR="0046004D" w:rsidRDefault="00000000">
      <w:pPr>
        <w:pStyle w:val="ListParagraph"/>
        <w:numPr>
          <w:ilvl w:val="0"/>
          <w:numId w:val="1"/>
        </w:numPr>
        <w:spacing w:after="80"/>
      </w:pPr>
      <w:r>
        <w:t>Both offerings are Class A, on different vehicles, with different minimums. Correct market practice, and the reason uniqueness is scoped to Vehicle.</w:t>
      </w:r>
    </w:p>
    <w:p w14:paraId="79148E85" w14:textId="77777777" w:rsidR="0046004D" w:rsidRDefault="00000000">
      <w:pPr>
        <w:pStyle w:val="ListParagraph"/>
        <w:numPr>
          <w:ilvl w:val="0"/>
          <w:numId w:val="1"/>
        </w:numPr>
        <w:spacing w:after="80"/>
      </w:pPr>
      <w:r>
        <w:t>Consolidation treatment is the difference that matters. Two LPs commit $150M and $200M: the fund raised $350M, not $700M.</w:t>
      </w:r>
    </w:p>
    <w:p w14:paraId="24AC8891" w14:textId="77777777" w:rsidR="0046004D" w:rsidRDefault="00000000">
      <w:pPr>
        <w:pStyle w:val="Heading1"/>
        <w:pBdr>
          <w:bottom w:val="single" w:sz="8" w:space="0" w:color="C8952A"/>
        </w:pBdr>
      </w:pPr>
      <w:bookmarkStart w:id="9" w:name="_Toc237337452"/>
      <w:proofErr w:type="gramStart"/>
      <w:r>
        <w:t>4  Closed</w:t>
      </w:r>
      <w:proofErr w:type="gramEnd"/>
      <w:r>
        <w:t>-End and Evergreen</w:t>
      </w:r>
      <w:bookmarkEnd w:id="9"/>
    </w:p>
    <w:p w14:paraId="09FFED15" w14:textId="77777777" w:rsidR="0046004D" w:rsidRDefault="00000000">
      <w:pPr>
        <w:spacing w:after="120"/>
      </w:pPr>
      <w:r>
        <w:lastRenderedPageBreak/>
        <w:t xml:space="preserve">The discriminator is declared once, at Fund level, and everything below inherits from it. It is a property of the capital structure — not of the vehicle, and not of the share class. A Cayman ELP is just as capable of being </w:t>
      </w:r>
      <w:proofErr w:type="gramStart"/>
      <w:r>
        <w:t>either;</w:t>
      </w:r>
      <w:proofErr w:type="gramEnd"/>
      <w:r>
        <w:t xml:space="preserve"> the domicile says nothing about the capital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6B120F09" w14:textId="77777777">
        <w:tc>
          <w:tcPr>
            <w:tcW w:w="9360" w:type="dxa"/>
            <w:tcBorders>
              <w:top w:val="single" w:sz="12" w:space="0" w:color="D69E2E"/>
              <w:left w:val="single" w:sz="12" w:space="0" w:color="D69E2E"/>
            </w:tcBorders>
            <w:shd w:val="clear" w:color="auto" w:fill="FFFBEB"/>
            <w:tcMar>
              <w:top w:w="80" w:type="dxa"/>
              <w:left w:w="120" w:type="dxa"/>
              <w:bottom w:w="0" w:type="dxa"/>
              <w:right w:w="120" w:type="dxa"/>
            </w:tcMar>
          </w:tcPr>
          <w:p w14:paraId="3A370044" w14:textId="77777777" w:rsidR="0046004D" w:rsidRDefault="00000000">
            <w:r>
              <w:rPr>
                <w:b/>
                <w:bCs/>
                <w:color w:val="D69E2E"/>
                <w:sz w:val="20"/>
                <w:szCs w:val="20"/>
              </w:rPr>
              <w:t>Common Misconception</w:t>
            </w:r>
          </w:p>
        </w:tc>
      </w:tr>
      <w:tr w:rsidR="0046004D" w14:paraId="25FD449A" w14:textId="77777777">
        <w:tc>
          <w:tcPr>
            <w:tcW w:w="9360" w:type="dxa"/>
            <w:tcBorders>
              <w:left w:val="single" w:sz="12" w:space="0" w:color="D69E2E"/>
            </w:tcBorders>
            <w:shd w:val="clear" w:color="auto" w:fill="FFFBEB"/>
            <w:tcMar>
              <w:top w:w="0" w:type="dxa"/>
              <w:left w:w="120" w:type="dxa"/>
              <w:bottom w:w="0" w:type="dxa"/>
              <w:right w:w="120" w:type="dxa"/>
            </w:tcMar>
          </w:tcPr>
          <w:p w14:paraId="2ED7C069" w14:textId="77777777" w:rsidR="0046004D" w:rsidRDefault="00000000">
            <w:pPr>
              <w:spacing w:after="80"/>
            </w:pPr>
            <w:r>
              <w:rPr>
                <w:color w:val="2D3748"/>
                <w:sz w:val="20"/>
                <w:szCs w:val="20"/>
              </w:rPr>
              <w:t xml:space="preserve">"Evergreen has transactions, </w:t>
            </w:r>
            <w:proofErr w:type="gramStart"/>
            <w:r>
              <w:rPr>
                <w:color w:val="2D3748"/>
                <w:sz w:val="20"/>
                <w:szCs w:val="20"/>
              </w:rPr>
              <w:t>closed-end</w:t>
            </w:r>
            <w:proofErr w:type="gramEnd"/>
            <w:r>
              <w:rPr>
                <w:color w:val="2D3748"/>
                <w:sz w:val="20"/>
                <w:szCs w:val="20"/>
              </w:rPr>
              <w:t xml:space="preserve"> has commitments" is not the split. Both have transactions.</w:t>
            </w:r>
          </w:p>
        </w:tc>
      </w:tr>
      <w:tr w:rsidR="0046004D" w14:paraId="556C2519" w14:textId="77777777">
        <w:tc>
          <w:tcPr>
            <w:tcW w:w="9360" w:type="dxa"/>
            <w:tcBorders>
              <w:left w:val="single" w:sz="12" w:space="0" w:color="D69E2E"/>
            </w:tcBorders>
            <w:shd w:val="clear" w:color="auto" w:fill="FFFBEB"/>
            <w:tcMar>
              <w:top w:w="0" w:type="dxa"/>
              <w:left w:w="120" w:type="dxa"/>
              <w:bottom w:w="0" w:type="dxa"/>
              <w:right w:w="120" w:type="dxa"/>
            </w:tcMar>
          </w:tcPr>
          <w:p w14:paraId="003D943A" w14:textId="77777777" w:rsidR="0046004D" w:rsidRDefault="00000000">
            <w:pPr>
              <w:spacing w:after="80"/>
            </w:pPr>
            <w:r>
              <w:rPr>
                <w:color w:val="2D3748"/>
                <w:sz w:val="20"/>
                <w:szCs w:val="20"/>
              </w:rPr>
              <w:t>What differs is whether a standing obligation exists, and who initiates the cash movement.</w:t>
            </w:r>
          </w:p>
        </w:tc>
      </w:tr>
      <w:tr w:rsidR="0046004D" w14:paraId="6D7CC635" w14:textId="77777777">
        <w:tc>
          <w:tcPr>
            <w:tcW w:w="9360" w:type="dxa"/>
            <w:tcBorders>
              <w:left w:val="single" w:sz="12" w:space="0" w:color="D69E2E"/>
            </w:tcBorders>
            <w:shd w:val="clear" w:color="auto" w:fill="FFFBEB"/>
            <w:tcMar>
              <w:top w:w="0" w:type="dxa"/>
              <w:left w:w="120" w:type="dxa"/>
              <w:bottom w:w="0" w:type="dxa"/>
              <w:right w:w="120" w:type="dxa"/>
            </w:tcMar>
          </w:tcPr>
          <w:p w14:paraId="30D81A7C" w14:textId="77777777" w:rsidR="0046004D" w:rsidRDefault="0046004D">
            <w:pPr>
              <w:spacing w:after="80"/>
            </w:pPr>
          </w:p>
        </w:tc>
      </w:tr>
      <w:tr w:rsidR="0046004D" w14:paraId="5D5A752D" w14:textId="77777777">
        <w:tc>
          <w:tcPr>
            <w:tcW w:w="9360" w:type="dxa"/>
            <w:tcBorders>
              <w:left w:val="single" w:sz="12" w:space="0" w:color="D69E2E"/>
              <w:bottom w:val="single" w:sz="4" w:space="0" w:color="D69E2E"/>
            </w:tcBorders>
            <w:shd w:val="clear" w:color="auto" w:fill="FFFBEB"/>
            <w:tcMar>
              <w:top w:w="0" w:type="dxa"/>
              <w:left w:w="120" w:type="dxa"/>
              <w:bottom w:w="80" w:type="dxa"/>
              <w:right w:w="120" w:type="dxa"/>
            </w:tcMar>
          </w:tcPr>
          <w:p w14:paraId="66CCE42D" w14:textId="77777777" w:rsidR="0046004D" w:rsidRDefault="00000000">
            <w:r>
              <w:rPr>
                <w:color w:val="2D3748"/>
                <w:sz w:val="20"/>
                <w:szCs w:val="20"/>
              </w:rPr>
              <w:t>The position type must agree with the Fund subclass — resolved by traversing: position → offering → vehicle → fund.</w:t>
            </w:r>
          </w:p>
        </w:tc>
      </w:tr>
    </w:tbl>
    <w:p w14:paraId="724E2F96" w14:textId="77777777" w:rsidR="0046004D" w:rsidRDefault="0046004D">
      <w:pPr>
        <w:spacing w:after="160"/>
      </w:pPr>
    </w:p>
    <w:p w14:paraId="3C849171" w14:textId="77777777" w:rsidR="0046004D" w:rsidRDefault="00000000">
      <w:pPr>
        <w:spacing w:after="120"/>
      </w:pPr>
      <w:r>
        <w:t>One open question: "Drawdown" and "</w:t>
      </w:r>
      <w:proofErr w:type="gramStart"/>
      <w:r>
        <w:t>closed-end</w:t>
      </w:r>
      <w:proofErr w:type="gramEnd"/>
      <w:r>
        <w:t>" are different axes. Some perpetual infrastructure and credit funds use commitment-and-drawdown mechanics with a queue, despite having no termination date.</w:t>
      </w:r>
    </w:p>
    <w:p w14:paraId="44CC70F2" w14:textId="77777777" w:rsidR="0046004D" w:rsidRDefault="00000000">
      <w:pPr>
        <w:pStyle w:val="Heading1"/>
        <w:pBdr>
          <w:bottom w:val="single" w:sz="8" w:space="0" w:color="C8952A"/>
        </w:pBdr>
      </w:pPr>
      <w:bookmarkStart w:id="10" w:name="_Toc237337453"/>
      <w:proofErr w:type="gramStart"/>
      <w:r>
        <w:t>5  Servicing</w:t>
      </w:r>
      <w:proofErr w:type="gramEnd"/>
      <w:r>
        <w:t>: Who Is the System of Record</w:t>
      </w:r>
      <w:bookmarkEnd w:id="10"/>
    </w:p>
    <w:p w14:paraId="7215C608" w14:textId="77777777" w:rsidR="0046004D" w:rsidRDefault="00000000">
      <w:pPr>
        <w:spacing w:after="120"/>
      </w:pPr>
      <w:r>
        <w:t>Administrator and transfer agent attach to Vehicle, not Fund. They are appointed per legal entity — a Delaware master and a Luxembourg parallel in the same Fund routinely use different administrators, and that difference is material to transaction routing.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6004D" w14:paraId="67BAA35A" w14:textId="77777777">
        <w:tblPrEx>
          <w:tblCellMar>
            <w:top w:w="0" w:type="dxa"/>
            <w:bottom w:w="0" w:type="dxa"/>
          </w:tblCellMar>
        </w:tblPrEx>
        <w:tc>
          <w:tcPr>
            <w:tcW w:w="28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485B241B" w14:textId="77777777" w:rsidR="0046004D" w:rsidRDefault="00000000">
            <w:r>
              <w:rPr>
                <w:b/>
                <w:bCs/>
                <w:color w:val="FFFFFF"/>
                <w:sz w:val="20"/>
                <w:szCs w:val="20"/>
              </w:rPr>
              <w:t>Role</w:t>
            </w:r>
          </w:p>
        </w:tc>
        <w:tc>
          <w:tcPr>
            <w:tcW w:w="65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6B84FBBE" w14:textId="77777777" w:rsidR="0046004D" w:rsidRDefault="00000000">
            <w:r>
              <w:rPr>
                <w:b/>
                <w:bCs/>
                <w:color w:val="FFFFFF"/>
                <w:sz w:val="20"/>
                <w:szCs w:val="20"/>
              </w:rPr>
              <w:t>Responsibility</w:t>
            </w:r>
          </w:p>
        </w:tc>
      </w:tr>
      <w:tr w:rsidR="0046004D" w14:paraId="163A4B7D" w14:textId="77777777">
        <w:tblPrEx>
          <w:tblCellMar>
            <w:top w:w="0" w:type="dxa"/>
            <w:bottom w:w="0" w:type="dxa"/>
          </w:tblCellMar>
        </w:tblPrEx>
        <w:tc>
          <w:tcPr>
            <w:tcW w:w="2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E19B34B" w14:textId="77777777" w:rsidR="0046004D" w:rsidRDefault="00000000">
            <w:r>
              <w:rPr>
                <w:sz w:val="20"/>
                <w:szCs w:val="20"/>
              </w:rPr>
              <w:t>Administrator</w:t>
            </w:r>
          </w:p>
        </w:tc>
        <w:tc>
          <w:tcPr>
            <w:tcW w:w="65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B005143" w14:textId="77777777" w:rsidR="0046004D" w:rsidRDefault="00000000">
            <w:r>
              <w:rPr>
                <w:sz w:val="20"/>
                <w:szCs w:val="20"/>
              </w:rPr>
              <w:t>LP capital accounts, NAV, distributions — closed-end vehicles</w:t>
            </w:r>
          </w:p>
        </w:tc>
      </w:tr>
      <w:tr w:rsidR="0046004D" w14:paraId="6AFEF216" w14:textId="77777777">
        <w:tblPrEx>
          <w:tblCellMar>
            <w:top w:w="0" w:type="dxa"/>
            <w:bottom w:w="0" w:type="dxa"/>
          </w:tblCellMar>
        </w:tblPrEx>
        <w:tc>
          <w:tcPr>
            <w:tcW w:w="28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56EAD36" w14:textId="77777777" w:rsidR="0046004D" w:rsidRDefault="00000000">
            <w:r>
              <w:rPr>
                <w:sz w:val="20"/>
                <w:szCs w:val="20"/>
              </w:rPr>
              <w:t>Transfer Agent</w:t>
            </w:r>
          </w:p>
        </w:tc>
        <w:tc>
          <w:tcPr>
            <w:tcW w:w="65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1F7D04E" w14:textId="77777777" w:rsidR="0046004D" w:rsidRDefault="00000000">
            <w:r>
              <w:rPr>
                <w:sz w:val="20"/>
                <w:szCs w:val="20"/>
              </w:rPr>
              <w:t>Unit register, subscriptions, redemptions — evergreen vehicles only</w:t>
            </w:r>
          </w:p>
        </w:tc>
      </w:tr>
    </w:tbl>
    <w:p w14:paraId="519A2735" w14:textId="77777777" w:rsidR="0046004D" w:rsidRDefault="0046004D">
      <w:pPr>
        <w:spacing w:after="200"/>
      </w:pPr>
    </w:p>
    <w:p w14:paraId="21DF07C7" w14:textId="77777777" w:rsidR="0046004D" w:rsidRDefault="00000000">
      <w:pPr>
        <w:spacing w:after="120"/>
      </w:pPr>
      <w:proofErr w:type="spellStart"/>
      <w:proofErr w:type="gramStart"/>
      <w:r>
        <w:t>pe:processedBy</w:t>
      </w:r>
      <w:proofErr w:type="spellEnd"/>
      <w:proofErr w:type="gramEnd"/>
      <w:r>
        <w:t xml:space="preserve"> records which provider booked each movement. This is not decoration — it is the audit trail for who is the system of record for each figure, constrained three ways: calls, contributions, and distributions each route to specific providers by fund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46651BEA" w14:textId="77777777">
        <w:tc>
          <w:tcPr>
            <w:tcW w:w="9360" w:type="dxa"/>
            <w:tcBorders>
              <w:top w:val="single" w:sz="12" w:space="0" w:color="3182CE"/>
              <w:left w:val="single" w:sz="12" w:space="0" w:color="3182CE"/>
            </w:tcBorders>
            <w:shd w:val="clear" w:color="auto" w:fill="EBF4FF"/>
            <w:tcMar>
              <w:top w:w="80" w:type="dxa"/>
              <w:left w:w="120" w:type="dxa"/>
              <w:bottom w:w="0" w:type="dxa"/>
              <w:right w:w="120" w:type="dxa"/>
            </w:tcMar>
          </w:tcPr>
          <w:p w14:paraId="043A29E0" w14:textId="77777777" w:rsidR="0046004D" w:rsidRDefault="00000000">
            <w:r>
              <w:rPr>
                <w:b/>
                <w:bCs/>
                <w:color w:val="3182CE"/>
                <w:sz w:val="20"/>
                <w:szCs w:val="20"/>
              </w:rPr>
              <w:t>Transfer Agent Rule</w:t>
            </w:r>
          </w:p>
        </w:tc>
      </w:tr>
      <w:tr w:rsidR="0046004D" w14:paraId="27A56B60" w14:textId="77777777">
        <w:tc>
          <w:tcPr>
            <w:tcW w:w="9360" w:type="dxa"/>
            <w:tcBorders>
              <w:left w:val="single" w:sz="12" w:space="0" w:color="3182CE"/>
            </w:tcBorders>
            <w:shd w:val="clear" w:color="auto" w:fill="EBF4FF"/>
            <w:tcMar>
              <w:top w:w="0" w:type="dxa"/>
              <w:left w:w="120" w:type="dxa"/>
              <w:bottom w:w="0" w:type="dxa"/>
              <w:right w:w="120" w:type="dxa"/>
            </w:tcMar>
          </w:tcPr>
          <w:p w14:paraId="2FECB9EC" w14:textId="77777777" w:rsidR="0046004D" w:rsidRDefault="00000000">
            <w:pPr>
              <w:spacing w:after="80"/>
            </w:pPr>
            <w:r>
              <w:rPr>
                <w:color w:val="2D3748"/>
                <w:sz w:val="20"/>
                <w:szCs w:val="20"/>
              </w:rPr>
              <w:t>A transfer agent presupposes units, so it is forbidden on closed-end and required on evergreen vehicles that carry offerings.</w:t>
            </w:r>
          </w:p>
        </w:tc>
      </w:tr>
      <w:tr w:rsidR="0046004D" w14:paraId="1425B50B" w14:textId="77777777">
        <w:tc>
          <w:tcPr>
            <w:tcW w:w="9360" w:type="dxa"/>
            <w:tcBorders>
              <w:left w:val="single" w:sz="12" w:space="0" w:color="3182CE"/>
              <w:bottom w:val="single" w:sz="4" w:space="0" w:color="3182CE"/>
            </w:tcBorders>
            <w:shd w:val="clear" w:color="auto" w:fill="EBF4FF"/>
            <w:tcMar>
              <w:top w:w="0" w:type="dxa"/>
              <w:left w:w="120" w:type="dxa"/>
              <w:bottom w:w="80" w:type="dxa"/>
              <w:right w:w="120" w:type="dxa"/>
            </w:tcMar>
          </w:tcPr>
          <w:p w14:paraId="10151726" w14:textId="77777777" w:rsidR="0046004D" w:rsidRDefault="00000000">
            <w:r>
              <w:rPr>
                <w:color w:val="2D3748"/>
                <w:sz w:val="20"/>
                <w:szCs w:val="20"/>
              </w:rPr>
              <w:t>A closed-end LP has no unit register; the administrator maintains the schedule of capital accounts.</w:t>
            </w:r>
          </w:p>
        </w:tc>
      </w:tr>
    </w:tbl>
    <w:p w14:paraId="059F2F3B" w14:textId="77777777" w:rsidR="0046004D" w:rsidRDefault="0046004D">
      <w:pPr>
        <w:spacing w:after="160"/>
      </w:pPr>
    </w:p>
    <w:p w14:paraId="46E3A1CE" w14:textId="77777777" w:rsidR="0046004D" w:rsidRDefault="00000000">
      <w:pPr>
        <w:pStyle w:val="Heading1"/>
        <w:pBdr>
          <w:bottom w:val="single" w:sz="8" w:space="0" w:color="C8952A"/>
        </w:pBdr>
      </w:pPr>
      <w:bookmarkStart w:id="11" w:name="_Toc237337454"/>
      <w:proofErr w:type="gramStart"/>
      <w:r>
        <w:t>6  Share</w:t>
      </w:r>
      <w:proofErr w:type="gramEnd"/>
      <w:r>
        <w:t xml:space="preserve"> Classes</w:t>
      </w:r>
      <w:bookmarkEnd w:id="11"/>
    </w:p>
    <w:p w14:paraId="25C33E98" w14:textId="77777777" w:rsidR="0046004D" w:rsidRDefault="00000000">
      <w:pPr>
        <w:spacing w:after="120"/>
      </w:pPr>
      <w:r>
        <w:t>Share class is Offering, attached to Vehicle rather than Fund. Everything that varies by class lives there: designation, currency and hedging, minimum, eligibility, distribution channel, open and close dates.</w:t>
      </w:r>
    </w:p>
    <w:p w14:paraId="4E451021" w14:textId="77777777" w:rsidR="0046004D" w:rsidRDefault="00000000">
      <w:pPr>
        <w:spacing w:after="120"/>
      </w:pPr>
      <w:r>
        <w:t>What deliberately does not vary at class level:</w:t>
      </w:r>
    </w:p>
    <w:p w14:paraId="4A88A3B2" w14:textId="77777777" w:rsidR="0046004D" w:rsidRDefault="00000000">
      <w:pPr>
        <w:pStyle w:val="ListParagraph"/>
        <w:numPr>
          <w:ilvl w:val="0"/>
          <w:numId w:val="1"/>
        </w:numPr>
        <w:spacing w:after="80"/>
      </w:pPr>
      <w:r>
        <w:t>Domicile and LEI — which are Vehicle facts because a class is not a legal person</w:t>
      </w:r>
    </w:p>
    <w:p w14:paraId="76FCB81B" w14:textId="77777777" w:rsidR="0046004D" w:rsidRDefault="00000000">
      <w:pPr>
        <w:pStyle w:val="ListParagraph"/>
        <w:numPr>
          <w:ilvl w:val="0"/>
          <w:numId w:val="1"/>
        </w:numPr>
        <w:spacing w:after="80"/>
      </w:pPr>
      <w:r>
        <w:t>Vintage and term — which are Fund facts because all classes share one track record</w:t>
      </w:r>
    </w:p>
    <w:p w14:paraId="582FD8D8" w14:textId="77777777" w:rsidR="0046004D" w:rsidRDefault="00000000">
      <w:pPr>
        <w:pStyle w:val="Heading2"/>
      </w:pPr>
      <w:bookmarkStart w:id="12" w:name="_Toc237337455"/>
      <w:proofErr w:type="gramStart"/>
      <w:r>
        <w:lastRenderedPageBreak/>
        <w:t>6.1  Where</w:t>
      </w:r>
      <w:proofErr w:type="gramEnd"/>
      <w:r>
        <w:t xml:space="preserve"> the Model Would Need Splitting</w:t>
      </w:r>
      <w:bookmarkEnd w:id="12"/>
    </w:p>
    <w:p w14:paraId="3E9ECC2E" w14:textId="77777777" w:rsidR="0046004D" w:rsidRDefault="00000000">
      <w:pPr>
        <w:spacing w:after="120"/>
      </w:pPr>
      <w:r>
        <w:t>In practice "share class" means two things the model currently treats as one. Three cases that break the current model:</w:t>
      </w:r>
    </w:p>
    <w:p w14:paraId="6D0BE842" w14:textId="77777777" w:rsidR="0046004D" w:rsidRDefault="00000000">
      <w:pPr>
        <w:pStyle w:val="ListParagraph"/>
        <w:numPr>
          <w:ilvl w:val="0"/>
          <w:numId w:val="1"/>
        </w:numPr>
        <w:spacing w:after="80"/>
      </w:pPr>
      <w:r>
        <w:t xml:space="preserve">Series accounting: if a new series is issued each dealing period and rolled into the main class after </w:t>
      </w:r>
      <w:proofErr w:type="spellStart"/>
      <w:r>
        <w:t>equalisation</w:t>
      </w:r>
      <w:proofErr w:type="spellEnd"/>
      <w:r>
        <w:t>, a level below class is needed</w:t>
      </w:r>
    </w:p>
    <w:p w14:paraId="7CDA2D39" w14:textId="77777777" w:rsidR="0046004D" w:rsidRDefault="00000000">
      <w:pPr>
        <w:pStyle w:val="ListParagraph"/>
        <w:numPr>
          <w:ilvl w:val="0"/>
          <w:numId w:val="1"/>
        </w:numPr>
        <w:spacing w:after="80"/>
      </w:pPr>
      <w:r>
        <w:t>One legal class distributed under materially different commercial terms (e.g., the same Class S sold by two platforms with different upfront fees)</w:t>
      </w:r>
    </w:p>
    <w:p w14:paraId="5905F0A5" w14:textId="77777777" w:rsidR="0046004D" w:rsidRDefault="00000000">
      <w:pPr>
        <w:pStyle w:val="ListParagraph"/>
        <w:numPr>
          <w:ilvl w:val="0"/>
          <w:numId w:val="1"/>
        </w:numPr>
        <w:spacing w:after="80"/>
      </w:pPr>
      <w:r>
        <w:t xml:space="preserve">Per-class NAV time series: no </w:t>
      </w:r>
      <w:proofErr w:type="spellStart"/>
      <w:r>
        <w:t>navPerUnit</w:t>
      </w:r>
      <w:proofErr w:type="spellEnd"/>
      <w:r>
        <w:t xml:space="preserve"> currently exists, so an evergreen holding's value is not derivable</w:t>
      </w:r>
    </w:p>
    <w:p w14:paraId="53EDDD68" w14:textId="77777777" w:rsidR="0046004D" w:rsidRDefault="00000000">
      <w:pPr>
        <w:pStyle w:val="Heading1"/>
        <w:pBdr>
          <w:bottom w:val="single" w:sz="8" w:space="0" w:color="C8952A"/>
        </w:pBdr>
      </w:pPr>
      <w:bookmarkStart w:id="13" w:name="_Toc237337456"/>
      <w:proofErr w:type="gramStart"/>
      <w:r>
        <w:t>7  What</w:t>
      </w:r>
      <w:proofErr w:type="gramEnd"/>
      <w:r>
        <w:t xml:space="preserve"> Belongs at Product Level</w:t>
      </w:r>
      <w:bookmarkEnd w:id="13"/>
    </w:p>
    <w:p w14:paraId="6753B519" w14:textId="77777777" w:rsidR="0046004D" w:rsidRDefault="00000000">
      <w:pPr>
        <w:pStyle w:val="Heading2"/>
      </w:pPr>
      <w:bookmarkStart w:id="14" w:name="_Toc237337457"/>
      <w:proofErr w:type="gramStart"/>
      <w:r>
        <w:t>7.1  Product</w:t>
      </w:r>
      <w:proofErr w:type="gramEnd"/>
      <w:r>
        <w:t xml:space="preserve"> Status and Regulatory Status Are Orthogonal</w:t>
      </w:r>
      <w:bookmarkEnd w:id="14"/>
    </w:p>
    <w:p w14:paraId="11576384" w14:textId="77777777" w:rsidR="0046004D" w:rsidRDefault="00000000">
      <w:pPr>
        <w:spacing w:after="120"/>
      </w:pPr>
      <w:r>
        <w:t xml:space="preserve">Product status is a commercial decision the GP makes — Active, </w:t>
      </w:r>
      <w:proofErr w:type="spellStart"/>
      <w:r>
        <w:t>ClosedToNewFunds</w:t>
      </w:r>
      <w:proofErr w:type="spellEnd"/>
      <w:r>
        <w:t>, Discontinued. Single-valued, global, and entirely within the house's control.</w:t>
      </w:r>
    </w:p>
    <w:p w14:paraId="609173DA" w14:textId="77777777" w:rsidR="0046004D" w:rsidRDefault="00000000">
      <w:pPr>
        <w:spacing w:after="120"/>
      </w:pPr>
      <w:r>
        <w:t>Marketing registration is a permission an external regulator grants, per jurisdiction. Not global, and not on the GP's timetable. Every combination occurs: Active with lapsed registrations in two markets; Discontinued but still actively marketed in one jurisdiction awaiting regulatory withdrawal.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3ECE772A" w14:textId="77777777">
        <w:tc>
          <w:tcPr>
            <w:tcW w:w="9360" w:type="dxa"/>
            <w:tcBorders>
              <w:top w:val="single" w:sz="12" w:space="0" w:color="38A169"/>
              <w:left w:val="single" w:sz="12" w:space="0" w:color="38A169"/>
            </w:tcBorders>
            <w:shd w:val="clear" w:color="auto" w:fill="F0FFF4"/>
            <w:tcMar>
              <w:top w:w="80" w:type="dxa"/>
              <w:left w:w="120" w:type="dxa"/>
              <w:bottom w:w="0" w:type="dxa"/>
              <w:right w:w="120" w:type="dxa"/>
            </w:tcMar>
          </w:tcPr>
          <w:p w14:paraId="4716552D" w14:textId="77777777" w:rsidR="0046004D" w:rsidRDefault="00000000">
            <w:r>
              <w:rPr>
                <w:b/>
                <w:bCs/>
                <w:color w:val="38A169"/>
                <w:sz w:val="20"/>
                <w:szCs w:val="20"/>
              </w:rPr>
              <w:t>Reference Dataset Finding</w:t>
            </w:r>
          </w:p>
        </w:tc>
      </w:tr>
      <w:tr w:rsidR="0046004D" w14:paraId="4ECCF883" w14:textId="77777777">
        <w:tc>
          <w:tcPr>
            <w:tcW w:w="9360" w:type="dxa"/>
            <w:tcBorders>
              <w:left w:val="single" w:sz="12" w:space="0" w:color="38A169"/>
            </w:tcBorders>
            <w:shd w:val="clear" w:color="auto" w:fill="F0FFF4"/>
            <w:tcMar>
              <w:top w:w="0" w:type="dxa"/>
              <w:left w:w="120" w:type="dxa"/>
              <w:bottom w:w="0" w:type="dxa"/>
              <w:right w:w="120" w:type="dxa"/>
            </w:tcMar>
          </w:tcPr>
          <w:p w14:paraId="11BE5B9B" w14:textId="77777777" w:rsidR="0046004D" w:rsidRDefault="00000000">
            <w:pPr>
              <w:spacing w:after="80"/>
            </w:pPr>
            <w:r>
              <w:rPr>
                <w:color w:val="2D3748"/>
                <w:sz w:val="20"/>
                <w:szCs w:val="20"/>
              </w:rPr>
              <w:t>79 of 100 products are Active, but the median product is marketable in only 3 jurisdictions.</w:t>
            </w:r>
          </w:p>
        </w:tc>
      </w:tr>
      <w:tr w:rsidR="0046004D" w14:paraId="04B0D7ED" w14:textId="77777777">
        <w:tc>
          <w:tcPr>
            <w:tcW w:w="9360" w:type="dxa"/>
            <w:tcBorders>
              <w:left w:val="single" w:sz="12" w:space="0" w:color="38A169"/>
              <w:bottom w:val="single" w:sz="4" w:space="0" w:color="38A169"/>
            </w:tcBorders>
            <w:shd w:val="clear" w:color="auto" w:fill="F0FFF4"/>
            <w:tcMar>
              <w:top w:w="0" w:type="dxa"/>
              <w:left w:w="120" w:type="dxa"/>
              <w:bottom w:w="80" w:type="dxa"/>
              <w:right w:w="120" w:type="dxa"/>
            </w:tcMar>
          </w:tcPr>
          <w:p w14:paraId="2866A411" w14:textId="77777777" w:rsidR="0046004D" w:rsidRDefault="00000000">
            <w:r>
              <w:rPr>
                <w:color w:val="2D3748"/>
                <w:sz w:val="20"/>
                <w:szCs w:val="20"/>
              </w:rPr>
              <w:t>Out of 440 registrations, 136 are not active. Collapsing this into a single status field loses 31% of the compliance picture.</w:t>
            </w:r>
          </w:p>
        </w:tc>
      </w:tr>
    </w:tbl>
    <w:p w14:paraId="0F5857F9" w14:textId="77777777" w:rsidR="0046004D" w:rsidRDefault="0046004D">
      <w:pPr>
        <w:spacing w:after="160"/>
      </w:pPr>
    </w:p>
    <w:p w14:paraId="4B3399C3" w14:textId="77777777" w:rsidR="0046004D" w:rsidRDefault="00000000">
      <w:pPr>
        <w:pStyle w:val="Heading2"/>
      </w:pPr>
      <w:bookmarkStart w:id="15" w:name="_Toc237337458"/>
      <w:proofErr w:type="gramStart"/>
      <w:r>
        <w:t>7.2  Three</w:t>
      </w:r>
      <w:proofErr w:type="gramEnd"/>
      <w:r>
        <w:t xml:space="preserve"> Currencies, Three Questions</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46004D" w14:paraId="71C57046" w14:textId="77777777">
        <w:tblPrEx>
          <w:tblCellMar>
            <w:top w:w="0" w:type="dxa"/>
            <w:bottom w:w="0" w:type="dxa"/>
          </w:tblCellMar>
        </w:tblPrEx>
        <w:tc>
          <w:tcPr>
            <w:tcW w:w="36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159EB16C" w14:textId="77777777" w:rsidR="0046004D" w:rsidRDefault="00000000">
            <w:r>
              <w:rPr>
                <w:b/>
                <w:bCs/>
                <w:color w:val="FFFFFF"/>
                <w:sz w:val="20"/>
                <w:szCs w:val="20"/>
              </w:rPr>
              <w:t>Property</w:t>
            </w:r>
          </w:p>
        </w:tc>
        <w:tc>
          <w:tcPr>
            <w:tcW w:w="57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04093F13" w14:textId="77777777" w:rsidR="0046004D" w:rsidRDefault="00000000">
            <w:r>
              <w:rPr>
                <w:b/>
                <w:bCs/>
                <w:color w:val="FFFFFF"/>
                <w:sz w:val="20"/>
                <w:szCs w:val="20"/>
              </w:rPr>
              <w:t>Question It Answers</w:t>
            </w:r>
          </w:p>
        </w:tc>
      </w:tr>
      <w:tr w:rsidR="0046004D" w14:paraId="4E98B2AB" w14:textId="77777777">
        <w:tblPrEx>
          <w:tblCellMar>
            <w:top w:w="0" w:type="dxa"/>
            <w:bottom w:w="0" w:type="dxa"/>
          </w:tblCellMar>
        </w:tblPrEx>
        <w:tc>
          <w:tcPr>
            <w:tcW w:w="3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E712C5C" w14:textId="77777777" w:rsidR="0046004D" w:rsidRDefault="00000000">
            <w:proofErr w:type="spellStart"/>
            <w:r>
              <w:rPr>
                <w:sz w:val="20"/>
                <w:szCs w:val="20"/>
              </w:rPr>
              <w:t>Vehicle.baseCurrency</w:t>
            </w:r>
            <w:proofErr w:type="spellEnd"/>
          </w:p>
        </w:tc>
        <w:tc>
          <w:tcPr>
            <w:tcW w:w="57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6BF93E0" w14:textId="77777777" w:rsidR="0046004D" w:rsidRDefault="00000000">
            <w:r>
              <w:rPr>
                <w:sz w:val="20"/>
                <w:szCs w:val="20"/>
              </w:rPr>
              <w:t>What currency are the books kept in?</w:t>
            </w:r>
          </w:p>
        </w:tc>
      </w:tr>
      <w:tr w:rsidR="0046004D" w14:paraId="2E396950" w14:textId="77777777">
        <w:tblPrEx>
          <w:tblCellMar>
            <w:top w:w="0" w:type="dxa"/>
            <w:bottom w:w="0" w:type="dxa"/>
          </w:tblCellMar>
        </w:tblPrEx>
        <w:tc>
          <w:tcPr>
            <w:tcW w:w="36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30B3019" w14:textId="77777777" w:rsidR="0046004D" w:rsidRDefault="00000000">
            <w:proofErr w:type="spellStart"/>
            <w:r>
              <w:rPr>
                <w:sz w:val="20"/>
                <w:szCs w:val="20"/>
              </w:rPr>
              <w:t>Offering.offeringCurrency</w:t>
            </w:r>
            <w:proofErr w:type="spellEnd"/>
          </w:p>
        </w:tc>
        <w:tc>
          <w:tcPr>
            <w:tcW w:w="57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F411116" w14:textId="77777777" w:rsidR="0046004D" w:rsidRDefault="00000000">
            <w:r>
              <w:rPr>
                <w:sz w:val="20"/>
                <w:szCs w:val="20"/>
              </w:rPr>
              <w:t>What currency does the investor transact in?</w:t>
            </w:r>
          </w:p>
        </w:tc>
      </w:tr>
      <w:tr w:rsidR="0046004D" w14:paraId="1345A8A2" w14:textId="77777777">
        <w:tblPrEx>
          <w:tblCellMar>
            <w:top w:w="0" w:type="dxa"/>
            <w:bottom w:w="0" w:type="dxa"/>
          </w:tblCellMar>
        </w:tblPrEx>
        <w:tc>
          <w:tcPr>
            <w:tcW w:w="3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B89E053" w14:textId="77777777" w:rsidR="0046004D" w:rsidRDefault="00000000">
            <w:proofErr w:type="spellStart"/>
            <w:r>
              <w:rPr>
                <w:sz w:val="20"/>
                <w:szCs w:val="20"/>
              </w:rPr>
              <w:t>reportingCurrency</w:t>
            </w:r>
            <w:proofErr w:type="spellEnd"/>
            <w:r>
              <w:rPr>
                <w:sz w:val="20"/>
                <w:szCs w:val="20"/>
              </w:rPr>
              <w:t xml:space="preserve"> (Fund/Product)</w:t>
            </w:r>
          </w:p>
        </w:tc>
        <w:tc>
          <w:tcPr>
            <w:tcW w:w="57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36FCE2F" w14:textId="77777777" w:rsidR="0046004D" w:rsidRDefault="00000000">
            <w:r>
              <w:rPr>
                <w:sz w:val="20"/>
                <w:szCs w:val="20"/>
              </w:rPr>
              <w:t>What currency are results aggregated in?</w:t>
            </w:r>
          </w:p>
        </w:tc>
      </w:tr>
    </w:tbl>
    <w:p w14:paraId="7263143B" w14:textId="77777777" w:rsidR="0046004D" w:rsidRDefault="0046004D">
      <w:pPr>
        <w:spacing w:after="200"/>
      </w:pPr>
    </w:p>
    <w:p w14:paraId="5E0C2347" w14:textId="77777777" w:rsidR="0046004D" w:rsidRDefault="00000000">
      <w:pPr>
        <w:spacing w:after="120"/>
      </w:pPr>
      <w:r>
        <w:t xml:space="preserve">Product forbids </w:t>
      </w:r>
      <w:proofErr w:type="spellStart"/>
      <w:proofErr w:type="gramStart"/>
      <w:r>
        <w:t>baseCurrency</w:t>
      </w:r>
      <w:proofErr w:type="spellEnd"/>
      <w:proofErr w:type="gramEnd"/>
      <w:r>
        <w:t xml:space="preserve"> for the same reason it forbids </w:t>
      </w:r>
      <w:proofErr w:type="spellStart"/>
      <w:r>
        <w:t>regulatoryRegime</w:t>
      </w:r>
      <w:proofErr w:type="spellEnd"/>
      <w:r>
        <w:t>. Conflating the three is what makes cross-currency AUM silently wrong.</w:t>
      </w:r>
    </w:p>
    <w:p w14:paraId="12B240C6" w14:textId="77777777" w:rsidR="0046004D" w:rsidRDefault="00000000">
      <w:pPr>
        <w:pStyle w:val="Heading2"/>
      </w:pPr>
      <w:bookmarkStart w:id="16" w:name="_Toc237337459"/>
      <w:proofErr w:type="gramStart"/>
      <w:r>
        <w:t>7.3  Product</w:t>
      </w:r>
      <w:proofErr w:type="gramEnd"/>
      <w:r>
        <w:t xml:space="preserve"> Does Not Require a Launch Date</w:t>
      </w:r>
      <w:bookmarkEnd w:id="16"/>
    </w:p>
    <w:p w14:paraId="5B6BA792" w14:textId="77777777" w:rsidR="0046004D" w:rsidRDefault="00000000">
      <w:pPr>
        <w:spacing w:after="120"/>
      </w:pPr>
      <w:r>
        <w:t>It is derivable: the minimum inception date across the funds beneath it. Storing it creates a second source of truth that drifts.</w:t>
      </w:r>
    </w:p>
    <w:p w14:paraId="4C087C5B" w14:textId="77777777" w:rsidR="0046004D" w:rsidRDefault="00000000">
      <w:pPr>
        <w:spacing w:after="120"/>
      </w:pPr>
      <w:r>
        <w:lastRenderedPageBreak/>
        <w:t xml:space="preserve">One optional date worth keeping, precisely named: </w:t>
      </w:r>
      <w:proofErr w:type="spellStart"/>
      <w:proofErr w:type="gramStart"/>
      <w:r>
        <w:t>pe:strategyInceptionDate</w:t>
      </w:r>
      <w:proofErr w:type="spellEnd"/>
      <w:proofErr w:type="gramEnd"/>
      <w:r>
        <w:t xml:space="preserve"> — the start of the claimable track record, which can predate the first commingled fund. Constrained to be ≤ the inception of any fund beneath the product.</w:t>
      </w:r>
    </w:p>
    <w:p w14:paraId="7C97939C" w14:textId="77777777" w:rsidR="0046004D" w:rsidRDefault="00000000">
      <w:pPr>
        <w:pStyle w:val="Heading2"/>
      </w:pPr>
      <w:bookmarkStart w:id="17" w:name="_Toc237337460"/>
      <w:proofErr w:type="gramStart"/>
      <w:r>
        <w:t>7.4  Jurisdictions</w:t>
      </w:r>
      <w:proofErr w:type="gramEnd"/>
      <w:r>
        <w:t>, and a Trap</w:t>
      </w:r>
      <w:bookmarkEnd w:id="17"/>
    </w:p>
    <w:p w14:paraId="5E06BEBB" w14:textId="77777777" w:rsidR="0046004D" w:rsidRDefault="00000000">
      <w:pPr>
        <w:spacing w:after="120"/>
      </w:pPr>
      <w:proofErr w:type="gramStart"/>
      <w:r>
        <w:t>Product has</w:t>
      </w:r>
      <w:proofErr w:type="gramEnd"/>
      <w:r>
        <w:t xml:space="preserve"> no jurisdiction predicate at all. Jurisdiction is reached only through </w:t>
      </w:r>
      <w:proofErr w:type="spellStart"/>
      <w:r>
        <w:t>MarketingRegistration</w:t>
      </w:r>
      <w:proofErr w:type="spellEnd"/>
      <w:r>
        <w:t xml:space="preserve">. Product does have one geographic property, </w:t>
      </w:r>
      <w:proofErr w:type="spellStart"/>
      <w:r>
        <w:t>geographicFocus</w:t>
      </w:r>
      <w:proofErr w:type="spellEnd"/>
      <w:r>
        <w:t>, and it means something entirely different: where the fund invests, not where it is sold.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1D4C44F6" w14:textId="77777777">
        <w:tc>
          <w:tcPr>
            <w:tcW w:w="9360" w:type="dxa"/>
            <w:tcBorders>
              <w:top w:val="single" w:sz="12" w:space="0" w:color="E53E3E"/>
              <w:left w:val="single" w:sz="12" w:space="0" w:color="E53E3E"/>
            </w:tcBorders>
            <w:shd w:val="clear" w:color="auto" w:fill="FFF5F5"/>
            <w:tcMar>
              <w:top w:w="80" w:type="dxa"/>
              <w:left w:w="120" w:type="dxa"/>
              <w:bottom w:w="0" w:type="dxa"/>
              <w:right w:w="120" w:type="dxa"/>
            </w:tcMar>
          </w:tcPr>
          <w:p w14:paraId="43CFFDE6" w14:textId="77777777" w:rsidR="0046004D" w:rsidRDefault="00000000">
            <w:r>
              <w:rPr>
                <w:b/>
                <w:bCs/>
                <w:color w:val="E53E3E"/>
                <w:sz w:val="20"/>
                <w:szCs w:val="20"/>
              </w:rPr>
              <w:t>Design Trap</w:t>
            </w:r>
          </w:p>
        </w:tc>
      </w:tr>
      <w:tr w:rsidR="0046004D" w14:paraId="64EE49C2" w14:textId="77777777">
        <w:tc>
          <w:tcPr>
            <w:tcW w:w="9360" w:type="dxa"/>
            <w:tcBorders>
              <w:left w:val="single" w:sz="12" w:space="0" w:color="E53E3E"/>
            </w:tcBorders>
            <w:shd w:val="clear" w:color="auto" w:fill="FFF5F5"/>
            <w:tcMar>
              <w:top w:w="0" w:type="dxa"/>
              <w:left w:w="120" w:type="dxa"/>
              <w:bottom w:w="0" w:type="dxa"/>
              <w:right w:w="120" w:type="dxa"/>
            </w:tcMar>
          </w:tcPr>
          <w:p w14:paraId="11FE5422" w14:textId="77777777" w:rsidR="0046004D" w:rsidRDefault="00000000">
            <w:pPr>
              <w:spacing w:after="80"/>
            </w:pPr>
            <w:r>
              <w:rPr>
                <w:color w:val="2D3748"/>
                <w:sz w:val="20"/>
                <w:szCs w:val="20"/>
              </w:rPr>
              <w:t>If jurisdiction sat directly on Product, two ideas would be forced into one field:</w:t>
            </w:r>
          </w:p>
        </w:tc>
      </w:tr>
      <w:tr w:rsidR="0046004D" w14:paraId="54C53D2F" w14:textId="77777777">
        <w:tc>
          <w:tcPr>
            <w:tcW w:w="9360" w:type="dxa"/>
            <w:tcBorders>
              <w:left w:val="single" w:sz="12" w:space="0" w:color="E53E3E"/>
            </w:tcBorders>
            <w:shd w:val="clear" w:color="auto" w:fill="FFF5F5"/>
            <w:tcMar>
              <w:top w:w="0" w:type="dxa"/>
              <w:left w:w="120" w:type="dxa"/>
              <w:bottom w:w="0" w:type="dxa"/>
              <w:right w:w="120" w:type="dxa"/>
            </w:tcMar>
          </w:tcPr>
          <w:p w14:paraId="2490742A" w14:textId="77777777" w:rsidR="0046004D" w:rsidRDefault="00000000">
            <w:pPr>
              <w:spacing w:after="80"/>
            </w:pPr>
            <w:r>
              <w:rPr>
                <w:color w:val="2D3748"/>
                <w:sz w:val="20"/>
                <w:szCs w:val="20"/>
              </w:rPr>
              <w:t xml:space="preserve">  (a) Where the fund is marketed/</w:t>
            </w:r>
            <w:proofErr w:type="gramStart"/>
            <w:r>
              <w:rPr>
                <w:color w:val="2D3748"/>
                <w:sz w:val="20"/>
                <w:szCs w:val="20"/>
              </w:rPr>
              <w:t>sold  ←</w:t>
            </w:r>
            <w:proofErr w:type="gramEnd"/>
            <w:r>
              <w:rPr>
                <w:color w:val="2D3748"/>
                <w:sz w:val="20"/>
                <w:szCs w:val="20"/>
              </w:rPr>
              <w:t xml:space="preserve">  the distribution meaning</w:t>
            </w:r>
          </w:p>
        </w:tc>
      </w:tr>
      <w:tr w:rsidR="0046004D" w14:paraId="149DA1E4" w14:textId="77777777">
        <w:tc>
          <w:tcPr>
            <w:tcW w:w="9360" w:type="dxa"/>
            <w:tcBorders>
              <w:left w:val="single" w:sz="12" w:space="0" w:color="E53E3E"/>
            </w:tcBorders>
            <w:shd w:val="clear" w:color="auto" w:fill="FFF5F5"/>
            <w:tcMar>
              <w:top w:w="0" w:type="dxa"/>
              <w:left w:w="120" w:type="dxa"/>
              <w:bottom w:w="0" w:type="dxa"/>
              <w:right w:w="120" w:type="dxa"/>
            </w:tcMar>
          </w:tcPr>
          <w:p w14:paraId="2DC90A51" w14:textId="77777777" w:rsidR="0046004D" w:rsidRDefault="00000000">
            <w:pPr>
              <w:spacing w:after="80"/>
            </w:pPr>
            <w:r>
              <w:rPr>
                <w:color w:val="2D3748"/>
                <w:sz w:val="20"/>
                <w:szCs w:val="20"/>
              </w:rPr>
              <w:t xml:space="preserve">  (b) Where the fund invests           </w:t>
            </w:r>
            <w:proofErr w:type="gramStart"/>
            <w:r>
              <w:rPr>
                <w:color w:val="2D3748"/>
                <w:sz w:val="20"/>
                <w:szCs w:val="20"/>
              </w:rPr>
              <w:t>←  the</w:t>
            </w:r>
            <w:proofErr w:type="gramEnd"/>
            <w:r>
              <w:rPr>
                <w:color w:val="2D3748"/>
                <w:sz w:val="20"/>
                <w:szCs w:val="20"/>
              </w:rPr>
              <w:t xml:space="preserve"> investment geography</w:t>
            </w:r>
          </w:p>
        </w:tc>
      </w:tr>
      <w:tr w:rsidR="0046004D" w14:paraId="1F884771" w14:textId="77777777">
        <w:tc>
          <w:tcPr>
            <w:tcW w:w="9360" w:type="dxa"/>
            <w:tcBorders>
              <w:left w:val="single" w:sz="12" w:space="0" w:color="E53E3E"/>
            </w:tcBorders>
            <w:shd w:val="clear" w:color="auto" w:fill="FFF5F5"/>
            <w:tcMar>
              <w:top w:w="0" w:type="dxa"/>
              <w:left w:w="120" w:type="dxa"/>
              <w:bottom w:w="0" w:type="dxa"/>
              <w:right w:w="120" w:type="dxa"/>
            </w:tcMar>
          </w:tcPr>
          <w:p w14:paraId="7E5860D8" w14:textId="77777777" w:rsidR="0046004D" w:rsidRDefault="0046004D">
            <w:pPr>
              <w:spacing w:after="80"/>
            </w:pPr>
          </w:p>
        </w:tc>
      </w:tr>
      <w:tr w:rsidR="0046004D" w14:paraId="32952321" w14:textId="77777777">
        <w:tc>
          <w:tcPr>
            <w:tcW w:w="9360" w:type="dxa"/>
            <w:tcBorders>
              <w:left w:val="single" w:sz="12" w:space="0" w:color="E53E3E"/>
              <w:bottom w:val="single" w:sz="4" w:space="0" w:color="E53E3E"/>
            </w:tcBorders>
            <w:shd w:val="clear" w:color="auto" w:fill="FFF5F5"/>
            <w:tcMar>
              <w:top w:w="0" w:type="dxa"/>
              <w:left w:w="120" w:type="dxa"/>
              <w:bottom w:w="80" w:type="dxa"/>
              <w:right w:w="120" w:type="dxa"/>
            </w:tcMar>
          </w:tcPr>
          <w:p w14:paraId="4A296F06" w14:textId="77777777" w:rsidR="0046004D" w:rsidRDefault="00000000">
            <w:r>
              <w:rPr>
                <w:color w:val="2D3748"/>
                <w:sz w:val="20"/>
                <w:szCs w:val="20"/>
              </w:rPr>
              <w:t>The distribution meaning is the one that would be lost, because the investment geography is usually what the display needs.</w:t>
            </w:r>
          </w:p>
        </w:tc>
      </w:tr>
    </w:tbl>
    <w:p w14:paraId="1E717CB0" w14:textId="77777777" w:rsidR="0046004D" w:rsidRDefault="0046004D">
      <w:pPr>
        <w:spacing w:after="160"/>
      </w:pPr>
    </w:p>
    <w:p w14:paraId="02C91B4C" w14:textId="77777777" w:rsidR="0046004D" w:rsidRDefault="00000000">
      <w:pPr>
        <w:pStyle w:val="Heading1"/>
        <w:pBdr>
          <w:bottom w:val="single" w:sz="8" w:space="0" w:color="C8952A"/>
        </w:pBdr>
      </w:pPr>
      <w:bookmarkStart w:id="18" w:name="_Toc237337461"/>
      <w:proofErr w:type="gramStart"/>
      <w:r>
        <w:t>8  Closes</w:t>
      </w:r>
      <w:proofErr w:type="gramEnd"/>
      <w:r>
        <w:t>, Terms, and Periods</w:t>
      </w:r>
      <w:bookmarkEnd w:id="18"/>
    </w:p>
    <w:p w14:paraId="7828DE4A" w14:textId="77777777" w:rsidR="0046004D" w:rsidRDefault="00000000">
      <w:pPr>
        <w:pStyle w:val="Heading2"/>
      </w:pPr>
      <w:bookmarkStart w:id="19" w:name="_Toc237337462"/>
      <w:proofErr w:type="gramStart"/>
      <w:r>
        <w:t>8.1  A</w:t>
      </w:r>
      <w:proofErr w:type="gramEnd"/>
      <w:r>
        <w:t xml:space="preserve"> Fund Does Not Have Two Closes. It Has a Series.</w:t>
      </w:r>
      <w:bookmarkEnd w:id="19"/>
    </w:p>
    <w:p w14:paraId="52E4B91E" w14:textId="77777777" w:rsidR="0046004D" w:rsidRDefault="00000000">
      <w:pPr>
        <w:spacing w:after="120"/>
      </w:pPr>
      <w:r>
        <w:t>First close and final close are both subscription closings — the fund admitting investors — not the fund shutting down, which is the most common misreading of the word. Between them sit the interim closes, and storing only the two endpoints collapses them. A closed-end fund typically runs four to eight closes over twelve to twenty-four months.</w:t>
      </w:r>
    </w:p>
    <w:p w14:paraId="2B9E8499" w14:textId="77777777" w:rsidR="0046004D" w:rsidRDefault="00000000">
      <w:pPr>
        <w:spacing w:after="120"/>
      </w:pPr>
      <w:r>
        <w:t>Three things are lost by storing only two dates:</w:t>
      </w:r>
    </w:p>
    <w:p w14:paraId="7B51AD1B" w14:textId="77777777" w:rsidR="0046004D" w:rsidRDefault="00000000">
      <w:pPr>
        <w:pStyle w:val="ListParagraph"/>
        <w:numPr>
          <w:ilvl w:val="0"/>
          <w:numId w:val="1"/>
        </w:numPr>
        <w:spacing w:after="80"/>
      </w:pPr>
      <w:proofErr w:type="spellStart"/>
      <w:r>
        <w:t>Equalisation</w:t>
      </w:r>
      <w:proofErr w:type="spellEnd"/>
      <w:r>
        <w:t xml:space="preserve">. An LP admitted at the third close, after the fund has drawn 15% and </w:t>
      </w:r>
      <w:proofErr w:type="gramStart"/>
      <w:r>
        <w:t>bought</w:t>
      </w:r>
      <w:proofErr w:type="gramEnd"/>
      <w:r>
        <w:t xml:space="preserve"> two companies, is admitted as if they had been there since first close — they pay their share of capital already drawn, plus an interest charge for the period they were absent. This is only computable close by close, not from two endpoints.</w:t>
      </w:r>
    </w:p>
    <w:p w14:paraId="076AE89C" w14:textId="77777777" w:rsidR="0046004D" w:rsidRDefault="00000000">
      <w:pPr>
        <w:pStyle w:val="ListParagraph"/>
        <w:numPr>
          <w:ilvl w:val="0"/>
          <w:numId w:val="1"/>
        </w:numPr>
        <w:spacing w:after="80"/>
      </w:pPr>
      <w:r>
        <w:t xml:space="preserve">The raise curve. "Raised at first close" is the number that signals momentum. "Raised to date" is a running sum over </w:t>
      </w:r>
      <w:proofErr w:type="gramStart"/>
      <w:r>
        <w:t>closes</w:t>
      </w:r>
      <w:proofErr w:type="gramEnd"/>
      <w:r>
        <w:t>. Neither is computable without the series.</w:t>
      </w:r>
    </w:p>
    <w:p w14:paraId="2B6A6FA1" w14:textId="77777777" w:rsidR="0046004D" w:rsidRDefault="00000000">
      <w:pPr>
        <w:pStyle w:val="ListParagraph"/>
        <w:numPr>
          <w:ilvl w:val="0"/>
          <w:numId w:val="1"/>
        </w:numPr>
        <w:spacing w:after="80"/>
      </w:pPr>
      <w:r>
        <w:t xml:space="preserve">Extensions. A final close pushed from December to March is material — it usually means the </w:t>
      </w:r>
      <w:proofErr w:type="gramStart"/>
      <w:r>
        <w:t>raise</w:t>
      </w:r>
      <w:proofErr w:type="gramEnd"/>
      <w:r>
        <w:t xml:space="preserve"> is struggling. Overwriting the </w:t>
      </w:r>
      <w:proofErr w:type="gramStart"/>
      <w:r>
        <w:t>date</w:t>
      </w:r>
      <w:proofErr w:type="gramEnd"/>
      <w:r>
        <w:t xml:space="preserve"> erases the fact. 25 of 200 closed-end funds in the reference book carry an extension.</w:t>
      </w:r>
    </w:p>
    <w:p w14:paraId="2D494DDA" w14:textId="77777777" w:rsidR="0046004D" w:rsidRDefault="0046004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5C122D0F" w14:textId="77777777">
        <w:tc>
          <w:tcPr>
            <w:tcW w:w="9360" w:type="dxa"/>
            <w:tcBorders>
              <w:top w:val="single" w:sz="12" w:space="0" w:color="3182CE"/>
              <w:left w:val="single" w:sz="12" w:space="0" w:color="3182CE"/>
            </w:tcBorders>
            <w:shd w:val="clear" w:color="auto" w:fill="EBF4FF"/>
            <w:tcMar>
              <w:top w:w="80" w:type="dxa"/>
              <w:left w:w="120" w:type="dxa"/>
              <w:bottom w:w="0" w:type="dxa"/>
              <w:right w:w="120" w:type="dxa"/>
            </w:tcMar>
          </w:tcPr>
          <w:p w14:paraId="703C8048" w14:textId="77777777" w:rsidR="0046004D" w:rsidRDefault="00000000">
            <w:r>
              <w:rPr>
                <w:b/>
                <w:bCs/>
                <w:color w:val="3182CE"/>
                <w:sz w:val="20"/>
                <w:szCs w:val="20"/>
              </w:rPr>
              <w:t>Model Decision</w:t>
            </w:r>
          </w:p>
        </w:tc>
      </w:tr>
      <w:tr w:rsidR="0046004D" w14:paraId="7A2F1FDB" w14:textId="77777777">
        <w:tc>
          <w:tcPr>
            <w:tcW w:w="9360" w:type="dxa"/>
            <w:tcBorders>
              <w:left w:val="single" w:sz="12" w:space="0" w:color="3182CE"/>
            </w:tcBorders>
            <w:shd w:val="clear" w:color="auto" w:fill="EBF4FF"/>
            <w:tcMar>
              <w:top w:w="0" w:type="dxa"/>
              <w:left w:w="120" w:type="dxa"/>
              <w:bottom w:w="0" w:type="dxa"/>
              <w:right w:w="120" w:type="dxa"/>
            </w:tcMar>
          </w:tcPr>
          <w:p w14:paraId="40578FA9" w14:textId="77777777" w:rsidR="0046004D" w:rsidRDefault="00000000">
            <w:pPr>
              <w:spacing w:after="80"/>
            </w:pPr>
            <w:proofErr w:type="spellStart"/>
            <w:proofErr w:type="gramStart"/>
            <w:r>
              <w:rPr>
                <w:color w:val="2D3748"/>
                <w:sz w:val="20"/>
                <w:szCs w:val="20"/>
              </w:rPr>
              <w:t>pe:FundClose</w:t>
            </w:r>
            <w:proofErr w:type="spellEnd"/>
            <w:proofErr w:type="gramEnd"/>
            <w:r>
              <w:rPr>
                <w:color w:val="2D3748"/>
                <w:sz w:val="20"/>
                <w:szCs w:val="20"/>
              </w:rPr>
              <w:t xml:space="preserve"> is reified — sequence, date, type, amount raised — on exactly the pattern used for </w:t>
            </w:r>
            <w:proofErr w:type="spellStart"/>
            <w:r>
              <w:rPr>
                <w:color w:val="2D3748"/>
                <w:sz w:val="20"/>
                <w:szCs w:val="20"/>
              </w:rPr>
              <w:t>MarketingRegistration</w:t>
            </w:r>
            <w:proofErr w:type="spellEnd"/>
            <w:r>
              <w:rPr>
                <w:color w:val="2D3748"/>
                <w:sz w:val="20"/>
                <w:szCs w:val="20"/>
              </w:rPr>
              <w:t xml:space="preserve"> and coverage.</w:t>
            </w:r>
          </w:p>
        </w:tc>
      </w:tr>
      <w:tr w:rsidR="0046004D" w14:paraId="2105169B" w14:textId="77777777">
        <w:tc>
          <w:tcPr>
            <w:tcW w:w="9360" w:type="dxa"/>
            <w:tcBorders>
              <w:left w:val="single" w:sz="12" w:space="0" w:color="3182CE"/>
            </w:tcBorders>
            <w:shd w:val="clear" w:color="auto" w:fill="EBF4FF"/>
            <w:tcMar>
              <w:top w:w="0" w:type="dxa"/>
              <w:left w:w="120" w:type="dxa"/>
              <w:bottom w:w="0" w:type="dxa"/>
              <w:right w:w="120" w:type="dxa"/>
            </w:tcMar>
          </w:tcPr>
          <w:p w14:paraId="7CE6101D" w14:textId="77777777" w:rsidR="0046004D" w:rsidRDefault="00000000">
            <w:pPr>
              <w:spacing w:after="80"/>
            </w:pPr>
            <w:proofErr w:type="spellStart"/>
            <w:proofErr w:type="gramStart"/>
            <w:r>
              <w:rPr>
                <w:color w:val="2D3748"/>
                <w:sz w:val="20"/>
                <w:szCs w:val="20"/>
              </w:rPr>
              <w:t>pe:admittedAt</w:t>
            </w:r>
            <w:proofErr w:type="spellEnd"/>
            <w:proofErr w:type="gramEnd"/>
            <w:r>
              <w:rPr>
                <w:color w:val="2D3748"/>
                <w:sz w:val="20"/>
                <w:szCs w:val="20"/>
              </w:rPr>
              <w:t xml:space="preserve"> on the Commitment records which close admitted the LP.</w:t>
            </w:r>
          </w:p>
        </w:tc>
      </w:tr>
      <w:tr w:rsidR="0046004D" w14:paraId="696AD899" w14:textId="77777777">
        <w:tc>
          <w:tcPr>
            <w:tcW w:w="9360" w:type="dxa"/>
            <w:tcBorders>
              <w:left w:val="single" w:sz="12" w:space="0" w:color="3182CE"/>
              <w:bottom w:val="single" w:sz="4" w:space="0" w:color="3182CE"/>
            </w:tcBorders>
            <w:shd w:val="clear" w:color="auto" w:fill="EBF4FF"/>
            <w:tcMar>
              <w:top w:w="0" w:type="dxa"/>
              <w:left w:w="120" w:type="dxa"/>
              <w:bottom w:w="80" w:type="dxa"/>
              <w:right w:w="120" w:type="dxa"/>
            </w:tcMar>
          </w:tcPr>
          <w:p w14:paraId="5B410BB4" w14:textId="77777777" w:rsidR="0046004D" w:rsidRDefault="00000000">
            <w:r>
              <w:rPr>
                <w:color w:val="2D3748"/>
                <w:sz w:val="20"/>
                <w:szCs w:val="20"/>
              </w:rPr>
              <w:t>Admission happens AT a close, never between two.</w:t>
            </w:r>
          </w:p>
        </w:tc>
      </w:tr>
    </w:tbl>
    <w:p w14:paraId="4304481D" w14:textId="77777777" w:rsidR="0046004D" w:rsidRDefault="0046004D">
      <w:pPr>
        <w:spacing w:after="160"/>
      </w:pPr>
    </w:p>
    <w:p w14:paraId="164F54E8" w14:textId="77777777" w:rsidR="0046004D" w:rsidRDefault="00000000">
      <w:pPr>
        <w:pStyle w:val="Heading2"/>
      </w:pPr>
      <w:bookmarkStart w:id="20" w:name="_Toc237337463"/>
      <w:proofErr w:type="gramStart"/>
      <w:r>
        <w:t>8.2  Which</w:t>
      </w:r>
      <w:proofErr w:type="gramEnd"/>
      <w:r>
        <w:t xml:space="preserve"> Level Closes Belong To</w:t>
      </w:r>
      <w:bookmarkEnd w:id="20"/>
    </w:p>
    <w:p w14:paraId="7C790FFC" w14:textId="77777777" w:rsidR="0046004D" w:rsidRDefault="00000000">
      <w:pPr>
        <w:spacing w:after="120"/>
      </w:pPr>
      <w:r>
        <w:t xml:space="preserve">Closes are declared commercially at Fund </w:t>
      </w:r>
      <w:proofErr w:type="gramStart"/>
      <w:r>
        <w:t>level — "</w:t>
      </w:r>
      <w:proofErr w:type="gramEnd"/>
      <w:r>
        <w:t>Fund VIII held its third close at $2.1bn". But admission is legally per Vehicle: the Cayman feeder admits its own partners, usually a few days ahead of the master's close, because the feeder must have capital in hand before it can fund the master.</w:t>
      </w:r>
    </w:p>
    <w:p w14:paraId="4B67303B" w14:textId="77777777" w:rsidR="0046004D" w:rsidRDefault="00000000">
      <w:pPr>
        <w:spacing w:after="120"/>
      </w:pPr>
      <w:proofErr w:type="spellStart"/>
      <w:r>
        <w:t>FundClose</w:t>
      </w:r>
      <w:proofErr w:type="spellEnd"/>
      <w:r>
        <w:t xml:space="preserve"> hangs off the Fund; the vehicle-level detail rides on the commitment, which already knows its Offering and therefore its Vehicle.</w:t>
      </w:r>
    </w:p>
    <w:p w14:paraId="50B220AC" w14:textId="77777777" w:rsidR="0046004D" w:rsidRDefault="00000000">
      <w:pPr>
        <w:pStyle w:val="Heading2"/>
      </w:pPr>
      <w:bookmarkStart w:id="21" w:name="_Toc237337464"/>
      <w:proofErr w:type="gramStart"/>
      <w:r>
        <w:t>8.3  Term</w:t>
      </w:r>
      <w:proofErr w:type="gramEnd"/>
      <w:r>
        <w:t xml:space="preserve"> and Commitment Period</w:t>
      </w:r>
      <w:bookmarkEnd w:id="21"/>
    </w:p>
    <w:p w14:paraId="5C9C4D22" w14:textId="77777777" w:rsidR="0046004D" w:rsidRDefault="00000000">
      <w:pPr>
        <w:shd w:val="clear" w:color="auto" w:fill="F1F3F7"/>
        <w:ind w:left="360" w:right="360"/>
      </w:pPr>
      <w:r>
        <w:rPr>
          <w:rFonts w:ascii="Courier New" w:eastAsia="Courier New" w:hAnsi="Courier New" w:cs="Courier New"/>
          <w:color w:val="2D3748"/>
          <w:sz w:val="18"/>
          <w:szCs w:val="18"/>
        </w:rPr>
        <w:t>|&lt;-- commitment period 5</w:t>
      </w:r>
      <w:proofErr w:type="gramStart"/>
      <w:r>
        <w:rPr>
          <w:rFonts w:ascii="Courier New" w:eastAsia="Courier New" w:hAnsi="Courier New" w:cs="Courier New"/>
          <w:color w:val="2D3748"/>
          <w:sz w:val="18"/>
          <w:szCs w:val="18"/>
        </w:rPr>
        <w:t>y --&gt;|</w:t>
      </w:r>
      <w:proofErr w:type="gramEnd"/>
      <w:r>
        <w:rPr>
          <w:rFonts w:ascii="Courier New" w:eastAsia="Courier New" w:hAnsi="Courier New" w:cs="Courier New"/>
          <w:color w:val="2D3748"/>
          <w:sz w:val="18"/>
          <w:szCs w:val="18"/>
        </w:rPr>
        <w:t>&lt;---- harvest 6y ----&gt;|</w:t>
      </w:r>
    </w:p>
    <w:p w14:paraId="73480BB5" w14:textId="77777777" w:rsidR="0046004D" w:rsidRDefault="00000000">
      <w:pPr>
        <w:shd w:val="clear" w:color="auto" w:fill="F1F3F7"/>
        <w:ind w:left="360" w:right="360"/>
      </w:pPr>
      <w:r>
        <w:rPr>
          <w:rFonts w:ascii="Courier New" w:eastAsia="Courier New" w:hAnsi="Courier New" w:cs="Courier New"/>
          <w:color w:val="2D3748"/>
          <w:sz w:val="18"/>
          <w:szCs w:val="18"/>
        </w:rPr>
        <w:t>|&lt;---------------- term 11y -----------------------&gt;|</w:t>
      </w:r>
    </w:p>
    <w:p w14:paraId="2DF61059" w14:textId="77777777" w:rsidR="0046004D" w:rsidRDefault="0046004D">
      <w:pPr>
        <w:spacing w:after="160"/>
      </w:pPr>
    </w:p>
    <w:p w14:paraId="53DDE7E5" w14:textId="77777777" w:rsidR="0046004D" w:rsidRDefault="00000000">
      <w:pPr>
        <w:spacing w:after="120"/>
      </w:pPr>
      <w:r>
        <w:t>The commitment period is the window during which the GP may call capital for new investments — typically four to six years. The term is the total life of the fund, typically ten to twelve years, almost always with extension options.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00F926DA" w14:textId="77777777">
        <w:tc>
          <w:tcPr>
            <w:tcW w:w="9360" w:type="dxa"/>
            <w:tcBorders>
              <w:top w:val="single" w:sz="12" w:space="0" w:color="D69E2E"/>
              <w:left w:val="single" w:sz="12" w:space="0" w:color="D69E2E"/>
            </w:tcBorders>
            <w:shd w:val="clear" w:color="auto" w:fill="FFFBEB"/>
            <w:tcMar>
              <w:top w:w="80" w:type="dxa"/>
              <w:left w:w="120" w:type="dxa"/>
              <w:bottom w:w="0" w:type="dxa"/>
              <w:right w:w="120" w:type="dxa"/>
            </w:tcMar>
          </w:tcPr>
          <w:p w14:paraId="03161390" w14:textId="77777777" w:rsidR="0046004D" w:rsidRDefault="00000000">
            <w:r>
              <w:rPr>
                <w:b/>
                <w:bCs/>
                <w:color w:val="D69E2E"/>
                <w:sz w:val="20"/>
                <w:szCs w:val="20"/>
              </w:rPr>
              <w:t>Open Gap</w:t>
            </w:r>
          </w:p>
        </w:tc>
      </w:tr>
      <w:tr w:rsidR="0046004D" w14:paraId="4293AA10" w14:textId="77777777">
        <w:tc>
          <w:tcPr>
            <w:tcW w:w="9360" w:type="dxa"/>
            <w:tcBorders>
              <w:left w:val="single" w:sz="12" w:space="0" w:color="D69E2E"/>
            </w:tcBorders>
            <w:shd w:val="clear" w:color="auto" w:fill="FFFBEB"/>
            <w:tcMar>
              <w:top w:w="0" w:type="dxa"/>
              <w:left w:w="120" w:type="dxa"/>
              <w:bottom w:w="0" w:type="dxa"/>
              <w:right w:w="120" w:type="dxa"/>
            </w:tcMar>
          </w:tcPr>
          <w:p w14:paraId="71541AC3" w14:textId="77777777" w:rsidR="0046004D" w:rsidRDefault="00000000">
            <w:pPr>
              <w:spacing w:after="80"/>
            </w:pPr>
            <w:r>
              <w:rPr>
                <w:color w:val="2D3748"/>
                <w:sz w:val="20"/>
                <w:szCs w:val="20"/>
              </w:rPr>
              <w:t>Nothing currently enforces that the commitment period is shorter than the term.</w:t>
            </w:r>
          </w:p>
        </w:tc>
      </w:tr>
      <w:tr w:rsidR="0046004D" w14:paraId="5314B9FF" w14:textId="77777777">
        <w:tc>
          <w:tcPr>
            <w:tcW w:w="9360" w:type="dxa"/>
            <w:tcBorders>
              <w:left w:val="single" w:sz="12" w:space="0" w:color="D69E2E"/>
              <w:bottom w:val="single" w:sz="4" w:space="0" w:color="D69E2E"/>
            </w:tcBorders>
            <w:shd w:val="clear" w:color="auto" w:fill="FFFBEB"/>
            <w:tcMar>
              <w:top w:w="0" w:type="dxa"/>
              <w:left w:w="120" w:type="dxa"/>
              <w:bottom w:w="80" w:type="dxa"/>
              <w:right w:w="120" w:type="dxa"/>
            </w:tcMar>
          </w:tcPr>
          <w:p w14:paraId="35EFFEF4" w14:textId="77777777" w:rsidR="0046004D" w:rsidRDefault="00000000">
            <w:r>
              <w:rPr>
                <w:color w:val="2D3748"/>
                <w:sz w:val="20"/>
                <w:szCs w:val="20"/>
              </w:rPr>
              <w:t>Both are stored as bare durations with no anchor date — commitment period conventionally runs from final close and term from first close, but this is convention, not constraint.</w:t>
            </w:r>
          </w:p>
        </w:tc>
      </w:tr>
    </w:tbl>
    <w:p w14:paraId="5D303FEE" w14:textId="77777777" w:rsidR="0046004D" w:rsidRDefault="0046004D">
      <w:pPr>
        <w:spacing w:after="160"/>
      </w:pPr>
    </w:p>
    <w:p w14:paraId="1F117491" w14:textId="77777777" w:rsidR="0046004D" w:rsidRDefault="00000000">
      <w:pPr>
        <w:pStyle w:val="Heading2"/>
      </w:pPr>
      <w:bookmarkStart w:id="22" w:name="_Toc237337465"/>
      <w:proofErr w:type="gramStart"/>
      <w:r>
        <w:t>8.4  Every</w:t>
      </w:r>
      <w:proofErr w:type="gramEnd"/>
      <w:r>
        <w:t xml:space="preserve"> Date, on One Timeline</w:t>
      </w:r>
      <w:bookmarkEnd w:id="22"/>
    </w:p>
    <w:p w14:paraId="7BB18FC0" w14:textId="77777777" w:rsidR="0046004D" w:rsidRDefault="00000000">
      <w:pPr>
        <w:spacing w:after="120"/>
      </w:pPr>
      <w:r>
        <w:t>Figure 7 spans the full life from Product to Offering. Four things it makes visible:</w:t>
      </w:r>
    </w:p>
    <w:p w14:paraId="65E4B7FA" w14:textId="77777777" w:rsidR="0046004D" w:rsidRDefault="00000000">
      <w:pPr>
        <w:pStyle w:val="ListParagraph"/>
        <w:numPr>
          <w:ilvl w:val="0"/>
          <w:numId w:val="1"/>
        </w:numPr>
        <w:spacing w:after="80"/>
      </w:pPr>
      <w:r>
        <w:t xml:space="preserve">Vehicles are formed before the fund exists — the Delaware master is registered three months before first </w:t>
      </w:r>
      <w:proofErr w:type="gramStart"/>
      <w:r>
        <w:t>close</w:t>
      </w:r>
      <w:proofErr w:type="gramEnd"/>
      <w:r>
        <w:t>, because the legal layer is built ahead of the commercial raise.</w:t>
      </w:r>
    </w:p>
    <w:p w14:paraId="1272DC26" w14:textId="77777777" w:rsidR="0046004D" w:rsidRDefault="00000000">
      <w:pPr>
        <w:pStyle w:val="ListParagraph"/>
        <w:numPr>
          <w:ilvl w:val="0"/>
          <w:numId w:val="1"/>
        </w:numPr>
        <w:spacing w:after="80"/>
      </w:pPr>
      <w:r>
        <w:t>Offering windows are separate — the Luxembourg parallel opened two months after the master.</w:t>
      </w:r>
    </w:p>
    <w:p w14:paraId="5B74479D" w14:textId="77777777" w:rsidR="0046004D" w:rsidRDefault="00000000">
      <w:pPr>
        <w:pStyle w:val="ListParagraph"/>
        <w:numPr>
          <w:ilvl w:val="0"/>
          <w:numId w:val="1"/>
        </w:numPr>
        <w:spacing w:after="80"/>
      </w:pPr>
      <w:r>
        <w:t>Feeder close dates lead the master's by a few days — the feeder must fund before the master's due date.</w:t>
      </w:r>
    </w:p>
    <w:p w14:paraId="16EC3984" w14:textId="77777777" w:rsidR="0046004D" w:rsidRDefault="00000000">
      <w:pPr>
        <w:pStyle w:val="ListParagraph"/>
        <w:numPr>
          <w:ilvl w:val="0"/>
          <w:numId w:val="1"/>
        </w:numPr>
        <w:spacing w:after="80"/>
      </w:pPr>
      <w:r>
        <w:t>Subscription windows can be reopened on evergreen vehicles long after the fund's commercial close.</w:t>
      </w:r>
    </w:p>
    <w:p w14:paraId="7F672A82" w14:textId="77777777" w:rsidR="0046004D" w:rsidRDefault="00000000">
      <w:pPr>
        <w:pStyle w:val="Heading2"/>
      </w:pPr>
      <w:bookmarkStart w:id="23" w:name="_Toc237337466"/>
      <w:proofErr w:type="gramStart"/>
      <w:r>
        <w:t>8.5  Do</w:t>
      </w:r>
      <w:proofErr w:type="gramEnd"/>
      <w:r>
        <w:t xml:space="preserve"> Feeders Have Separate Dates from the Master?</w:t>
      </w:r>
      <w:bookmarkEnd w:id="23"/>
    </w:p>
    <w:p w14:paraId="33D6A7DA" w14:textId="77777777" w:rsidR="0046004D" w:rsidRDefault="00000000">
      <w:pPr>
        <w:spacing w:after="120"/>
      </w:pPr>
      <w:r>
        <w:t>Three different things get called a "commitment date" at three levels. LP commitment dates are separate and already modelled correctly. Offering windows are separate. Fund close dates are per-Fund commercially, but the vehicle-level lead time lives on the commitment.</w:t>
      </w:r>
    </w:p>
    <w:p w14:paraId="4CF21BF4" w14:textId="77777777" w:rsidR="0046004D" w:rsidRDefault="00000000">
      <w:pPr>
        <w:pStyle w:val="Heading1"/>
        <w:pBdr>
          <w:bottom w:val="single" w:sz="8" w:space="0" w:color="C8952A"/>
        </w:pBdr>
      </w:pPr>
      <w:bookmarkStart w:id="24" w:name="_Toc237337467"/>
      <w:proofErr w:type="gramStart"/>
      <w:r>
        <w:t>9  From</w:t>
      </w:r>
      <w:proofErr w:type="gramEnd"/>
      <w:r>
        <w:t xml:space="preserve"> Opportunity to Commitment</w:t>
      </w:r>
      <w:bookmarkEnd w:id="24"/>
    </w:p>
    <w:p w14:paraId="7F273D99" w14:textId="77777777" w:rsidR="0046004D" w:rsidRDefault="00000000">
      <w:pPr>
        <w:spacing w:after="120"/>
      </w:pPr>
      <w:r>
        <w:lastRenderedPageBreak/>
        <w:t xml:space="preserve">An Opportunity is a pipeline object — an investor, an indicative amount, a strategy. It sits beside the hierarchy rather than inside </w:t>
      </w:r>
      <w:proofErr w:type="gramStart"/>
      <w:r>
        <w:t>it, and</w:t>
      </w:r>
      <w:proofErr w:type="gramEnd"/>
      <w:r>
        <w:t xml:space="preserve"> being pre-</w:t>
      </w:r>
      <w:proofErr w:type="gramStart"/>
      <w:r>
        <w:t>award</w:t>
      </w:r>
      <w:proofErr w:type="gramEnd"/>
      <w:r>
        <w:t xml:space="preserve"> it must create nothing. Three conversion routes exist: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500"/>
        <w:gridCol w:w="3660"/>
      </w:tblGrid>
      <w:tr w:rsidR="0046004D" w14:paraId="072F684E" w14:textId="77777777">
        <w:tblPrEx>
          <w:tblCellMar>
            <w:top w:w="0" w:type="dxa"/>
            <w:bottom w:w="0" w:type="dxa"/>
          </w:tblCellMar>
        </w:tblPrEx>
        <w:tc>
          <w:tcPr>
            <w:tcW w:w="12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1F730E3F" w14:textId="77777777" w:rsidR="0046004D" w:rsidRDefault="00000000">
            <w:r>
              <w:rPr>
                <w:b/>
                <w:bCs/>
                <w:color w:val="FFFFFF"/>
                <w:sz w:val="20"/>
                <w:szCs w:val="20"/>
              </w:rPr>
              <w:t>Route</w:t>
            </w:r>
          </w:p>
        </w:tc>
        <w:tc>
          <w:tcPr>
            <w:tcW w:w="45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1BF63D83" w14:textId="77777777" w:rsidR="0046004D" w:rsidRDefault="00000000">
            <w:r>
              <w:rPr>
                <w:b/>
                <w:bCs/>
                <w:color w:val="FFFFFF"/>
                <w:sz w:val="20"/>
                <w:szCs w:val="20"/>
              </w:rPr>
              <w:t>Description</w:t>
            </w:r>
          </w:p>
        </w:tc>
        <w:tc>
          <w:tcPr>
            <w:tcW w:w="36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50A28E06" w14:textId="77777777" w:rsidR="0046004D" w:rsidRDefault="00000000">
            <w:r>
              <w:rPr>
                <w:b/>
                <w:bCs/>
                <w:color w:val="FFFFFF"/>
                <w:sz w:val="20"/>
                <w:szCs w:val="20"/>
              </w:rPr>
              <w:t>What It Creates</w:t>
            </w:r>
          </w:p>
        </w:tc>
      </w:tr>
      <w:tr w:rsidR="0046004D" w14:paraId="1602D1D1" w14:textId="77777777">
        <w:tblPrEx>
          <w:tblCellMar>
            <w:top w:w="0" w:type="dxa"/>
            <w:bottom w:w="0" w:type="dxa"/>
          </w:tblCellMar>
        </w:tblPrEx>
        <w:tc>
          <w:tcPr>
            <w:tcW w:w="12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0C12FEF" w14:textId="77777777" w:rsidR="0046004D" w:rsidRDefault="00000000">
            <w:r>
              <w:rPr>
                <w:sz w:val="20"/>
                <w:szCs w:val="20"/>
              </w:rPr>
              <w:t>Route A</w:t>
            </w:r>
          </w:p>
        </w:tc>
        <w:tc>
          <w:tcPr>
            <w:tcW w:w="45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E58B51F" w14:textId="77777777" w:rsidR="0046004D" w:rsidRDefault="00000000">
            <w:r>
              <w:rPr>
                <w:sz w:val="20"/>
                <w:szCs w:val="20"/>
              </w:rPr>
              <w:t>E-subscription into an existing class on master or feeder</w:t>
            </w:r>
          </w:p>
        </w:tc>
        <w:tc>
          <w:tcPr>
            <w:tcW w:w="36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C29432C" w14:textId="77777777" w:rsidR="0046004D" w:rsidRDefault="00000000">
            <w:r>
              <w:rPr>
                <w:sz w:val="20"/>
                <w:szCs w:val="20"/>
              </w:rPr>
              <w:t>Nothing new — structure already standing</w:t>
            </w:r>
          </w:p>
        </w:tc>
      </w:tr>
      <w:tr w:rsidR="0046004D" w14:paraId="1EAC1C3E" w14:textId="77777777">
        <w:tblPrEx>
          <w:tblCellMar>
            <w:top w:w="0" w:type="dxa"/>
            <w:bottom w:w="0" w:type="dxa"/>
          </w:tblCellMar>
        </w:tblPrEx>
        <w:tc>
          <w:tcPr>
            <w:tcW w:w="1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53808CF" w14:textId="77777777" w:rsidR="0046004D" w:rsidRDefault="00000000">
            <w:r>
              <w:rPr>
                <w:sz w:val="20"/>
                <w:szCs w:val="20"/>
              </w:rPr>
              <w:t>Route B</w:t>
            </w:r>
          </w:p>
        </w:tc>
        <w:tc>
          <w:tcPr>
            <w:tcW w:w="45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1B6A46C" w14:textId="77777777" w:rsidR="0046004D" w:rsidRDefault="00000000">
            <w:r>
              <w:rPr>
                <w:sz w:val="20"/>
                <w:szCs w:val="20"/>
              </w:rPr>
              <w:t>New co-investment alongside existing fund</w:t>
            </w:r>
          </w:p>
        </w:tc>
        <w:tc>
          <w:tcPr>
            <w:tcW w:w="36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6CE980D" w14:textId="77777777" w:rsidR="0046004D" w:rsidRDefault="00000000">
            <w:r>
              <w:rPr>
                <w:sz w:val="20"/>
                <w:szCs w:val="20"/>
              </w:rPr>
              <w:t>New Fund → Vehicle → Offering as sibling</w:t>
            </w:r>
          </w:p>
        </w:tc>
      </w:tr>
      <w:tr w:rsidR="0046004D" w14:paraId="6923D0DC" w14:textId="77777777">
        <w:tblPrEx>
          <w:tblCellMar>
            <w:top w:w="0" w:type="dxa"/>
            <w:bottom w:w="0" w:type="dxa"/>
          </w:tblCellMar>
        </w:tblPrEx>
        <w:tc>
          <w:tcPr>
            <w:tcW w:w="12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BC4311E" w14:textId="77777777" w:rsidR="0046004D" w:rsidRDefault="00000000">
            <w:r>
              <w:rPr>
                <w:sz w:val="20"/>
                <w:szCs w:val="20"/>
              </w:rPr>
              <w:t>Route C</w:t>
            </w:r>
          </w:p>
        </w:tc>
        <w:tc>
          <w:tcPr>
            <w:tcW w:w="45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09D2763" w14:textId="77777777" w:rsidR="0046004D" w:rsidRDefault="00000000">
            <w:r>
              <w:rPr>
                <w:sz w:val="20"/>
                <w:szCs w:val="20"/>
              </w:rPr>
              <w:t>New separately managed account</w:t>
            </w:r>
          </w:p>
        </w:tc>
        <w:tc>
          <w:tcPr>
            <w:tcW w:w="36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7FCD27C" w14:textId="77777777" w:rsidR="0046004D" w:rsidRDefault="00000000">
            <w:r>
              <w:rPr>
                <w:sz w:val="20"/>
                <w:szCs w:val="20"/>
              </w:rPr>
              <w:t>New Fund → Vehicle → Offering as sibling</w:t>
            </w:r>
          </w:p>
        </w:tc>
      </w:tr>
    </w:tbl>
    <w:p w14:paraId="1E1084C1" w14:textId="77777777" w:rsidR="0046004D" w:rsidRDefault="0046004D">
      <w:pPr>
        <w:spacing w:after="200"/>
      </w:pPr>
    </w:p>
    <w:p w14:paraId="7AC1AB1D" w14:textId="77777777" w:rsidR="0046004D" w:rsidRDefault="00000000">
      <w:pPr>
        <w:spacing w:after="120"/>
      </w:pPr>
      <w:r>
        <w:t xml:space="preserve">All three converge on the same two objects: the subscription agreement (where side letters attach) and the commitment (the admission record). A signed subscription document is not a commitment — nothing exists in the fund data until admission, and </w:t>
      </w:r>
      <w:proofErr w:type="spellStart"/>
      <w:r>
        <w:t>commitmentDate</w:t>
      </w:r>
      <w:proofErr w:type="spellEnd"/>
      <w:r>
        <w:t xml:space="preserve"> is the admission date, not the signature date. Those are </w:t>
      </w:r>
      <w:proofErr w:type="gramStart"/>
      <w:r>
        <w:t>routinely</w:t>
      </w:r>
      <w:proofErr w:type="gramEnd"/>
      <w:r>
        <w:t xml:space="preserve"> weeks apart.</w:t>
      </w:r>
    </w:p>
    <w:p w14:paraId="72CE70EB" w14:textId="77777777" w:rsidR="0046004D" w:rsidRDefault="00000000">
      <w:pPr>
        <w:pStyle w:val="Heading2"/>
      </w:pPr>
      <w:bookmarkStart w:id="25" w:name="_Toc237337468"/>
      <w:proofErr w:type="gramStart"/>
      <w:r>
        <w:t>9.1  Co</w:t>
      </w:r>
      <w:proofErr w:type="gramEnd"/>
      <w:r>
        <w:t>-Investment and Separately Managed Account Are Opposites</w:t>
      </w:r>
      <w:bookmarkEnd w:id="25"/>
    </w:p>
    <w:p w14:paraId="74CECB19" w14:textId="77777777" w:rsidR="0046004D" w:rsidRDefault="00000000">
      <w:pPr>
        <w:spacing w:after="120"/>
      </w:pPr>
      <w:r>
        <w:t>A co-investment is the GP calling an LP about a deal it has already found. A separately managed account is an LP hiring a GP to run a fund for it. Everything else follows from that one difference in who initiates.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80"/>
        <w:gridCol w:w="3380"/>
      </w:tblGrid>
      <w:tr w:rsidR="0046004D" w14:paraId="5B1E8C95" w14:textId="77777777">
        <w:tblPrEx>
          <w:tblCellMar>
            <w:top w:w="0" w:type="dxa"/>
            <w:bottom w:w="0" w:type="dxa"/>
          </w:tblCellMar>
        </w:tblPrEx>
        <w:tc>
          <w:tcPr>
            <w:tcW w:w="26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3C52754B" w14:textId="77777777" w:rsidR="0046004D" w:rsidRDefault="00000000">
            <w:r>
              <w:rPr>
                <w:b/>
                <w:bCs/>
                <w:color w:val="FFFFFF"/>
                <w:sz w:val="20"/>
                <w:szCs w:val="20"/>
              </w:rPr>
              <w:t>Dimension</w:t>
            </w:r>
          </w:p>
        </w:tc>
        <w:tc>
          <w:tcPr>
            <w:tcW w:w="338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426A97C9" w14:textId="77777777" w:rsidR="0046004D" w:rsidRDefault="00000000">
            <w:r>
              <w:rPr>
                <w:b/>
                <w:bCs/>
                <w:color w:val="FFFFFF"/>
                <w:sz w:val="20"/>
                <w:szCs w:val="20"/>
              </w:rPr>
              <w:t>Co-Investment</w:t>
            </w:r>
          </w:p>
        </w:tc>
        <w:tc>
          <w:tcPr>
            <w:tcW w:w="338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0E4DD62F" w14:textId="77777777" w:rsidR="0046004D" w:rsidRDefault="00000000">
            <w:r>
              <w:rPr>
                <w:b/>
                <w:bCs/>
                <w:color w:val="FFFFFF"/>
                <w:sz w:val="20"/>
                <w:szCs w:val="20"/>
              </w:rPr>
              <w:t>Separately Managed Account</w:t>
            </w:r>
          </w:p>
        </w:tc>
      </w:tr>
      <w:tr w:rsidR="0046004D" w14:paraId="62E8C1C6" w14:textId="77777777">
        <w:tblPrEx>
          <w:tblCellMar>
            <w:top w:w="0" w:type="dxa"/>
            <w:bottom w:w="0" w:type="dxa"/>
          </w:tblCellMar>
        </w:tblPrEx>
        <w:tc>
          <w:tcPr>
            <w:tcW w:w="2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E042338" w14:textId="77777777" w:rsidR="0046004D" w:rsidRDefault="00000000">
            <w:r>
              <w:rPr>
                <w:sz w:val="20"/>
                <w:szCs w:val="20"/>
              </w:rPr>
              <w:t>Who initiates</w:t>
            </w:r>
          </w:p>
        </w:tc>
        <w:tc>
          <w:tcPr>
            <w:tcW w:w="33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FC7F52F" w14:textId="77777777" w:rsidR="0046004D" w:rsidRDefault="00000000">
            <w:r>
              <w:rPr>
                <w:sz w:val="20"/>
                <w:szCs w:val="20"/>
              </w:rPr>
              <w:t>GP-led</w:t>
            </w:r>
          </w:p>
        </w:tc>
        <w:tc>
          <w:tcPr>
            <w:tcW w:w="33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515DDBE" w14:textId="77777777" w:rsidR="0046004D" w:rsidRDefault="00000000">
            <w:r>
              <w:rPr>
                <w:sz w:val="20"/>
                <w:szCs w:val="20"/>
              </w:rPr>
              <w:t>LP-led</w:t>
            </w:r>
          </w:p>
        </w:tc>
      </w:tr>
      <w:tr w:rsidR="0046004D" w14:paraId="36477A0A" w14:textId="77777777">
        <w:tblPrEx>
          <w:tblCellMar>
            <w:top w:w="0" w:type="dxa"/>
            <w:bottom w:w="0" w:type="dxa"/>
          </w:tblCellMar>
        </w:tblPrEx>
        <w:tc>
          <w:tcPr>
            <w:tcW w:w="26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65EBD99" w14:textId="77777777" w:rsidR="0046004D" w:rsidRDefault="00000000">
            <w:r>
              <w:rPr>
                <w:sz w:val="20"/>
                <w:szCs w:val="20"/>
              </w:rPr>
              <w:t>What is purchased</w:t>
            </w:r>
          </w:p>
        </w:tc>
        <w:tc>
          <w:tcPr>
            <w:tcW w:w="33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B9C42F0" w14:textId="77777777" w:rsidR="0046004D" w:rsidRDefault="00000000">
            <w:r>
              <w:rPr>
                <w:sz w:val="20"/>
                <w:szCs w:val="20"/>
              </w:rPr>
              <w:t>A named asset (already found)</w:t>
            </w:r>
          </w:p>
        </w:tc>
        <w:tc>
          <w:tcPr>
            <w:tcW w:w="33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4C0DF68" w14:textId="77777777" w:rsidR="0046004D" w:rsidRDefault="00000000">
            <w:r>
              <w:rPr>
                <w:sz w:val="20"/>
                <w:szCs w:val="20"/>
              </w:rPr>
              <w:t>Forward discretion within stated limits</w:t>
            </w:r>
          </w:p>
        </w:tc>
      </w:tr>
      <w:tr w:rsidR="0046004D" w14:paraId="4B5A251D" w14:textId="77777777">
        <w:tblPrEx>
          <w:tblCellMar>
            <w:top w:w="0" w:type="dxa"/>
            <w:bottom w:w="0" w:type="dxa"/>
          </w:tblCellMar>
        </w:tblPrEx>
        <w:tc>
          <w:tcPr>
            <w:tcW w:w="2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F21A2A1" w14:textId="77777777" w:rsidR="0046004D" w:rsidRDefault="00000000">
            <w:r>
              <w:rPr>
                <w:sz w:val="20"/>
                <w:szCs w:val="20"/>
              </w:rPr>
              <w:t>Number of investors</w:t>
            </w:r>
          </w:p>
        </w:tc>
        <w:tc>
          <w:tcPr>
            <w:tcW w:w="33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868E1E3" w14:textId="77777777" w:rsidR="0046004D" w:rsidRDefault="00000000">
            <w:r>
              <w:rPr>
                <w:sz w:val="20"/>
                <w:szCs w:val="20"/>
              </w:rPr>
              <w:t>One or few</w:t>
            </w:r>
          </w:p>
        </w:tc>
        <w:tc>
          <w:tcPr>
            <w:tcW w:w="33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AAEB4C7" w14:textId="77777777" w:rsidR="0046004D" w:rsidRDefault="00000000">
            <w:r>
              <w:rPr>
                <w:sz w:val="20"/>
                <w:szCs w:val="20"/>
              </w:rPr>
              <w:t>Exactly one (by definition)</w:t>
            </w:r>
          </w:p>
        </w:tc>
      </w:tr>
      <w:tr w:rsidR="0046004D" w14:paraId="6684B7C6" w14:textId="77777777">
        <w:tblPrEx>
          <w:tblCellMar>
            <w:top w:w="0" w:type="dxa"/>
            <w:bottom w:w="0" w:type="dxa"/>
          </w:tblCellMar>
        </w:tblPrEx>
        <w:tc>
          <w:tcPr>
            <w:tcW w:w="26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C4E95D0" w14:textId="77777777" w:rsidR="0046004D" w:rsidRDefault="00000000">
            <w:r>
              <w:rPr>
                <w:sz w:val="20"/>
                <w:szCs w:val="20"/>
              </w:rPr>
              <w:t>Asset named at inception?</w:t>
            </w:r>
          </w:p>
        </w:tc>
        <w:tc>
          <w:tcPr>
            <w:tcW w:w="33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DD622F4" w14:textId="77777777" w:rsidR="0046004D" w:rsidRDefault="00000000">
            <w:r>
              <w:rPr>
                <w:sz w:val="20"/>
                <w:szCs w:val="20"/>
              </w:rPr>
              <w:t xml:space="preserve">Yes — </w:t>
            </w:r>
            <w:proofErr w:type="spellStart"/>
            <w:proofErr w:type="gramStart"/>
            <w:r>
              <w:rPr>
                <w:sz w:val="20"/>
                <w:szCs w:val="20"/>
              </w:rPr>
              <w:t>pe:coInvestsIn</w:t>
            </w:r>
            <w:proofErr w:type="spellEnd"/>
            <w:proofErr w:type="gramEnd"/>
            <w:r>
              <w:rPr>
                <w:sz w:val="20"/>
                <w:szCs w:val="20"/>
              </w:rPr>
              <w:t xml:space="preserve"> required</w:t>
            </w:r>
          </w:p>
        </w:tc>
        <w:tc>
          <w:tcPr>
            <w:tcW w:w="33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2B07D50A" w14:textId="77777777" w:rsidR="0046004D" w:rsidRDefault="00000000">
            <w:r>
              <w:rPr>
                <w:sz w:val="20"/>
                <w:szCs w:val="20"/>
              </w:rPr>
              <w:t>No — nothing bought yet</w:t>
            </w:r>
          </w:p>
        </w:tc>
      </w:tr>
      <w:tr w:rsidR="0046004D" w14:paraId="2EB8F133" w14:textId="77777777">
        <w:tblPrEx>
          <w:tblCellMar>
            <w:top w:w="0" w:type="dxa"/>
            <w:bottom w:w="0" w:type="dxa"/>
          </w:tblCellMar>
        </w:tblPrEx>
        <w:tc>
          <w:tcPr>
            <w:tcW w:w="2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0C8B0A4A" w14:textId="77777777" w:rsidR="0046004D" w:rsidRDefault="00000000">
            <w:r>
              <w:rPr>
                <w:sz w:val="20"/>
                <w:szCs w:val="20"/>
              </w:rPr>
              <w:t>Median deal size (ref. book)</w:t>
            </w:r>
          </w:p>
        </w:tc>
        <w:tc>
          <w:tcPr>
            <w:tcW w:w="33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D1666D0" w14:textId="77777777" w:rsidR="0046004D" w:rsidRDefault="00000000">
            <w:r>
              <w:rPr>
                <w:sz w:val="20"/>
                <w:szCs w:val="20"/>
              </w:rPr>
              <w:t>$47M</w:t>
            </w:r>
          </w:p>
        </w:tc>
        <w:tc>
          <w:tcPr>
            <w:tcW w:w="33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F7320A9" w14:textId="77777777" w:rsidR="0046004D" w:rsidRDefault="00000000">
            <w:r>
              <w:rPr>
                <w:sz w:val="20"/>
                <w:szCs w:val="20"/>
              </w:rPr>
              <w:t>$340M</w:t>
            </w:r>
          </w:p>
        </w:tc>
      </w:tr>
      <w:tr w:rsidR="0046004D" w14:paraId="76272200" w14:textId="77777777">
        <w:tblPrEx>
          <w:tblCellMar>
            <w:top w:w="0" w:type="dxa"/>
            <w:bottom w:w="0" w:type="dxa"/>
          </w:tblCellMar>
        </w:tblPrEx>
        <w:tc>
          <w:tcPr>
            <w:tcW w:w="26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80A0A79" w14:textId="77777777" w:rsidR="0046004D" w:rsidRDefault="00000000">
            <w:r>
              <w:rPr>
                <w:sz w:val="20"/>
                <w:szCs w:val="20"/>
              </w:rPr>
              <w:t>Median close time</w:t>
            </w:r>
          </w:p>
        </w:tc>
        <w:tc>
          <w:tcPr>
            <w:tcW w:w="33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4406860" w14:textId="77777777" w:rsidR="0046004D" w:rsidRDefault="00000000">
            <w:r>
              <w:rPr>
                <w:sz w:val="20"/>
                <w:szCs w:val="20"/>
              </w:rPr>
              <w:t>12 days</w:t>
            </w:r>
          </w:p>
        </w:tc>
        <w:tc>
          <w:tcPr>
            <w:tcW w:w="33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35F0E8FE" w14:textId="77777777" w:rsidR="0046004D" w:rsidRDefault="00000000">
            <w:r>
              <w:rPr>
                <w:sz w:val="20"/>
                <w:szCs w:val="20"/>
              </w:rPr>
              <w:t>47 days</w:t>
            </w:r>
          </w:p>
        </w:tc>
      </w:tr>
    </w:tbl>
    <w:p w14:paraId="56505003" w14:textId="77777777" w:rsidR="0046004D" w:rsidRDefault="0046004D">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28EA6272" w14:textId="77777777">
        <w:tc>
          <w:tcPr>
            <w:tcW w:w="9360" w:type="dxa"/>
            <w:tcBorders>
              <w:top w:val="single" w:sz="12" w:space="0" w:color="E53E3E"/>
              <w:left w:val="single" w:sz="12" w:space="0" w:color="E53E3E"/>
            </w:tcBorders>
            <w:shd w:val="clear" w:color="auto" w:fill="FFF5F5"/>
            <w:tcMar>
              <w:top w:w="80" w:type="dxa"/>
              <w:left w:w="120" w:type="dxa"/>
              <w:bottom w:w="0" w:type="dxa"/>
              <w:right w:w="120" w:type="dxa"/>
            </w:tcMar>
          </w:tcPr>
          <w:p w14:paraId="621A6039" w14:textId="77777777" w:rsidR="0046004D" w:rsidRDefault="00000000">
            <w:r>
              <w:rPr>
                <w:b/>
                <w:bCs/>
                <w:color w:val="E53E3E"/>
                <w:sz w:val="20"/>
                <w:szCs w:val="20"/>
              </w:rPr>
              <w:t>Load-Bearing Constraint</w:t>
            </w:r>
          </w:p>
        </w:tc>
      </w:tr>
      <w:tr w:rsidR="0046004D" w14:paraId="2A92C52C" w14:textId="77777777">
        <w:tc>
          <w:tcPr>
            <w:tcW w:w="9360" w:type="dxa"/>
            <w:tcBorders>
              <w:left w:val="single" w:sz="12" w:space="0" w:color="E53E3E"/>
            </w:tcBorders>
            <w:shd w:val="clear" w:color="auto" w:fill="FFF5F5"/>
            <w:tcMar>
              <w:top w:w="0" w:type="dxa"/>
              <w:left w:w="120" w:type="dxa"/>
              <w:bottom w:w="0" w:type="dxa"/>
              <w:right w:w="120" w:type="dxa"/>
            </w:tcMar>
          </w:tcPr>
          <w:p w14:paraId="42CF6CEE" w14:textId="77777777" w:rsidR="0046004D" w:rsidRDefault="00000000">
            <w:pPr>
              <w:spacing w:after="80"/>
            </w:pPr>
            <w:r>
              <w:rPr>
                <w:color w:val="2D3748"/>
                <w:sz w:val="20"/>
                <w:szCs w:val="20"/>
              </w:rPr>
              <w:t>For a co-investment: the asset it names must also be held by the fund it co-invests alongside.</w:t>
            </w:r>
          </w:p>
        </w:tc>
      </w:tr>
      <w:tr w:rsidR="0046004D" w14:paraId="155A453A" w14:textId="77777777">
        <w:tc>
          <w:tcPr>
            <w:tcW w:w="9360" w:type="dxa"/>
            <w:tcBorders>
              <w:left w:val="single" w:sz="12" w:space="0" w:color="E53E3E"/>
            </w:tcBorders>
            <w:shd w:val="clear" w:color="auto" w:fill="FFF5F5"/>
            <w:tcMar>
              <w:top w:w="0" w:type="dxa"/>
              <w:left w:w="120" w:type="dxa"/>
              <w:bottom w:w="0" w:type="dxa"/>
              <w:right w:w="120" w:type="dxa"/>
            </w:tcMar>
          </w:tcPr>
          <w:p w14:paraId="5BA2F33D" w14:textId="77777777" w:rsidR="0046004D" w:rsidRDefault="00000000">
            <w:pPr>
              <w:spacing w:after="80"/>
            </w:pPr>
            <w:r>
              <w:rPr>
                <w:color w:val="2D3748"/>
                <w:sz w:val="20"/>
                <w:szCs w:val="20"/>
              </w:rPr>
              <w:t>That is the entire premise of co-investing — both vehicles are in the same deal.</w:t>
            </w:r>
          </w:p>
        </w:tc>
      </w:tr>
      <w:tr w:rsidR="0046004D" w14:paraId="0478F78D" w14:textId="77777777">
        <w:tc>
          <w:tcPr>
            <w:tcW w:w="9360" w:type="dxa"/>
            <w:tcBorders>
              <w:left w:val="single" w:sz="12" w:space="0" w:color="E53E3E"/>
            </w:tcBorders>
            <w:shd w:val="clear" w:color="auto" w:fill="FFF5F5"/>
            <w:tcMar>
              <w:top w:w="0" w:type="dxa"/>
              <w:left w:w="120" w:type="dxa"/>
              <w:bottom w:w="0" w:type="dxa"/>
              <w:right w:w="120" w:type="dxa"/>
            </w:tcMar>
          </w:tcPr>
          <w:p w14:paraId="431E8249" w14:textId="77777777" w:rsidR="0046004D" w:rsidRDefault="0046004D">
            <w:pPr>
              <w:spacing w:after="80"/>
            </w:pPr>
          </w:p>
        </w:tc>
      </w:tr>
      <w:tr w:rsidR="0046004D" w14:paraId="14AC29CF" w14:textId="77777777">
        <w:tc>
          <w:tcPr>
            <w:tcW w:w="9360" w:type="dxa"/>
            <w:tcBorders>
              <w:left w:val="single" w:sz="12" w:space="0" w:color="E53E3E"/>
              <w:bottom w:val="single" w:sz="4" w:space="0" w:color="E53E3E"/>
            </w:tcBorders>
            <w:shd w:val="clear" w:color="auto" w:fill="FFF5F5"/>
            <w:tcMar>
              <w:top w:w="0" w:type="dxa"/>
              <w:left w:w="120" w:type="dxa"/>
              <w:bottom w:w="80" w:type="dxa"/>
              <w:right w:w="120" w:type="dxa"/>
            </w:tcMar>
          </w:tcPr>
          <w:p w14:paraId="2FBD8536" w14:textId="77777777" w:rsidR="0046004D" w:rsidRDefault="00000000">
            <w:r>
              <w:rPr>
                <w:color w:val="2D3748"/>
                <w:sz w:val="20"/>
                <w:szCs w:val="20"/>
              </w:rPr>
              <w:t>A co-investment that names an asset the main fund does not hold is not a co-investment; it is a standalone fund with wrong governance.</w:t>
            </w:r>
          </w:p>
        </w:tc>
      </w:tr>
    </w:tbl>
    <w:p w14:paraId="2BCC9EBA" w14:textId="77777777" w:rsidR="0046004D" w:rsidRDefault="0046004D">
      <w:pPr>
        <w:spacing w:after="160"/>
      </w:pPr>
    </w:p>
    <w:p w14:paraId="63F205B5" w14:textId="77777777" w:rsidR="0046004D" w:rsidRDefault="00000000">
      <w:pPr>
        <w:pStyle w:val="Heading1"/>
        <w:pBdr>
          <w:bottom w:val="single" w:sz="8" w:space="0" w:color="C8952A"/>
        </w:pBdr>
      </w:pPr>
      <w:bookmarkStart w:id="26" w:name="_Toc237337469"/>
      <w:proofErr w:type="gramStart"/>
      <w:r>
        <w:t>10  Capital</w:t>
      </w:r>
      <w:proofErr w:type="gramEnd"/>
      <w:r>
        <w:t xml:space="preserve"> Calls, Bookkeeping, and Deployment</w:t>
      </w:r>
      <w:bookmarkEnd w:id="26"/>
    </w:p>
    <w:p w14:paraId="56D1DD2D" w14:textId="77777777" w:rsidR="0046004D" w:rsidRDefault="00000000">
      <w:pPr>
        <w:pStyle w:val="Heading2"/>
      </w:pPr>
      <w:bookmarkStart w:id="27" w:name="_Toc237337470"/>
      <w:proofErr w:type="gramStart"/>
      <w:r>
        <w:t>10.1  Capital</w:t>
      </w:r>
      <w:proofErr w:type="gramEnd"/>
      <w:r>
        <w:t xml:space="preserve"> Called Is Not Capital Invested</w:t>
      </w:r>
      <w:bookmarkEnd w:id="27"/>
    </w:p>
    <w:p w14:paraId="4C1EDAD1" w14:textId="77777777" w:rsidR="0046004D" w:rsidRDefault="00000000">
      <w:pPr>
        <w:spacing w:after="120"/>
      </w:pPr>
      <w:r>
        <w:lastRenderedPageBreak/>
        <w:t>A capital call has a stated purpose, and only some of it funds the deal. The same call pays the management fee, fund expenses, and repayment of the subscription line. Conflating called and invested overstates deployment and understates fees in every period where a call is partly for expenses.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46004D" w14:paraId="34EE804E" w14:textId="77777777">
        <w:tblPrEx>
          <w:tblCellMar>
            <w:top w:w="0" w:type="dxa"/>
            <w:bottom w:w="0" w:type="dxa"/>
          </w:tblCellMar>
        </w:tblPrEx>
        <w:tc>
          <w:tcPr>
            <w:tcW w:w="3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56BD6B1A" w14:textId="77777777" w:rsidR="0046004D" w:rsidRDefault="00000000">
            <w:r>
              <w:rPr>
                <w:b/>
                <w:bCs/>
                <w:color w:val="FFFFFF"/>
                <w:sz w:val="20"/>
                <w:szCs w:val="20"/>
              </w:rPr>
              <w:t>Call Component</w:t>
            </w:r>
          </w:p>
        </w:tc>
        <w:tc>
          <w:tcPr>
            <w:tcW w:w="59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3BC2A2DB" w14:textId="77777777" w:rsidR="0046004D" w:rsidRDefault="00000000">
            <w:r>
              <w:rPr>
                <w:b/>
                <w:bCs/>
                <w:color w:val="FFFFFF"/>
                <w:sz w:val="20"/>
                <w:szCs w:val="20"/>
              </w:rPr>
              <w:t>Books To</w:t>
            </w:r>
          </w:p>
        </w:tc>
      </w:tr>
      <w:tr w:rsidR="0046004D" w14:paraId="11DA38CF" w14:textId="77777777">
        <w:tblPrEx>
          <w:tblCellMar>
            <w:top w:w="0" w:type="dxa"/>
            <w:bottom w:w="0" w:type="dxa"/>
          </w:tblCellMar>
        </w:tblPrEx>
        <w:tc>
          <w:tcPr>
            <w:tcW w:w="3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CBCF485" w14:textId="77777777" w:rsidR="0046004D" w:rsidRDefault="00000000">
            <w:r>
              <w:rPr>
                <w:sz w:val="20"/>
                <w:szCs w:val="20"/>
              </w:rPr>
              <w:t>Investment funding</w:t>
            </w:r>
          </w:p>
        </w:tc>
        <w:tc>
          <w:tcPr>
            <w:tcW w:w="59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7FD7765" w14:textId="77777777" w:rsidR="0046004D" w:rsidRDefault="00000000">
            <w:r>
              <w:rPr>
                <w:sz w:val="20"/>
                <w:szCs w:val="20"/>
              </w:rPr>
              <w:t>Portfolio company equity (deal SPV)</w:t>
            </w:r>
          </w:p>
        </w:tc>
      </w:tr>
      <w:tr w:rsidR="0046004D" w14:paraId="07FBE4DB" w14:textId="77777777">
        <w:tblPrEx>
          <w:tblCellMar>
            <w:top w:w="0" w:type="dxa"/>
            <w:bottom w:w="0" w:type="dxa"/>
          </w:tblCellMar>
        </w:tblPrEx>
        <w:tc>
          <w:tcPr>
            <w:tcW w:w="3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BC20BE0" w14:textId="77777777" w:rsidR="0046004D" w:rsidRDefault="00000000">
            <w:r>
              <w:rPr>
                <w:sz w:val="20"/>
                <w:szCs w:val="20"/>
              </w:rPr>
              <w:t>Management fee</w:t>
            </w:r>
          </w:p>
        </w:tc>
        <w:tc>
          <w:tcPr>
            <w:tcW w:w="59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E4E96CB" w14:textId="77777777" w:rsidR="0046004D" w:rsidRDefault="00000000">
            <w:r>
              <w:rPr>
                <w:sz w:val="20"/>
                <w:szCs w:val="20"/>
              </w:rPr>
              <w:t>Fee payable to GP — basis per LPA (committed/invested)</w:t>
            </w:r>
          </w:p>
        </w:tc>
      </w:tr>
      <w:tr w:rsidR="0046004D" w14:paraId="23E2578F" w14:textId="77777777">
        <w:tblPrEx>
          <w:tblCellMar>
            <w:top w:w="0" w:type="dxa"/>
            <w:bottom w:w="0" w:type="dxa"/>
          </w:tblCellMar>
        </w:tblPrEx>
        <w:tc>
          <w:tcPr>
            <w:tcW w:w="3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58769BE" w14:textId="77777777" w:rsidR="0046004D" w:rsidRDefault="00000000">
            <w:r>
              <w:rPr>
                <w:sz w:val="20"/>
                <w:szCs w:val="20"/>
              </w:rPr>
              <w:t>Fund expenses</w:t>
            </w:r>
          </w:p>
        </w:tc>
        <w:tc>
          <w:tcPr>
            <w:tcW w:w="59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6F0831B" w14:textId="77777777" w:rsidR="0046004D" w:rsidRDefault="00000000">
            <w:r>
              <w:rPr>
                <w:sz w:val="20"/>
                <w:szCs w:val="20"/>
              </w:rPr>
              <w:t xml:space="preserve">Audit, administration, legal, </w:t>
            </w:r>
            <w:proofErr w:type="spellStart"/>
            <w:r>
              <w:rPr>
                <w:sz w:val="20"/>
                <w:szCs w:val="20"/>
              </w:rPr>
              <w:t>organisational</w:t>
            </w:r>
            <w:proofErr w:type="spellEnd"/>
            <w:r>
              <w:rPr>
                <w:sz w:val="20"/>
                <w:szCs w:val="20"/>
              </w:rPr>
              <w:t xml:space="preserve"> costs</w:t>
            </w:r>
          </w:p>
        </w:tc>
      </w:tr>
      <w:tr w:rsidR="0046004D" w14:paraId="1F3E467A" w14:textId="77777777">
        <w:tblPrEx>
          <w:tblCellMar>
            <w:top w:w="0" w:type="dxa"/>
            <w:bottom w:w="0" w:type="dxa"/>
          </w:tblCellMar>
        </w:tblPrEx>
        <w:tc>
          <w:tcPr>
            <w:tcW w:w="3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3D45DDFE" w14:textId="77777777" w:rsidR="0046004D" w:rsidRDefault="00000000">
            <w:r>
              <w:rPr>
                <w:sz w:val="20"/>
                <w:szCs w:val="20"/>
              </w:rPr>
              <w:t>Subscription line repayment</w:t>
            </w:r>
          </w:p>
        </w:tc>
        <w:tc>
          <w:tcPr>
            <w:tcW w:w="59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3C623955" w14:textId="77777777" w:rsidR="0046004D" w:rsidRDefault="00000000">
            <w:r>
              <w:rPr>
                <w:sz w:val="20"/>
                <w:szCs w:val="20"/>
              </w:rPr>
              <w:t>Repayment of bridge facility used to fund deal at close</w:t>
            </w:r>
          </w:p>
        </w:tc>
      </w:tr>
    </w:tbl>
    <w:p w14:paraId="33226C92" w14:textId="77777777" w:rsidR="0046004D" w:rsidRDefault="0046004D">
      <w:pPr>
        <w:spacing w:after="200"/>
      </w:pPr>
    </w:p>
    <w:p w14:paraId="4AABE3FF" w14:textId="77777777" w:rsidR="0046004D" w:rsidRDefault="00000000">
      <w:pPr>
        <w:pStyle w:val="Heading2"/>
      </w:pPr>
      <w:bookmarkStart w:id="28" w:name="_Toc237337471"/>
      <w:proofErr w:type="gramStart"/>
      <w:r>
        <w:t>10.2  Three</w:t>
      </w:r>
      <w:proofErr w:type="gramEnd"/>
      <w:r>
        <w:t xml:space="preserve"> Books, One Truth</w:t>
      </w:r>
      <w:bookmarkEnd w:id="28"/>
    </w:p>
    <w:p w14:paraId="3F568800"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Σ LP capital </w:t>
      </w:r>
      <w:proofErr w:type="gramStart"/>
      <w:r>
        <w:rPr>
          <w:rFonts w:ascii="Courier New" w:eastAsia="Courier New" w:hAnsi="Courier New" w:cs="Courier New"/>
          <w:color w:val="2D3748"/>
          <w:sz w:val="18"/>
          <w:szCs w:val="18"/>
        </w:rPr>
        <w:t>accounts  =</w:t>
      </w:r>
      <w:proofErr w:type="gramEnd"/>
      <w:r>
        <w:rPr>
          <w:rFonts w:ascii="Courier New" w:eastAsia="Courier New" w:hAnsi="Courier New" w:cs="Courier New"/>
          <w:color w:val="2D3748"/>
          <w:sz w:val="18"/>
          <w:szCs w:val="18"/>
        </w:rPr>
        <w:t xml:space="preserve">  partners' capital in the </w:t>
      </w:r>
      <w:proofErr w:type="gramStart"/>
      <w:r>
        <w:rPr>
          <w:rFonts w:ascii="Courier New" w:eastAsia="Courier New" w:hAnsi="Courier New" w:cs="Courier New"/>
          <w:color w:val="2D3748"/>
          <w:sz w:val="18"/>
          <w:szCs w:val="18"/>
        </w:rPr>
        <w:t>GL  =</w:t>
      </w:r>
      <w:proofErr w:type="gramEnd"/>
      <w:r>
        <w:rPr>
          <w:rFonts w:ascii="Courier New" w:eastAsia="Courier New" w:hAnsi="Courier New" w:cs="Courier New"/>
          <w:color w:val="2D3748"/>
          <w:sz w:val="18"/>
          <w:szCs w:val="18"/>
        </w:rPr>
        <w:t xml:space="preserve">  NAV</w:t>
      </w:r>
    </w:p>
    <w:p w14:paraId="75AC4415" w14:textId="77777777" w:rsidR="0046004D" w:rsidRDefault="0046004D">
      <w:pPr>
        <w:spacing w:after="160"/>
      </w:pPr>
    </w:p>
    <w:p w14:paraId="6CBCE2E5" w14:textId="77777777" w:rsidR="0046004D" w:rsidRDefault="00000000">
      <w:pPr>
        <w:spacing w:after="120"/>
      </w:pPr>
      <w:r>
        <w:t>LP capital accounts, the fund general ledger, and NAV are separate records of the same events. Modelling only one of them is how you end up unable to explain why the investor statement and the financial statements differ.</w:t>
      </w:r>
    </w:p>
    <w:p w14:paraId="25596267" w14:textId="77777777" w:rsidR="0046004D" w:rsidRDefault="00000000">
      <w:pPr>
        <w:pStyle w:val="Heading2"/>
      </w:pPr>
      <w:bookmarkStart w:id="29" w:name="_Toc237337472"/>
      <w:proofErr w:type="gramStart"/>
      <w:r>
        <w:t>10.3  The</w:t>
      </w:r>
      <w:proofErr w:type="gramEnd"/>
      <w:r>
        <w:t xml:space="preserve"> Waterfall Is Where Pro Rata Stops</w:t>
      </w:r>
      <w:bookmarkEnd w:id="29"/>
    </w:p>
    <w:p w14:paraId="7120E2F4" w14:textId="77777777" w:rsidR="0046004D" w:rsidRDefault="00000000">
      <w:pPr>
        <w:spacing w:after="120"/>
      </w:pPr>
      <w:r>
        <w:t>Everything up to the distribution is proportional. Then the tiers run — return of contributed capital, preferred return, GP catch-up, carried interest split — and the LP's share diverges from their commitment percentage. The waterfall is a Fund fact (binding every class in the fund), not a class or fee-terms fact.</w:t>
      </w:r>
    </w:p>
    <w:p w14:paraId="15AFAD2B" w14:textId="77777777" w:rsidR="0046004D" w:rsidRDefault="00000000">
      <w:pPr>
        <w:pStyle w:val="Heading2"/>
      </w:pPr>
      <w:bookmarkStart w:id="30" w:name="_Toc237337473"/>
      <w:proofErr w:type="gramStart"/>
      <w:r>
        <w:t>10.4  A</w:t>
      </w:r>
      <w:proofErr w:type="gramEnd"/>
      <w:r>
        <w:t xml:space="preserve"> Worked Commitment and Call Schedule</w:t>
      </w:r>
      <w:bookmarkEnd w:id="30"/>
    </w:p>
    <w:p w14:paraId="0F930E49" w14:textId="77777777" w:rsidR="0046004D" w:rsidRDefault="00000000">
      <w:pPr>
        <w:spacing w:after="120"/>
      </w:pPr>
      <w:r>
        <w:t>Figure 11 — Two LPs, three calls, the widening gap between committed and contributed.</w:t>
      </w:r>
    </w:p>
    <w:p w14:paraId="1797BAD3" w14:textId="77777777" w:rsidR="0046004D" w:rsidRDefault="00000000">
      <w:pPr>
        <w:pStyle w:val="ListParagraph"/>
        <w:numPr>
          <w:ilvl w:val="0"/>
          <w:numId w:val="1"/>
        </w:numPr>
        <w:spacing w:after="80"/>
      </w:pPr>
      <w:r>
        <w:t xml:space="preserve">Commitment dates differ; call percentages do not. The pension signs at first close, the sovereign fund two months later into the feeder, but every call is the same percentage for both — because they are both called on unfunded, and after </w:t>
      </w:r>
      <w:proofErr w:type="spellStart"/>
      <w:r>
        <w:t>equalisation</w:t>
      </w:r>
      <w:proofErr w:type="spellEnd"/>
      <w:r>
        <w:t>, unfunded is the same ratio.</w:t>
      </w:r>
    </w:p>
    <w:p w14:paraId="32E6DBE3" w14:textId="77777777" w:rsidR="0046004D" w:rsidRDefault="00000000">
      <w:pPr>
        <w:pStyle w:val="ListParagraph"/>
        <w:numPr>
          <w:ilvl w:val="0"/>
          <w:numId w:val="1"/>
        </w:numPr>
        <w:spacing w:after="80"/>
      </w:pPr>
      <w:r>
        <w:t xml:space="preserve">Notice and due date are separate events, roughly two weeks apart. The feeder's due date </w:t>
      </w:r>
      <w:proofErr w:type="gramStart"/>
      <w:r>
        <w:t>leads</w:t>
      </w:r>
      <w:proofErr w:type="gramEnd"/>
      <w:r>
        <w:t xml:space="preserve"> the master's by a few days.</w:t>
      </w:r>
    </w:p>
    <w:p w14:paraId="5D8E65E2" w14:textId="77777777" w:rsidR="0046004D" w:rsidRDefault="00000000">
      <w:pPr>
        <w:pStyle w:val="ListParagraph"/>
        <w:numPr>
          <w:ilvl w:val="0"/>
          <w:numId w:val="1"/>
        </w:numPr>
        <w:spacing w:after="80"/>
      </w:pPr>
      <w:r>
        <w:t xml:space="preserve">Unfunded is a gap, not a stored number: committed steps up and </w:t>
      </w:r>
      <w:proofErr w:type="gramStart"/>
      <w:r>
        <w:t>stays</w:t>
      </w:r>
      <w:proofErr w:type="gramEnd"/>
      <w:r>
        <w:t xml:space="preserve"> flat, contributed steps up as calls land, and the vertical distance is the unfunded commitment.</w:t>
      </w:r>
    </w:p>
    <w:p w14:paraId="3AE787D0" w14:textId="77777777" w:rsidR="0046004D" w:rsidRDefault="00000000">
      <w:pPr>
        <w:pStyle w:val="Heading1"/>
        <w:pBdr>
          <w:bottom w:val="single" w:sz="8" w:space="0" w:color="C8952A"/>
        </w:pBdr>
      </w:pPr>
      <w:bookmarkStart w:id="31" w:name="_Toc237337474"/>
      <w:proofErr w:type="gramStart"/>
      <w:r>
        <w:t>11  The</w:t>
      </w:r>
      <w:proofErr w:type="gramEnd"/>
      <w:r>
        <w:t xml:space="preserve"> Economics: Two Levels, Four Facts</w:t>
      </w:r>
      <w:bookmarkEnd w:id="31"/>
    </w:p>
    <w:p w14:paraId="5F5201F0" w14:textId="77777777" w:rsidR="0046004D" w:rsidRDefault="00000000">
      <w:pPr>
        <w:pStyle w:val="Heading2"/>
      </w:pPr>
      <w:bookmarkStart w:id="32" w:name="_Toc237337475"/>
      <w:proofErr w:type="gramStart"/>
      <w:r>
        <w:t>11.1  Fee</w:t>
      </w:r>
      <w:proofErr w:type="gramEnd"/>
      <w:r>
        <w:t xml:space="preserve"> Terms Live at Two Levels, Deliberately</w:t>
      </w:r>
      <w:bookmarkEnd w:id="32"/>
    </w:p>
    <w:p w14:paraId="68214A0C" w14:textId="77777777" w:rsidR="0046004D" w:rsidRDefault="00000000">
      <w:pPr>
        <w:shd w:val="clear" w:color="auto" w:fill="F1F3F7"/>
        <w:ind w:left="360" w:right="360"/>
      </w:pPr>
      <w:proofErr w:type="spellStart"/>
      <w:proofErr w:type="gramStart"/>
      <w:r>
        <w:rPr>
          <w:rFonts w:ascii="Courier New" w:eastAsia="Courier New" w:hAnsi="Courier New" w:cs="Courier New"/>
          <w:color w:val="2D3748"/>
          <w:sz w:val="18"/>
          <w:szCs w:val="18"/>
        </w:rPr>
        <w:t>pe:headlineTerms</w:t>
      </w:r>
      <w:proofErr w:type="spellEnd"/>
      <w:proofErr w:type="gramEnd"/>
      <w:r>
        <w:rPr>
          <w:rFonts w:ascii="Courier New" w:eastAsia="Courier New" w:hAnsi="Courier New" w:cs="Courier New"/>
          <w:color w:val="2D3748"/>
          <w:sz w:val="18"/>
          <w:szCs w:val="18"/>
        </w:rPr>
        <w:t xml:space="preserve">   on Fund      — what the LPA says. The reference point.</w:t>
      </w:r>
    </w:p>
    <w:p w14:paraId="6022A3D8" w14:textId="77777777" w:rsidR="0046004D" w:rsidRDefault="00000000">
      <w:pPr>
        <w:shd w:val="clear" w:color="auto" w:fill="F1F3F7"/>
        <w:ind w:left="360" w:right="360"/>
      </w:pPr>
      <w:proofErr w:type="spellStart"/>
      <w:proofErr w:type="gramStart"/>
      <w:r>
        <w:rPr>
          <w:rFonts w:ascii="Courier New" w:eastAsia="Courier New" w:hAnsi="Courier New" w:cs="Courier New"/>
          <w:color w:val="2D3748"/>
          <w:sz w:val="18"/>
          <w:szCs w:val="18"/>
        </w:rPr>
        <w:t>pe:offeringTerms</w:t>
      </w:r>
      <w:proofErr w:type="spellEnd"/>
      <w:proofErr w:type="gramEnd"/>
      <w:r>
        <w:rPr>
          <w:rFonts w:ascii="Courier New" w:eastAsia="Courier New" w:hAnsi="Courier New" w:cs="Courier New"/>
          <w:color w:val="2D3748"/>
          <w:sz w:val="18"/>
          <w:szCs w:val="18"/>
        </w:rPr>
        <w:t xml:space="preserve">   on </w:t>
      </w:r>
      <w:proofErr w:type="gramStart"/>
      <w:r>
        <w:rPr>
          <w:rFonts w:ascii="Courier New" w:eastAsia="Courier New" w:hAnsi="Courier New" w:cs="Courier New"/>
          <w:color w:val="2D3748"/>
          <w:sz w:val="18"/>
          <w:szCs w:val="18"/>
        </w:rPr>
        <w:t>Offering  —</w:t>
      </w:r>
      <w:proofErr w:type="gramEnd"/>
      <w:r>
        <w:rPr>
          <w:rFonts w:ascii="Courier New" w:eastAsia="Courier New" w:hAnsi="Courier New" w:cs="Courier New"/>
          <w:color w:val="2D3748"/>
          <w:sz w:val="18"/>
          <w:szCs w:val="18"/>
        </w:rPr>
        <w:t xml:space="preserve"> what this class charges. The billing authority.</w:t>
      </w:r>
    </w:p>
    <w:p w14:paraId="2BF48E7B" w14:textId="77777777" w:rsidR="0046004D" w:rsidRDefault="0046004D">
      <w:pPr>
        <w:spacing w:after="160"/>
      </w:pPr>
    </w:p>
    <w:p w14:paraId="600AC592" w14:textId="77777777" w:rsidR="0046004D" w:rsidRDefault="00000000">
      <w:pPr>
        <w:spacing w:after="120"/>
      </w:pPr>
      <w:r>
        <w:lastRenderedPageBreak/>
        <w:t xml:space="preserve">The headline is the fact quoted in the PPM and in every benchmark: "2 and 20 over an 8% </w:t>
      </w:r>
      <w:proofErr w:type="spellStart"/>
      <w:r>
        <w:t>pref</w:t>
      </w:r>
      <w:proofErr w:type="spellEnd"/>
      <w:r>
        <w:t xml:space="preserve">" is a statement about the Fund. What a specific class pays diverges constantly — a </w:t>
      </w:r>
      <w:proofErr w:type="gramStart"/>
      <w:r>
        <w:t>founders</w:t>
      </w:r>
      <w:proofErr w:type="gramEnd"/>
      <w:r>
        <w:t xml:space="preserve"> class at 1.25%, an SMA at 0.75% with no </w:t>
      </w:r>
      <w:proofErr w:type="gramStart"/>
      <w:r>
        <w:t>carry</w:t>
      </w:r>
      <w:proofErr w:type="gramEnd"/>
      <w:r>
        <w:t xml:space="preserve">. The encoding: a class that is ON headline points at the same </w:t>
      </w:r>
      <w:proofErr w:type="spellStart"/>
      <w:r>
        <w:t>FeeTerms</w:t>
      </w:r>
      <w:proofErr w:type="spellEnd"/>
      <w:r>
        <w:t xml:space="preserve"> node the Fund does. Node identity says whether a class is discounted, so no separate flag is needed.</w:t>
      </w:r>
    </w:p>
    <w:p w14:paraId="184A576B" w14:textId="77777777" w:rsidR="0046004D" w:rsidRDefault="00000000">
      <w:pPr>
        <w:pStyle w:val="Heading2"/>
      </w:pPr>
      <w:bookmarkStart w:id="33" w:name="_Toc237337476"/>
      <w:proofErr w:type="gramStart"/>
      <w:r>
        <w:t>11.2  A</w:t>
      </w:r>
      <w:proofErr w:type="gramEnd"/>
      <w:r>
        <w:t xml:space="preserve"> Hurdle Is Four Facts, Not One Number</w:t>
      </w:r>
      <w:bookmarkEnd w:id="33"/>
    </w:p>
    <w:p w14:paraId="7708747E" w14:textId="77777777" w:rsidR="0046004D" w:rsidRDefault="00000000">
      <w:pPr>
        <w:spacing w:after="120"/>
      </w:pPr>
      <w:proofErr w:type="spellStart"/>
      <w:proofErr w:type="gramStart"/>
      <w:r>
        <w:t>pe:preferredReturnRate</w:t>
      </w:r>
      <w:proofErr w:type="spellEnd"/>
      <w:proofErr w:type="gramEnd"/>
      <w:r>
        <w:t xml:space="preserve"> held a bare decimal. "8.0" looks complete and is not, in four ways — and two of them change what the investor is paid: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6004D" w14:paraId="5AE83715" w14:textId="77777777">
        <w:tblPrEx>
          <w:tblCellMar>
            <w:top w:w="0" w:type="dxa"/>
            <w:bottom w:w="0" w:type="dxa"/>
          </w:tblCellMar>
        </w:tblPrEx>
        <w:tc>
          <w:tcPr>
            <w:tcW w:w="2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1A69F0B3" w14:textId="77777777" w:rsidR="0046004D" w:rsidRDefault="00000000">
            <w:r>
              <w:rPr>
                <w:b/>
                <w:bCs/>
                <w:color w:val="FFFFFF"/>
                <w:sz w:val="20"/>
                <w:szCs w:val="20"/>
              </w:rPr>
              <w:t>Dimension</w:t>
            </w:r>
          </w:p>
        </w:tc>
        <w:tc>
          <w:tcPr>
            <w:tcW w:w="69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6D43BE4B" w14:textId="77777777" w:rsidR="0046004D" w:rsidRDefault="00000000">
            <w:r>
              <w:rPr>
                <w:b/>
                <w:bCs/>
                <w:color w:val="FFFFFF"/>
                <w:sz w:val="20"/>
                <w:szCs w:val="20"/>
              </w:rPr>
              <w:t>What Gets Wrong Without It</w:t>
            </w:r>
          </w:p>
        </w:tc>
      </w:tr>
      <w:tr w:rsidR="0046004D" w14:paraId="498E872C"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99619F1" w14:textId="77777777" w:rsidR="0046004D" w:rsidRDefault="00000000">
            <w:r>
              <w:rPr>
                <w:sz w:val="20"/>
                <w:szCs w:val="20"/>
              </w:rPr>
              <w:t>Hard vs. soft hurdle</w:t>
            </w:r>
          </w:p>
        </w:tc>
        <w:tc>
          <w:tcPr>
            <w:tcW w:w="69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E6DE8F3" w14:textId="77777777" w:rsidR="0046004D" w:rsidRDefault="00000000">
            <w:r>
              <w:rPr>
                <w:sz w:val="20"/>
                <w:szCs w:val="20"/>
              </w:rPr>
              <w:t xml:space="preserve">With full catch-up: GP catches up then carry applies to whole profit. Without: carry applies only to excess. On the same 8% </w:t>
            </w:r>
            <w:proofErr w:type="spellStart"/>
            <w:r>
              <w:rPr>
                <w:sz w:val="20"/>
                <w:szCs w:val="20"/>
              </w:rPr>
              <w:t>pref</w:t>
            </w:r>
            <w:proofErr w:type="spellEnd"/>
            <w:r>
              <w:rPr>
                <w:sz w:val="20"/>
                <w:szCs w:val="20"/>
              </w:rPr>
              <w:t>, $300M profit — difference is $12M.</w:t>
            </w:r>
          </w:p>
        </w:tc>
      </w:tr>
      <w:tr w:rsidR="0046004D" w14:paraId="2E7ABAE1"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BE4751A" w14:textId="77777777" w:rsidR="0046004D" w:rsidRDefault="00000000">
            <w:r>
              <w:rPr>
                <w:sz w:val="20"/>
                <w:szCs w:val="20"/>
              </w:rPr>
              <w:t>Fixed vs. floating rate</w:t>
            </w:r>
          </w:p>
        </w:tc>
        <w:tc>
          <w:tcPr>
            <w:tcW w:w="69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66D69A6" w14:textId="77777777" w:rsidR="0046004D" w:rsidRDefault="00000000">
            <w:r>
              <w:rPr>
                <w:sz w:val="20"/>
                <w:szCs w:val="20"/>
              </w:rPr>
              <w:t>Private credit funds set hurdle at SOFR + spread. A fixed hurdle is met automatically when base rates rise. 57% of credit funds in the book use a floating hurdle.</w:t>
            </w:r>
          </w:p>
        </w:tc>
      </w:tr>
      <w:tr w:rsidR="0046004D" w14:paraId="281FDD30"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5601EB5" w14:textId="77777777" w:rsidR="0046004D" w:rsidRDefault="00000000">
            <w:r>
              <w:rPr>
                <w:sz w:val="20"/>
                <w:szCs w:val="20"/>
              </w:rPr>
              <w:t>How it accrues</w:t>
            </w:r>
          </w:p>
        </w:tc>
        <w:tc>
          <w:tcPr>
            <w:tcW w:w="69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386DED8" w14:textId="77777777" w:rsidR="0046004D" w:rsidRDefault="00000000">
            <w:r>
              <w:rPr>
                <w:sz w:val="20"/>
                <w:szCs w:val="20"/>
              </w:rPr>
              <w:t>8% compounded annually on contributed capital from each call date ≠ 8% simple on committed. Without the convention, two systems compute different preferred returns from identical terms.</w:t>
            </w:r>
          </w:p>
        </w:tc>
      </w:tr>
      <w:tr w:rsidR="0046004D" w14:paraId="421E981A"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975304F" w14:textId="77777777" w:rsidR="0046004D" w:rsidRDefault="00000000">
            <w:r>
              <w:rPr>
                <w:sz w:val="20"/>
                <w:szCs w:val="20"/>
              </w:rPr>
              <w:t>When it is tested</w:t>
            </w:r>
          </w:p>
        </w:tc>
        <w:tc>
          <w:tcPr>
            <w:tcW w:w="69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FCB378A" w14:textId="77777777" w:rsidR="0046004D" w:rsidRDefault="00000000">
            <w:r>
              <w:rPr>
                <w:sz w:val="20"/>
                <w:szCs w:val="20"/>
              </w:rPr>
              <w:t xml:space="preserve">European whole-fund: carry only after fund returns everything. American deal-by-deal: carry after each exit. The difference is years of carry timing — and </w:t>
            </w:r>
            <w:proofErr w:type="spellStart"/>
            <w:r>
              <w:rPr>
                <w:sz w:val="20"/>
                <w:szCs w:val="20"/>
              </w:rPr>
              <w:t>clawback</w:t>
            </w:r>
            <w:proofErr w:type="spellEnd"/>
            <w:r>
              <w:rPr>
                <w:sz w:val="20"/>
                <w:szCs w:val="20"/>
              </w:rPr>
              <w:t xml:space="preserve"> exposure.</w:t>
            </w:r>
          </w:p>
        </w:tc>
      </w:tr>
    </w:tbl>
    <w:p w14:paraId="2ABDF7A9" w14:textId="77777777" w:rsidR="0046004D" w:rsidRDefault="0046004D">
      <w:pPr>
        <w:spacing w:after="200"/>
      </w:pPr>
    </w:p>
    <w:p w14:paraId="54D2DC8B" w14:textId="77777777" w:rsidR="0046004D" w:rsidRDefault="00000000">
      <w:pPr>
        <w:pStyle w:val="Heading2"/>
      </w:pPr>
      <w:bookmarkStart w:id="34" w:name="_Toc237337477"/>
      <w:proofErr w:type="gramStart"/>
      <w:r>
        <w:t>11.3  The</w:t>
      </w:r>
      <w:proofErr w:type="gramEnd"/>
      <w:r>
        <w:t xml:space="preserve"> Waterfall Is a Fund Fact</w:t>
      </w:r>
      <w:bookmarkEnd w:id="34"/>
    </w:p>
    <w:p w14:paraId="3863ABA5" w14:textId="77777777" w:rsidR="0046004D" w:rsidRDefault="00000000">
      <w:pPr>
        <w:spacing w:after="120"/>
      </w:pPr>
      <w:r>
        <w:t xml:space="preserve">It sits on Fund, not on </w:t>
      </w:r>
      <w:proofErr w:type="spellStart"/>
      <w:r>
        <w:t>FeeTerms</w:t>
      </w:r>
      <w:proofErr w:type="spellEnd"/>
      <w:r>
        <w:t>. It is a term of the LPA and binds every class in the fund; putting it on the class would let two classes of one vehicle disagree about when carry is paid.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7AADC523" w14:textId="77777777">
        <w:tc>
          <w:tcPr>
            <w:tcW w:w="9360" w:type="dxa"/>
            <w:tcBorders>
              <w:top w:val="single" w:sz="12" w:space="0" w:color="E53E3E"/>
              <w:left w:val="single" w:sz="12" w:space="0" w:color="E53E3E"/>
            </w:tcBorders>
            <w:shd w:val="clear" w:color="auto" w:fill="FFF5F5"/>
            <w:tcMar>
              <w:top w:w="80" w:type="dxa"/>
              <w:left w:w="120" w:type="dxa"/>
              <w:bottom w:w="0" w:type="dxa"/>
              <w:right w:w="120" w:type="dxa"/>
            </w:tcMar>
          </w:tcPr>
          <w:p w14:paraId="62BCA90A" w14:textId="77777777" w:rsidR="0046004D" w:rsidRDefault="00000000">
            <w:r>
              <w:rPr>
                <w:b/>
                <w:bCs/>
                <w:color w:val="E53E3E"/>
                <w:sz w:val="20"/>
                <w:szCs w:val="20"/>
              </w:rPr>
              <w:t>Hard Violation</w:t>
            </w:r>
          </w:p>
        </w:tc>
      </w:tr>
      <w:tr w:rsidR="0046004D" w14:paraId="3DA03F39" w14:textId="77777777">
        <w:tc>
          <w:tcPr>
            <w:tcW w:w="9360" w:type="dxa"/>
            <w:tcBorders>
              <w:left w:val="single" w:sz="12" w:space="0" w:color="E53E3E"/>
            </w:tcBorders>
            <w:shd w:val="clear" w:color="auto" w:fill="FFF5F5"/>
            <w:tcMar>
              <w:top w:w="0" w:type="dxa"/>
              <w:left w:w="120" w:type="dxa"/>
              <w:bottom w:w="0" w:type="dxa"/>
              <w:right w:w="120" w:type="dxa"/>
            </w:tcMar>
          </w:tcPr>
          <w:p w14:paraId="7770CE1E" w14:textId="77777777" w:rsidR="0046004D" w:rsidRDefault="00000000">
            <w:pPr>
              <w:spacing w:after="80"/>
            </w:pPr>
            <w:r>
              <w:rPr>
                <w:color w:val="2D3748"/>
                <w:sz w:val="20"/>
                <w:szCs w:val="20"/>
              </w:rPr>
              <w:t xml:space="preserve">Deal-by-deal or hybrid waterfall without a </w:t>
            </w:r>
            <w:proofErr w:type="spellStart"/>
            <w:r>
              <w:rPr>
                <w:color w:val="2D3748"/>
                <w:sz w:val="20"/>
                <w:szCs w:val="20"/>
              </w:rPr>
              <w:t>clawback</w:t>
            </w:r>
            <w:proofErr w:type="spellEnd"/>
            <w:r>
              <w:rPr>
                <w:color w:val="2D3748"/>
                <w:sz w:val="20"/>
                <w:szCs w:val="20"/>
              </w:rPr>
              <w:t xml:space="preserve"> is a hard constraint violation.</w:t>
            </w:r>
          </w:p>
        </w:tc>
      </w:tr>
      <w:tr w:rsidR="0046004D" w14:paraId="4FA3A816" w14:textId="77777777">
        <w:tc>
          <w:tcPr>
            <w:tcW w:w="9360" w:type="dxa"/>
            <w:tcBorders>
              <w:left w:val="single" w:sz="12" w:space="0" w:color="E53E3E"/>
            </w:tcBorders>
            <w:shd w:val="clear" w:color="auto" w:fill="FFF5F5"/>
            <w:tcMar>
              <w:top w:w="0" w:type="dxa"/>
              <w:left w:w="120" w:type="dxa"/>
              <w:bottom w:w="0" w:type="dxa"/>
              <w:right w:w="120" w:type="dxa"/>
            </w:tcMar>
          </w:tcPr>
          <w:p w14:paraId="47A63DF5" w14:textId="77777777" w:rsidR="0046004D" w:rsidRDefault="00000000">
            <w:pPr>
              <w:spacing w:after="80"/>
            </w:pPr>
            <w:r>
              <w:rPr>
                <w:color w:val="2D3748"/>
                <w:sz w:val="20"/>
                <w:szCs w:val="20"/>
              </w:rPr>
              <w:t>Carry paid on the early winners must be returnable when the later losses land, or the GP keeps a share of profits the fund never made.</w:t>
            </w:r>
          </w:p>
        </w:tc>
      </w:tr>
      <w:tr w:rsidR="0046004D" w14:paraId="068DE762" w14:textId="77777777">
        <w:tc>
          <w:tcPr>
            <w:tcW w:w="9360" w:type="dxa"/>
            <w:tcBorders>
              <w:left w:val="single" w:sz="12" w:space="0" w:color="E53E3E"/>
              <w:bottom w:val="single" w:sz="4" w:space="0" w:color="E53E3E"/>
            </w:tcBorders>
            <w:shd w:val="clear" w:color="auto" w:fill="FFF5F5"/>
            <w:tcMar>
              <w:top w:w="0" w:type="dxa"/>
              <w:left w:w="120" w:type="dxa"/>
              <w:bottom w:w="80" w:type="dxa"/>
              <w:right w:w="120" w:type="dxa"/>
            </w:tcMar>
          </w:tcPr>
          <w:p w14:paraId="547423CA" w14:textId="77777777" w:rsidR="0046004D" w:rsidRDefault="00000000">
            <w:r>
              <w:rPr>
                <w:color w:val="2D3748"/>
                <w:sz w:val="20"/>
                <w:szCs w:val="20"/>
              </w:rPr>
              <w:t xml:space="preserve">96% of closed-end funds in the reference book that use deal-by-deal include a </w:t>
            </w:r>
            <w:proofErr w:type="spellStart"/>
            <w:r>
              <w:rPr>
                <w:color w:val="2D3748"/>
                <w:sz w:val="20"/>
                <w:szCs w:val="20"/>
              </w:rPr>
              <w:t>clawback</w:t>
            </w:r>
            <w:proofErr w:type="spellEnd"/>
            <w:r>
              <w:rPr>
                <w:color w:val="2D3748"/>
                <w:sz w:val="20"/>
                <w:szCs w:val="20"/>
              </w:rPr>
              <w:t>.</w:t>
            </w:r>
          </w:p>
        </w:tc>
      </w:tr>
    </w:tbl>
    <w:p w14:paraId="0CF25CC4" w14:textId="77777777" w:rsidR="0046004D" w:rsidRDefault="0046004D">
      <w:pPr>
        <w:spacing w:after="160"/>
      </w:pPr>
    </w:p>
    <w:p w14:paraId="48DD8D97" w14:textId="77777777" w:rsidR="0046004D" w:rsidRDefault="00000000">
      <w:pPr>
        <w:pStyle w:val="Heading2"/>
      </w:pPr>
      <w:bookmarkStart w:id="35" w:name="_Toc237337478"/>
      <w:proofErr w:type="gramStart"/>
      <w:r>
        <w:t>11.4  What</w:t>
      </w:r>
      <w:proofErr w:type="gramEnd"/>
      <w:r>
        <w:t xml:space="preserve"> the Constraints Actually Catch</w:t>
      </w:r>
      <w:bookmarkEnd w:id="35"/>
    </w:p>
    <w:p w14:paraId="768DB125" w14:textId="77777777" w:rsidR="0046004D" w:rsidRDefault="00000000">
      <w:pPr>
        <w:spacing w:after="120"/>
      </w:pPr>
      <w:r>
        <w:t>Every rate in the reference book was inside its bounds. What was wrong was that the facts around it were missing, so the rate could be read two ways. Four specific failures:</w:t>
      </w:r>
    </w:p>
    <w:p w14:paraId="34D1C9BC" w14:textId="77777777" w:rsidR="0046004D" w:rsidRDefault="00000000">
      <w:pPr>
        <w:pStyle w:val="ListParagraph"/>
        <w:numPr>
          <w:ilvl w:val="0"/>
          <w:numId w:val="1"/>
        </w:numPr>
        <w:spacing w:after="80"/>
      </w:pPr>
      <w:r>
        <w:t>A management fee rate with no basis is not a fee. 1.5% on committed and 1.5% on NAV are different amounts of money.</w:t>
      </w:r>
    </w:p>
    <w:p w14:paraId="6F34FD59" w14:textId="77777777" w:rsidR="0046004D" w:rsidRDefault="00000000">
      <w:pPr>
        <w:pStyle w:val="ListParagraph"/>
        <w:numPr>
          <w:ilvl w:val="0"/>
          <w:numId w:val="1"/>
        </w:numPr>
        <w:spacing w:after="80"/>
      </w:pPr>
      <w:r>
        <w:t xml:space="preserve">Closed-end classes may not </w:t>
      </w:r>
      <w:proofErr w:type="gramStart"/>
      <w:r>
        <w:t>charge</w:t>
      </w:r>
      <w:proofErr w:type="gramEnd"/>
      <w:r>
        <w:t xml:space="preserve"> on NAV; evergreen classes may not charge on committed or invested.</w:t>
      </w:r>
    </w:p>
    <w:p w14:paraId="5EE8272E" w14:textId="77777777" w:rsidR="0046004D" w:rsidRDefault="00000000">
      <w:pPr>
        <w:pStyle w:val="ListParagraph"/>
        <w:numPr>
          <w:ilvl w:val="0"/>
          <w:numId w:val="1"/>
        </w:numPr>
        <w:spacing w:after="80"/>
      </w:pPr>
      <w:r>
        <w:t xml:space="preserve">A floating hurdle must carry a reference rate and a </w:t>
      </w:r>
      <w:proofErr w:type="gramStart"/>
      <w:r>
        <w:t>spread, and</w:t>
      </w:r>
      <w:proofErr w:type="gramEnd"/>
      <w:r>
        <w:t xml:space="preserve"> must not also carry a fixed percentage.</w:t>
      </w:r>
    </w:p>
    <w:p w14:paraId="0B3406A0" w14:textId="77777777" w:rsidR="0046004D" w:rsidRDefault="00000000">
      <w:pPr>
        <w:pStyle w:val="ListParagraph"/>
        <w:numPr>
          <w:ilvl w:val="0"/>
          <w:numId w:val="1"/>
        </w:numPr>
        <w:spacing w:after="80"/>
      </w:pPr>
      <w:r>
        <w:lastRenderedPageBreak/>
        <w:t xml:space="preserve">A </w:t>
      </w:r>
      <w:proofErr w:type="gramStart"/>
      <w:r>
        <w:t>founders</w:t>
      </w:r>
      <w:proofErr w:type="gramEnd"/>
      <w:r>
        <w:t xml:space="preserve"> class priced above headline is not a </w:t>
      </w:r>
      <w:proofErr w:type="gramStart"/>
      <w:r>
        <w:t>founders</w:t>
      </w:r>
      <w:proofErr w:type="gramEnd"/>
      <w:r>
        <w:t xml:space="preserve"> class.</w:t>
      </w:r>
    </w:p>
    <w:p w14:paraId="65EEE5B7" w14:textId="77777777" w:rsidR="0046004D" w:rsidRDefault="00000000">
      <w:pPr>
        <w:pStyle w:val="Heading1"/>
        <w:pBdr>
          <w:bottom w:val="single" w:sz="8" w:space="0" w:color="C8952A"/>
        </w:pBdr>
      </w:pPr>
      <w:bookmarkStart w:id="36" w:name="_Toc237337479"/>
      <w:proofErr w:type="gramStart"/>
      <w:r>
        <w:t>12  Who</w:t>
      </w:r>
      <w:proofErr w:type="gramEnd"/>
      <w:r>
        <w:t xml:space="preserve"> Covers the Investor</w:t>
      </w:r>
      <w:bookmarkEnd w:id="36"/>
    </w:p>
    <w:p w14:paraId="18EF8329" w14:textId="77777777" w:rsidR="0046004D" w:rsidRDefault="00000000">
      <w:pPr>
        <w:pStyle w:val="Heading2"/>
      </w:pPr>
      <w:bookmarkStart w:id="37" w:name="_Toc237337480"/>
      <w:proofErr w:type="gramStart"/>
      <w:r>
        <w:t>12.1  Relationship</w:t>
      </w:r>
      <w:proofErr w:type="gramEnd"/>
      <w:r>
        <w:t xml:space="preserve"> Manager Is a Role, </w:t>
      </w:r>
      <w:proofErr w:type="gramStart"/>
      <w:r>
        <w:t>Not</w:t>
      </w:r>
      <w:proofErr w:type="gramEnd"/>
      <w:r>
        <w:t xml:space="preserve"> a Class</w:t>
      </w:r>
      <w:bookmarkEnd w:id="37"/>
    </w:p>
    <w:p w14:paraId="37878207" w14:textId="77777777" w:rsidR="0046004D" w:rsidRDefault="00000000">
      <w:pPr>
        <w:spacing w:after="120"/>
      </w:pPr>
      <w:r>
        <w:t xml:space="preserve">The same individual is an RM to some accounts, a product specialist on others, a deal partner elsewhere. Roles combine and change over time. The class is </w:t>
      </w:r>
      <w:proofErr w:type="spellStart"/>
      <w:proofErr w:type="gramStart"/>
      <w:r>
        <w:t>pe:Person</w:t>
      </w:r>
      <w:proofErr w:type="spellEnd"/>
      <w:proofErr w:type="gramEnd"/>
      <w:r>
        <w:t>; the role lives on the coverage record. Employment is a dated relationship rather than class membership.</w:t>
      </w:r>
    </w:p>
    <w:p w14:paraId="649420FB" w14:textId="77777777" w:rsidR="0046004D" w:rsidRDefault="00000000">
      <w:pPr>
        <w:pStyle w:val="Heading2"/>
      </w:pPr>
      <w:bookmarkStart w:id="38" w:name="_Toc237337481"/>
      <w:proofErr w:type="gramStart"/>
      <w:r>
        <w:t>12.2  Coverage</w:t>
      </w:r>
      <w:proofErr w:type="gramEnd"/>
      <w:r>
        <w:t xml:space="preserve"> Is Reified</w:t>
      </w:r>
      <w:bookmarkEnd w:id="38"/>
    </w:p>
    <w:p w14:paraId="21C2203E" w14:textId="77777777" w:rsidR="0046004D" w:rsidRDefault="00000000">
      <w:pPr>
        <w:shd w:val="clear" w:color="auto" w:fill="F1F3F7"/>
        <w:ind w:left="360" w:right="360"/>
      </w:pPr>
      <w:proofErr w:type="spellStart"/>
      <w:proofErr w:type="gramStart"/>
      <w:r>
        <w:rPr>
          <w:rFonts w:ascii="Courier New" w:eastAsia="Courier New" w:hAnsi="Courier New" w:cs="Courier New"/>
          <w:color w:val="2D3748"/>
          <w:sz w:val="18"/>
          <w:szCs w:val="18"/>
        </w:rPr>
        <w:t>pe:CoverageAssignment</w:t>
      </w:r>
      <w:proofErr w:type="spellEnd"/>
      <w:proofErr w:type="gramEnd"/>
    </w:p>
    <w:p w14:paraId="2F5BA2F2"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spellStart"/>
      <w:proofErr w:type="gramStart"/>
      <w:r>
        <w:rPr>
          <w:rFonts w:ascii="Courier New" w:eastAsia="Courier New" w:hAnsi="Courier New" w:cs="Courier New"/>
          <w:color w:val="2D3748"/>
          <w:sz w:val="18"/>
          <w:szCs w:val="18"/>
        </w:rPr>
        <w:t>pe:coversInvestor</w:t>
      </w:r>
      <w:proofErr w:type="spellEnd"/>
      <w:proofErr w:type="gramEnd"/>
      <w:r>
        <w:rPr>
          <w:rFonts w:ascii="Courier New" w:eastAsia="Courier New" w:hAnsi="Courier New" w:cs="Courier New"/>
          <w:color w:val="2D3748"/>
          <w:sz w:val="18"/>
          <w:szCs w:val="18"/>
        </w:rPr>
        <w:t xml:space="preserve">   → Investor</w:t>
      </w:r>
    </w:p>
    <w:p w14:paraId="6986EF22"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spellStart"/>
      <w:proofErr w:type="gramStart"/>
      <w:r>
        <w:rPr>
          <w:rFonts w:ascii="Courier New" w:eastAsia="Courier New" w:hAnsi="Courier New" w:cs="Courier New"/>
          <w:color w:val="2D3748"/>
          <w:sz w:val="18"/>
          <w:szCs w:val="18"/>
        </w:rPr>
        <w:t>pe:coveredBy</w:t>
      </w:r>
      <w:proofErr w:type="spellEnd"/>
      <w:proofErr w:type="gramEnd"/>
      <w:r>
        <w:rPr>
          <w:rFonts w:ascii="Courier New" w:eastAsia="Courier New" w:hAnsi="Courier New" w:cs="Courier New"/>
          <w:color w:val="2D3748"/>
          <w:sz w:val="18"/>
          <w:szCs w:val="18"/>
        </w:rPr>
        <w:t xml:space="preserve">        → Person</w:t>
      </w:r>
    </w:p>
    <w:p w14:paraId="7890E7A8"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spellStart"/>
      <w:proofErr w:type="gramStart"/>
      <w:r>
        <w:rPr>
          <w:rFonts w:ascii="Courier New" w:eastAsia="Courier New" w:hAnsi="Courier New" w:cs="Courier New"/>
          <w:color w:val="2D3748"/>
          <w:sz w:val="18"/>
          <w:szCs w:val="18"/>
        </w:rPr>
        <w:t>pe:coverageRole</w:t>
      </w:r>
      <w:proofErr w:type="spellEnd"/>
      <w:proofErr w:type="gramEnd"/>
      <w:r>
        <w:rPr>
          <w:rFonts w:ascii="Courier New" w:eastAsia="Courier New" w:hAnsi="Courier New" w:cs="Courier New"/>
          <w:color w:val="2D3748"/>
          <w:sz w:val="18"/>
          <w:szCs w:val="18"/>
        </w:rPr>
        <w:t xml:space="preserve">     → RM · product specialist · client service · ...</w:t>
      </w:r>
    </w:p>
    <w:p w14:paraId="6A13FEFB"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spellStart"/>
      <w:proofErr w:type="gramStart"/>
      <w:r>
        <w:rPr>
          <w:rFonts w:ascii="Courier New" w:eastAsia="Courier New" w:hAnsi="Courier New" w:cs="Courier New"/>
          <w:color w:val="2D3748"/>
          <w:sz w:val="18"/>
          <w:szCs w:val="18"/>
        </w:rPr>
        <w:t>pe:coverageFrom</w:t>
      </w:r>
      <w:proofErr w:type="spellEnd"/>
      <w:proofErr w:type="gramEnd"/>
      <w:r>
        <w:rPr>
          <w:rFonts w:ascii="Courier New" w:eastAsia="Courier New" w:hAnsi="Courier New" w:cs="Courier New"/>
          <w:color w:val="2D3748"/>
          <w:sz w:val="18"/>
          <w:szCs w:val="18"/>
        </w:rPr>
        <w:t xml:space="preserve"> / </w:t>
      </w:r>
      <w:proofErr w:type="spellStart"/>
      <w:proofErr w:type="gramStart"/>
      <w:r>
        <w:rPr>
          <w:rFonts w:ascii="Courier New" w:eastAsia="Courier New" w:hAnsi="Courier New" w:cs="Courier New"/>
          <w:color w:val="2D3748"/>
          <w:sz w:val="18"/>
          <w:szCs w:val="18"/>
        </w:rPr>
        <w:t>pe:coverageTo</w:t>
      </w:r>
      <w:proofErr w:type="spellEnd"/>
      <w:proofErr w:type="gramEnd"/>
    </w:p>
    <w:p w14:paraId="1C29D334" w14:textId="77777777" w:rsidR="0046004D" w:rsidRDefault="0046004D">
      <w:pPr>
        <w:spacing w:after="160"/>
      </w:pPr>
    </w:p>
    <w:p w14:paraId="0B983A93" w14:textId="77777777" w:rsidR="0046004D" w:rsidRDefault="00000000">
      <w:pPr>
        <w:spacing w:after="120"/>
      </w:pPr>
      <w:r>
        <w:t xml:space="preserve">The question that </w:t>
      </w:r>
      <w:proofErr w:type="gramStart"/>
      <w:r>
        <w:t>actually gets</w:t>
      </w:r>
      <w:proofErr w:type="gramEnd"/>
      <w:r>
        <w:t xml:space="preserve"> asked — who covered this LP when the commitment was signed, for attribution and comp — is temporal. A bare </w:t>
      </w:r>
      <w:proofErr w:type="spellStart"/>
      <w:r>
        <w:t>hasRelationshipManager</w:t>
      </w:r>
      <w:proofErr w:type="spellEnd"/>
      <w:r>
        <w:t xml:space="preserve"> on Investor loses the answer the moment the RM changes. Three cases the model separates that a string renders identically:</w:t>
      </w:r>
    </w:p>
    <w:p w14:paraId="6A0BD438" w14:textId="77777777" w:rsidR="0046004D" w:rsidRDefault="00000000">
      <w:pPr>
        <w:pStyle w:val="ListParagraph"/>
        <w:numPr>
          <w:ilvl w:val="0"/>
          <w:numId w:val="1"/>
        </w:numPr>
        <w:spacing w:after="80"/>
      </w:pPr>
      <w:r>
        <w:t>A handover: one assignment closes the day before its successor opens</w:t>
      </w:r>
    </w:p>
    <w:p w14:paraId="62D958BC" w14:textId="77777777" w:rsidR="0046004D" w:rsidRDefault="00000000">
      <w:pPr>
        <w:pStyle w:val="ListParagraph"/>
        <w:numPr>
          <w:ilvl w:val="0"/>
          <w:numId w:val="1"/>
        </w:numPr>
        <w:spacing w:after="80"/>
      </w:pPr>
      <w:r>
        <w:t>A legitimate overlap: two people cover the same account in different roles simultaneously (no violation)</w:t>
      </w:r>
    </w:p>
    <w:p w14:paraId="472E0FD2" w14:textId="77777777" w:rsidR="0046004D" w:rsidRDefault="00000000">
      <w:pPr>
        <w:pStyle w:val="ListParagraph"/>
        <w:numPr>
          <w:ilvl w:val="0"/>
          <w:numId w:val="1"/>
        </w:numPr>
        <w:spacing w:after="80"/>
      </w:pPr>
      <w:r>
        <w:t>An employment gap: an ex-employee re-hired — nothing may be attributed in between</w:t>
      </w:r>
    </w:p>
    <w:p w14:paraId="4D21B7DE" w14:textId="77777777" w:rsidR="0046004D" w:rsidRDefault="00000000">
      <w:pPr>
        <w:pStyle w:val="Heading2"/>
      </w:pPr>
      <w:bookmarkStart w:id="39" w:name="_Toc237337482"/>
      <w:proofErr w:type="gramStart"/>
      <w:r>
        <w:t>12.3  The</w:t>
      </w:r>
      <w:proofErr w:type="gramEnd"/>
      <w:r>
        <w:t xml:space="preserve"> Constraint That Pays for the Extension</w:t>
      </w:r>
      <w:bookmarkEnd w:id="39"/>
    </w:p>
    <w:p w14:paraId="21978B8E" w14:textId="77777777" w:rsidR="0046004D" w:rsidRDefault="00000000">
      <w:pPr>
        <w:spacing w:after="120"/>
      </w:pPr>
      <w:r>
        <w:t xml:space="preserve">An opportunity owned by someone who was not employed on the day it was </w:t>
      </w:r>
      <w:proofErr w:type="gramStart"/>
      <w:r>
        <w:t>raised — that</w:t>
      </w:r>
      <w:proofErr w:type="gramEnd"/>
      <w:r>
        <w:t xml:space="preserve"> is how pipeline still attributed to people who left eight months ago becomes visible. In the reference book, 57 of 390 investors appear under more than one owner. But now </w:t>
      </w:r>
      <w:proofErr w:type="spellStart"/>
      <w:proofErr w:type="gramStart"/>
      <w:r>
        <w:t>every one</w:t>
      </w:r>
      <w:proofErr w:type="spellEnd"/>
      <w:proofErr w:type="gramEnd"/>
      <w:r>
        <w:t xml:space="preserve"> is explained: 32 by a dated handover, 25 by a specialist alongside an RM on the same account.</w:t>
      </w:r>
    </w:p>
    <w:p w14:paraId="4DD17A23" w14:textId="77777777" w:rsidR="0046004D" w:rsidRDefault="00000000">
      <w:pPr>
        <w:pStyle w:val="Heading2"/>
      </w:pPr>
      <w:bookmarkStart w:id="40" w:name="_Toc237337483"/>
      <w:proofErr w:type="gramStart"/>
      <w:r>
        <w:t>12.4  Identifying</w:t>
      </w:r>
      <w:proofErr w:type="gramEnd"/>
      <w:r>
        <w:t xml:space="preserve"> the Investor</w:t>
      </w:r>
      <w:bookmarkEnd w:id="40"/>
    </w:p>
    <w:p w14:paraId="7847695A" w14:textId="77777777" w:rsidR="0046004D" w:rsidRDefault="00000000">
      <w:pPr>
        <w:spacing w:after="120"/>
      </w:pPr>
      <w:r>
        <w:t>Names are the worst possible key. Identifiers carry the load and names exist to be searched: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6004D" w14:paraId="411BFCDF"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66A19D53" w14:textId="77777777" w:rsidR="0046004D" w:rsidRDefault="00000000">
            <w:r>
              <w:rPr>
                <w:b/>
                <w:bCs/>
                <w:color w:val="FFFFFF"/>
                <w:sz w:val="20"/>
                <w:szCs w:val="20"/>
              </w:rPr>
              <w:t>Identifier Type</w:t>
            </w:r>
          </w:p>
        </w:tc>
        <w:tc>
          <w:tcPr>
            <w:tcW w:w="71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611D6E43" w14:textId="77777777" w:rsidR="0046004D" w:rsidRDefault="00000000">
            <w:r>
              <w:rPr>
                <w:b/>
                <w:bCs/>
                <w:color w:val="FFFFFF"/>
                <w:sz w:val="20"/>
                <w:szCs w:val="20"/>
              </w:rPr>
              <w:t>Constraint / Note</w:t>
            </w:r>
          </w:p>
        </w:tc>
      </w:tr>
      <w:tr w:rsidR="0046004D" w14:paraId="511B7C61" w14:textId="77777777">
        <w:tblPrEx>
          <w:tblCellMar>
            <w:top w:w="0" w:type="dxa"/>
            <w:bottom w:w="0" w:type="dxa"/>
          </w:tblCellMar>
        </w:tblPrEx>
        <w:tc>
          <w:tcPr>
            <w:tcW w:w="22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9C0CC81" w14:textId="77777777" w:rsidR="0046004D" w:rsidRDefault="00000000">
            <w:r>
              <w:rPr>
                <w:sz w:val="20"/>
                <w:szCs w:val="20"/>
              </w:rPr>
              <w:t>LEI (20 chars)</w:t>
            </w:r>
          </w:p>
        </w:tc>
        <w:tc>
          <w:tcPr>
            <w:tcW w:w="71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472545F" w14:textId="77777777" w:rsidR="0046004D" w:rsidRDefault="00000000">
            <w:r>
              <w:rPr>
                <w:sz w:val="20"/>
                <w:szCs w:val="20"/>
              </w:rPr>
              <w:t>Issued, renewed annually, lapses. A lapsed LEI is still the right identifier for a commitment signed when it was valid.</w:t>
            </w:r>
          </w:p>
        </w:tc>
      </w:tr>
      <w:tr w:rsidR="0046004D" w14:paraId="453E3E40" w14:textId="77777777">
        <w:tblPrEx>
          <w:tblCellMar>
            <w:top w:w="0" w:type="dxa"/>
            <w:bottom w:w="0" w:type="dxa"/>
          </w:tblCellMar>
        </w:tblPrEx>
        <w:tc>
          <w:tcPr>
            <w:tcW w:w="2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267F7419" w14:textId="77777777" w:rsidR="0046004D" w:rsidRDefault="00000000">
            <w:r>
              <w:rPr>
                <w:sz w:val="20"/>
                <w:szCs w:val="20"/>
              </w:rPr>
              <w:t>DUNS (9 digits)</w:t>
            </w:r>
          </w:p>
        </w:tc>
        <w:tc>
          <w:tcPr>
            <w:tcW w:w="71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295BB47" w14:textId="77777777" w:rsidR="0046004D" w:rsidRDefault="00000000">
            <w:r>
              <w:rPr>
                <w:sz w:val="20"/>
                <w:szCs w:val="20"/>
              </w:rPr>
              <w:t>US identifier — absence is not a data gap for non-US entities.</w:t>
            </w:r>
          </w:p>
        </w:tc>
      </w:tr>
      <w:tr w:rsidR="0046004D" w14:paraId="20B675A0" w14:textId="77777777">
        <w:tblPrEx>
          <w:tblCellMar>
            <w:top w:w="0" w:type="dxa"/>
            <w:bottom w:w="0" w:type="dxa"/>
          </w:tblCellMar>
        </w:tblPrEx>
        <w:tc>
          <w:tcPr>
            <w:tcW w:w="22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FE70493" w14:textId="77777777" w:rsidR="0046004D" w:rsidRDefault="00000000">
            <w:r>
              <w:rPr>
                <w:sz w:val="20"/>
                <w:szCs w:val="20"/>
              </w:rPr>
              <w:t>CRD (numeric)</w:t>
            </w:r>
          </w:p>
        </w:tc>
        <w:tc>
          <w:tcPr>
            <w:tcW w:w="71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CA77EC0" w14:textId="77777777" w:rsidR="0046004D" w:rsidRDefault="00000000">
            <w:r>
              <w:rPr>
                <w:sz w:val="20"/>
                <w:szCs w:val="20"/>
              </w:rPr>
              <w:t>US regulatory register — expected only for registered advisers.</w:t>
            </w:r>
          </w:p>
        </w:tc>
      </w:tr>
      <w:tr w:rsidR="0046004D" w14:paraId="0A5B3AF2" w14:textId="77777777">
        <w:tblPrEx>
          <w:tblCellMar>
            <w:top w:w="0" w:type="dxa"/>
            <w:bottom w:w="0" w:type="dxa"/>
          </w:tblCellMar>
        </w:tblPrEx>
        <w:tc>
          <w:tcPr>
            <w:tcW w:w="2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2CB47DB" w14:textId="77777777" w:rsidR="0046004D" w:rsidRDefault="00000000">
            <w:r>
              <w:rPr>
                <w:sz w:val="20"/>
                <w:szCs w:val="20"/>
              </w:rPr>
              <w:t>GIIN (dotted form)</w:t>
            </w:r>
          </w:p>
        </w:tc>
        <w:tc>
          <w:tcPr>
            <w:tcW w:w="71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B905009" w14:textId="77777777" w:rsidR="0046004D" w:rsidRDefault="00000000">
            <w:r>
              <w:rPr>
                <w:sz w:val="20"/>
                <w:szCs w:val="20"/>
              </w:rPr>
              <w:t>FATCA identifier — required for certain non-US structures.</w:t>
            </w:r>
          </w:p>
        </w:tc>
      </w:tr>
    </w:tbl>
    <w:p w14:paraId="68F108F0" w14:textId="77777777" w:rsidR="0046004D" w:rsidRDefault="0046004D">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0EF9450C" w14:textId="77777777">
        <w:tc>
          <w:tcPr>
            <w:tcW w:w="9360" w:type="dxa"/>
            <w:tcBorders>
              <w:top w:val="single" w:sz="12" w:space="0" w:color="38A169"/>
              <w:left w:val="single" w:sz="12" w:space="0" w:color="38A169"/>
            </w:tcBorders>
            <w:shd w:val="clear" w:color="auto" w:fill="F0FFF4"/>
            <w:tcMar>
              <w:top w:w="80" w:type="dxa"/>
              <w:left w:w="120" w:type="dxa"/>
              <w:bottom w:w="0" w:type="dxa"/>
              <w:right w:w="120" w:type="dxa"/>
            </w:tcMar>
          </w:tcPr>
          <w:p w14:paraId="01F0D3C8" w14:textId="77777777" w:rsidR="0046004D" w:rsidRDefault="00000000">
            <w:r>
              <w:rPr>
                <w:b/>
                <w:bCs/>
                <w:color w:val="38A169"/>
                <w:sz w:val="20"/>
                <w:szCs w:val="20"/>
              </w:rPr>
              <w:lastRenderedPageBreak/>
              <w:t>The Load-Bearing Constraint</w:t>
            </w:r>
          </w:p>
        </w:tc>
      </w:tr>
      <w:tr w:rsidR="0046004D" w14:paraId="5E9F4020" w14:textId="77777777">
        <w:tc>
          <w:tcPr>
            <w:tcW w:w="9360" w:type="dxa"/>
            <w:tcBorders>
              <w:left w:val="single" w:sz="12" w:space="0" w:color="38A169"/>
            </w:tcBorders>
            <w:shd w:val="clear" w:color="auto" w:fill="F0FFF4"/>
            <w:tcMar>
              <w:top w:w="0" w:type="dxa"/>
              <w:left w:w="120" w:type="dxa"/>
              <w:bottom w:w="0" w:type="dxa"/>
              <w:right w:w="120" w:type="dxa"/>
            </w:tcMar>
          </w:tcPr>
          <w:p w14:paraId="0BDAA958" w14:textId="77777777" w:rsidR="0046004D" w:rsidRDefault="00000000">
            <w:pPr>
              <w:spacing w:after="80"/>
            </w:pPr>
            <w:r>
              <w:rPr>
                <w:color w:val="2D3748"/>
                <w:sz w:val="20"/>
                <w:szCs w:val="20"/>
              </w:rPr>
              <w:t>Two parties may not hold the same identifier value in the same scheme.</w:t>
            </w:r>
          </w:p>
        </w:tc>
      </w:tr>
      <w:tr w:rsidR="0046004D" w14:paraId="2FE6AE85" w14:textId="77777777">
        <w:tc>
          <w:tcPr>
            <w:tcW w:w="9360" w:type="dxa"/>
            <w:tcBorders>
              <w:left w:val="single" w:sz="12" w:space="0" w:color="38A169"/>
              <w:bottom w:val="single" w:sz="4" w:space="0" w:color="38A169"/>
            </w:tcBorders>
            <w:shd w:val="clear" w:color="auto" w:fill="F0FFF4"/>
            <w:tcMar>
              <w:top w:w="0" w:type="dxa"/>
              <w:left w:w="120" w:type="dxa"/>
              <w:bottom w:w="80" w:type="dxa"/>
              <w:right w:w="120" w:type="dxa"/>
            </w:tcMar>
          </w:tcPr>
          <w:p w14:paraId="1E6BFD72" w14:textId="77777777" w:rsidR="0046004D" w:rsidRDefault="00000000">
            <w:r>
              <w:rPr>
                <w:color w:val="2D3748"/>
                <w:sz w:val="20"/>
                <w:szCs w:val="20"/>
              </w:rPr>
              <w:t>An LEI collision is not a duplicate row — it is a statement that the two records are the same legal entity.</w:t>
            </w:r>
          </w:p>
        </w:tc>
      </w:tr>
    </w:tbl>
    <w:p w14:paraId="3FC1EF52" w14:textId="77777777" w:rsidR="0046004D" w:rsidRDefault="0046004D">
      <w:pPr>
        <w:spacing w:after="160"/>
      </w:pPr>
    </w:p>
    <w:p w14:paraId="0E06EFD0" w14:textId="77777777" w:rsidR="0046004D" w:rsidRDefault="00000000">
      <w:pPr>
        <w:pStyle w:val="Heading1"/>
        <w:pBdr>
          <w:bottom w:val="single" w:sz="8" w:space="0" w:color="C8952A"/>
        </w:pBdr>
      </w:pPr>
      <w:bookmarkStart w:id="41" w:name="_Toc237337484"/>
      <w:proofErr w:type="gramStart"/>
      <w:r>
        <w:t>13  The</w:t>
      </w:r>
      <w:proofErr w:type="gramEnd"/>
      <w:r>
        <w:t xml:space="preserve"> Recurring Rule: Derive, Do Not Store</w:t>
      </w:r>
      <w:bookmarkEnd w:id="41"/>
    </w:p>
    <w:p w14:paraId="3B2ABBEE" w14:textId="77777777" w:rsidR="0046004D" w:rsidRDefault="00000000">
      <w:pPr>
        <w:spacing w:after="120"/>
      </w:pPr>
      <w:r>
        <w:t xml:space="preserve">Nothing computable from child records is stored. Applied consistently, this rule resolved several arguments in the same direction. The active-jurisdiction case shows why it matters: deriving from status alone overstated by 21 registrations in the reference dataset — registrations that are </w:t>
      </w:r>
      <w:proofErr w:type="gramStart"/>
      <w:r>
        <w:t>Active</w:t>
      </w:r>
      <w:proofErr w:type="gramEnd"/>
      <w:r>
        <w:t xml:space="preserve"> but whose effective date is in the future.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3390524B" w14:textId="77777777">
        <w:tc>
          <w:tcPr>
            <w:tcW w:w="9360" w:type="dxa"/>
            <w:tcBorders>
              <w:top w:val="single" w:sz="12" w:space="0" w:color="3182CE"/>
              <w:left w:val="single" w:sz="12" w:space="0" w:color="3182CE"/>
            </w:tcBorders>
            <w:shd w:val="clear" w:color="auto" w:fill="EBF4FF"/>
            <w:tcMar>
              <w:top w:w="80" w:type="dxa"/>
              <w:left w:w="120" w:type="dxa"/>
              <w:bottom w:w="0" w:type="dxa"/>
              <w:right w:w="120" w:type="dxa"/>
            </w:tcMar>
          </w:tcPr>
          <w:p w14:paraId="71786A3B" w14:textId="77777777" w:rsidR="0046004D" w:rsidRDefault="00000000">
            <w:r>
              <w:rPr>
                <w:b/>
                <w:bCs/>
                <w:color w:val="3182CE"/>
                <w:sz w:val="20"/>
                <w:szCs w:val="20"/>
              </w:rPr>
              <w:t>The One Deliberate Exception</w:t>
            </w:r>
          </w:p>
        </w:tc>
      </w:tr>
      <w:tr w:rsidR="0046004D" w14:paraId="3D039B71" w14:textId="77777777">
        <w:tc>
          <w:tcPr>
            <w:tcW w:w="9360" w:type="dxa"/>
            <w:tcBorders>
              <w:left w:val="single" w:sz="12" w:space="0" w:color="3182CE"/>
            </w:tcBorders>
            <w:shd w:val="clear" w:color="auto" w:fill="EBF4FF"/>
            <w:tcMar>
              <w:top w:w="0" w:type="dxa"/>
              <w:left w:w="120" w:type="dxa"/>
              <w:bottom w:w="0" w:type="dxa"/>
              <w:right w:w="120" w:type="dxa"/>
            </w:tcMar>
          </w:tcPr>
          <w:p w14:paraId="42B1E0A3" w14:textId="77777777" w:rsidR="0046004D" w:rsidRDefault="00000000">
            <w:pPr>
              <w:spacing w:after="80"/>
            </w:pPr>
            <w:proofErr w:type="spellStart"/>
            <w:proofErr w:type="gramStart"/>
            <w:r>
              <w:rPr>
                <w:color w:val="2D3748"/>
                <w:sz w:val="20"/>
                <w:szCs w:val="20"/>
              </w:rPr>
              <w:t>pe:firstCloseDate</w:t>
            </w:r>
            <w:proofErr w:type="spellEnd"/>
            <w:proofErr w:type="gramEnd"/>
            <w:r>
              <w:rPr>
                <w:color w:val="2D3748"/>
                <w:sz w:val="20"/>
                <w:szCs w:val="20"/>
              </w:rPr>
              <w:t xml:space="preserve"> and </w:t>
            </w:r>
            <w:proofErr w:type="spellStart"/>
            <w:proofErr w:type="gramStart"/>
            <w:r>
              <w:rPr>
                <w:color w:val="2D3748"/>
                <w:sz w:val="20"/>
                <w:szCs w:val="20"/>
              </w:rPr>
              <w:t>pe:finalCloseDate</w:t>
            </w:r>
            <w:proofErr w:type="spellEnd"/>
            <w:proofErr w:type="gramEnd"/>
            <w:r>
              <w:rPr>
                <w:color w:val="2D3748"/>
                <w:sz w:val="20"/>
                <w:szCs w:val="20"/>
              </w:rPr>
              <w:t xml:space="preserve"> are derived from the close series but still written down.</w:t>
            </w:r>
          </w:p>
        </w:tc>
      </w:tr>
      <w:tr w:rsidR="0046004D" w14:paraId="14D7EFD1" w14:textId="77777777">
        <w:tc>
          <w:tcPr>
            <w:tcW w:w="9360" w:type="dxa"/>
            <w:tcBorders>
              <w:left w:val="single" w:sz="12" w:space="0" w:color="3182CE"/>
            </w:tcBorders>
            <w:shd w:val="clear" w:color="auto" w:fill="EBF4FF"/>
            <w:tcMar>
              <w:top w:w="0" w:type="dxa"/>
              <w:left w:w="120" w:type="dxa"/>
              <w:bottom w:w="0" w:type="dxa"/>
              <w:right w:w="120" w:type="dxa"/>
            </w:tcMar>
          </w:tcPr>
          <w:p w14:paraId="4E6F09CD" w14:textId="77777777" w:rsidR="0046004D" w:rsidRDefault="00000000">
            <w:pPr>
              <w:spacing w:after="80"/>
            </w:pPr>
            <w:r>
              <w:rPr>
                <w:color w:val="2D3748"/>
                <w:sz w:val="20"/>
                <w:szCs w:val="20"/>
              </w:rPr>
              <w:t xml:space="preserve">Constraints in five separate sections join through them, and inlining </w:t>
            </w:r>
            <w:proofErr w:type="gramStart"/>
            <w:r>
              <w:rPr>
                <w:color w:val="2D3748"/>
                <w:sz w:val="20"/>
                <w:szCs w:val="20"/>
              </w:rPr>
              <w:t>MIN(</w:t>
            </w:r>
            <w:proofErr w:type="gramEnd"/>
            <w:r>
              <w:rPr>
                <w:color w:val="2D3748"/>
                <w:sz w:val="20"/>
                <w:szCs w:val="20"/>
              </w:rPr>
              <w:t xml:space="preserve">) and </w:t>
            </w:r>
            <w:proofErr w:type="gramStart"/>
            <w:r>
              <w:rPr>
                <w:color w:val="2D3748"/>
                <w:sz w:val="20"/>
                <w:szCs w:val="20"/>
              </w:rPr>
              <w:t>MAX(</w:t>
            </w:r>
            <w:proofErr w:type="gramEnd"/>
            <w:r>
              <w:rPr>
                <w:color w:val="2D3748"/>
                <w:sz w:val="20"/>
                <w:szCs w:val="20"/>
              </w:rPr>
              <w:t>) at each join point would make every shape harder to read and harder to test independently.</w:t>
            </w:r>
          </w:p>
        </w:tc>
      </w:tr>
      <w:tr w:rsidR="0046004D" w14:paraId="1DE3ECF0" w14:textId="77777777">
        <w:tc>
          <w:tcPr>
            <w:tcW w:w="9360" w:type="dxa"/>
            <w:tcBorders>
              <w:left w:val="single" w:sz="12" w:space="0" w:color="3182CE"/>
            </w:tcBorders>
            <w:shd w:val="clear" w:color="auto" w:fill="EBF4FF"/>
            <w:tcMar>
              <w:top w:w="0" w:type="dxa"/>
              <w:left w:w="120" w:type="dxa"/>
              <w:bottom w:w="0" w:type="dxa"/>
              <w:right w:w="120" w:type="dxa"/>
            </w:tcMar>
          </w:tcPr>
          <w:p w14:paraId="3B17DF72" w14:textId="77777777" w:rsidR="0046004D" w:rsidRDefault="0046004D">
            <w:pPr>
              <w:spacing w:after="80"/>
            </w:pPr>
          </w:p>
        </w:tc>
      </w:tr>
      <w:tr w:rsidR="0046004D" w14:paraId="059F60AD" w14:textId="77777777">
        <w:tc>
          <w:tcPr>
            <w:tcW w:w="9360" w:type="dxa"/>
            <w:tcBorders>
              <w:left w:val="single" w:sz="12" w:space="0" w:color="3182CE"/>
              <w:bottom w:val="single" w:sz="4" w:space="0" w:color="3182CE"/>
            </w:tcBorders>
            <w:shd w:val="clear" w:color="auto" w:fill="EBF4FF"/>
            <w:tcMar>
              <w:top w:w="0" w:type="dxa"/>
              <w:left w:w="120" w:type="dxa"/>
              <w:bottom w:w="80" w:type="dxa"/>
              <w:right w:w="120" w:type="dxa"/>
            </w:tcMar>
          </w:tcPr>
          <w:p w14:paraId="4C056278" w14:textId="77777777" w:rsidR="0046004D" w:rsidRDefault="00000000">
            <w:r>
              <w:rPr>
                <w:color w:val="2D3748"/>
                <w:sz w:val="20"/>
                <w:szCs w:val="20"/>
              </w:rPr>
              <w:t xml:space="preserve">This is a stored </w:t>
            </w:r>
            <w:proofErr w:type="spellStart"/>
            <w:r>
              <w:rPr>
                <w:color w:val="2D3748"/>
                <w:sz w:val="20"/>
                <w:szCs w:val="20"/>
              </w:rPr>
              <w:t>materialisation</w:t>
            </w:r>
            <w:proofErr w:type="spellEnd"/>
            <w:r>
              <w:rPr>
                <w:color w:val="2D3748"/>
                <w:sz w:val="20"/>
                <w:szCs w:val="20"/>
              </w:rPr>
              <w:t>, proved consistent by a SHACL shape that fires if the stored value ever diverges from the computed one.</w:t>
            </w:r>
          </w:p>
        </w:tc>
      </w:tr>
    </w:tbl>
    <w:p w14:paraId="4E4C8079" w14:textId="77777777" w:rsidR="0046004D" w:rsidRDefault="0046004D">
      <w:pPr>
        <w:spacing w:after="160"/>
      </w:pPr>
    </w:p>
    <w:p w14:paraId="67E98190" w14:textId="77777777" w:rsidR="0046004D" w:rsidRDefault="00000000">
      <w:pPr>
        <w:pStyle w:val="Heading1"/>
        <w:pBdr>
          <w:bottom w:val="single" w:sz="8" w:space="0" w:color="C8952A"/>
        </w:pBdr>
      </w:pPr>
      <w:bookmarkStart w:id="42" w:name="_Toc237337485"/>
      <w:proofErr w:type="gramStart"/>
      <w:r>
        <w:t>14  Constraint</w:t>
      </w:r>
      <w:proofErr w:type="gramEnd"/>
      <w:r>
        <w:t xml:space="preserve"> Mechanics, and Six Ways They Fail Silently</w:t>
      </w:r>
      <w:bookmarkEnd w:id="42"/>
    </w:p>
    <w:p w14:paraId="041C68D4" w14:textId="77777777" w:rsidR="0046004D" w:rsidRDefault="00000000">
      <w:pPr>
        <w:spacing w:after="120"/>
      </w:pPr>
      <w:r>
        <w:t>The constraints are SHACL. Several of the failures below reported clean on invalid data, which is worse than no constraint at all.</w:t>
      </w:r>
    </w:p>
    <w:p w14:paraId="50EE35A0" w14:textId="77777777" w:rsidR="0046004D" w:rsidRDefault="00000000">
      <w:pPr>
        <w:pStyle w:val="Heading2"/>
      </w:pPr>
      <w:bookmarkStart w:id="43" w:name="_Toc237337486"/>
      <w:proofErr w:type="gramStart"/>
      <w:r>
        <w:t>14.1  Shapes</w:t>
      </w:r>
      <w:proofErr w:type="gramEnd"/>
      <w:r>
        <w:t xml:space="preserve"> Do Not Inherit</w:t>
      </w:r>
      <w:bookmarkEnd w:id="43"/>
    </w:p>
    <w:p w14:paraId="5D8C2632" w14:textId="77777777" w:rsidR="0046004D" w:rsidRDefault="00000000">
      <w:pPr>
        <w:spacing w:after="120"/>
      </w:pPr>
      <w:r>
        <w:t>SHACL has no shape inheritance. A leaf shape takes nothing from a parent shape. What looks like inheritance is target overlap: several shapes independently select the same node. This means constraints only ever accumulate — you can never loosen one, which is why the shared Fund shape says nothing about vintage (requiring vintage would make every evergreen fund invalid).</w:t>
      </w:r>
    </w:p>
    <w:p w14:paraId="64A23BA8" w14:textId="77777777" w:rsidR="0046004D" w:rsidRDefault="00000000">
      <w:pPr>
        <w:pStyle w:val="Heading2"/>
      </w:pPr>
      <w:bookmarkStart w:id="44" w:name="_Toc237337487"/>
      <w:proofErr w:type="gramStart"/>
      <w:r>
        <w:t>14.2  Five</w:t>
      </w:r>
      <w:proofErr w:type="gramEnd"/>
      <w:r>
        <w:t xml:space="preserve"> Failure Modes</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6004D" w14:paraId="13024C39" w14:textId="77777777">
        <w:tblPrEx>
          <w:tblCellMar>
            <w:top w:w="0" w:type="dxa"/>
            <w:bottom w:w="0" w:type="dxa"/>
          </w:tblCellMar>
        </w:tblPrEx>
        <w:tc>
          <w:tcPr>
            <w:tcW w:w="28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3ED780A9" w14:textId="77777777" w:rsidR="0046004D" w:rsidRDefault="00000000">
            <w:r>
              <w:rPr>
                <w:b/>
                <w:bCs/>
                <w:color w:val="FFFFFF"/>
                <w:sz w:val="20"/>
                <w:szCs w:val="20"/>
              </w:rPr>
              <w:t>Failure</w:t>
            </w:r>
          </w:p>
        </w:tc>
        <w:tc>
          <w:tcPr>
            <w:tcW w:w="65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6C6FAB0F" w14:textId="77777777" w:rsidR="0046004D" w:rsidRDefault="00000000">
            <w:r>
              <w:rPr>
                <w:b/>
                <w:bCs/>
                <w:color w:val="FFFFFF"/>
                <w:sz w:val="20"/>
                <w:szCs w:val="20"/>
              </w:rPr>
              <w:t>Impact</w:t>
            </w:r>
          </w:p>
        </w:tc>
      </w:tr>
      <w:tr w:rsidR="0046004D" w14:paraId="29C1E4E0" w14:textId="77777777">
        <w:tblPrEx>
          <w:tblCellMar>
            <w:top w:w="0" w:type="dxa"/>
            <w:bottom w:w="0" w:type="dxa"/>
          </w:tblCellMar>
        </w:tblPrEx>
        <w:tc>
          <w:tcPr>
            <w:tcW w:w="2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A32DE3A" w14:textId="77777777" w:rsidR="0046004D" w:rsidRDefault="00000000">
            <w:proofErr w:type="spellStart"/>
            <w:proofErr w:type="gramStart"/>
            <w:r>
              <w:rPr>
                <w:sz w:val="20"/>
                <w:szCs w:val="20"/>
              </w:rPr>
              <w:t>sh:severity</w:t>
            </w:r>
            <w:proofErr w:type="spellEnd"/>
            <w:proofErr w:type="gramEnd"/>
            <w:r>
              <w:rPr>
                <w:sz w:val="20"/>
                <w:szCs w:val="20"/>
              </w:rPr>
              <w:t xml:space="preserve"> on the constraint, not the shape</w:t>
            </w:r>
          </w:p>
        </w:tc>
        <w:tc>
          <w:tcPr>
            <w:tcW w:w="65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C8447C3" w14:textId="77777777" w:rsidR="0046004D" w:rsidRDefault="00000000">
            <w:r>
              <w:rPr>
                <w:sz w:val="20"/>
                <w:szCs w:val="20"/>
              </w:rPr>
              <w:t xml:space="preserve">Severity inside an </w:t>
            </w:r>
            <w:proofErr w:type="spellStart"/>
            <w:proofErr w:type="gramStart"/>
            <w:r>
              <w:rPr>
                <w:sz w:val="20"/>
                <w:szCs w:val="20"/>
              </w:rPr>
              <w:t>sh:sparql</w:t>
            </w:r>
            <w:proofErr w:type="spellEnd"/>
            <w:proofErr w:type="gramEnd"/>
            <w:r>
              <w:rPr>
                <w:sz w:val="20"/>
                <w:szCs w:val="20"/>
              </w:rPr>
              <w:t xml:space="preserve"> node is silently ignored; results come back as full violations. Hit four times in development.</w:t>
            </w:r>
          </w:p>
        </w:tc>
      </w:tr>
      <w:tr w:rsidR="0046004D" w14:paraId="2574FD5B" w14:textId="77777777">
        <w:tblPrEx>
          <w:tblCellMar>
            <w:top w:w="0" w:type="dxa"/>
            <w:bottom w:w="0" w:type="dxa"/>
          </w:tblCellMar>
        </w:tblPrEx>
        <w:tc>
          <w:tcPr>
            <w:tcW w:w="28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E76218C" w14:textId="77777777" w:rsidR="0046004D" w:rsidRDefault="00000000">
            <w:r>
              <w:rPr>
                <w:sz w:val="20"/>
                <w:szCs w:val="20"/>
              </w:rPr>
              <w:t xml:space="preserve">Date vs. </w:t>
            </w:r>
            <w:proofErr w:type="spellStart"/>
            <w:r>
              <w:rPr>
                <w:sz w:val="20"/>
                <w:szCs w:val="20"/>
              </w:rPr>
              <w:t>dateTime</w:t>
            </w:r>
            <w:proofErr w:type="spellEnd"/>
            <w:r>
              <w:rPr>
                <w:sz w:val="20"/>
                <w:szCs w:val="20"/>
              </w:rPr>
              <w:t xml:space="preserve"> mismatch</w:t>
            </w:r>
          </w:p>
        </w:tc>
        <w:tc>
          <w:tcPr>
            <w:tcW w:w="65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4F1A5DD" w14:textId="77777777" w:rsidR="0046004D" w:rsidRDefault="00000000">
            <w:proofErr w:type="spellStart"/>
            <w:r>
              <w:rPr>
                <w:sz w:val="20"/>
                <w:szCs w:val="20"/>
              </w:rPr>
              <w:t>rdflib</w:t>
            </w:r>
            <w:proofErr w:type="spellEnd"/>
            <w:r>
              <w:rPr>
                <w:sz w:val="20"/>
                <w:szCs w:val="20"/>
              </w:rPr>
              <w:t xml:space="preserve"> evaluates </w:t>
            </w:r>
            <w:proofErr w:type="spellStart"/>
            <w:proofErr w:type="gramStart"/>
            <w:r>
              <w:rPr>
                <w:sz w:val="20"/>
                <w:szCs w:val="20"/>
              </w:rPr>
              <w:t>xsd:date</w:t>
            </w:r>
            <w:proofErr w:type="spellEnd"/>
            <w:proofErr w:type="gramEnd"/>
            <w:r>
              <w:rPr>
                <w:sz w:val="20"/>
                <w:szCs w:val="20"/>
              </w:rPr>
              <w:t xml:space="preserve"> compared against </w:t>
            </w:r>
            <w:proofErr w:type="gramStart"/>
            <w:r>
              <w:rPr>
                <w:sz w:val="20"/>
                <w:szCs w:val="20"/>
              </w:rPr>
              <w:t>NOW(</w:t>
            </w:r>
            <w:proofErr w:type="gramEnd"/>
            <w:r>
              <w:rPr>
                <w:sz w:val="20"/>
                <w:szCs w:val="20"/>
              </w:rPr>
              <w:t>) as true. Future dates tested as past — flagged every fund still in market.</w:t>
            </w:r>
          </w:p>
        </w:tc>
      </w:tr>
      <w:tr w:rsidR="0046004D" w14:paraId="07735FFA" w14:textId="77777777">
        <w:tblPrEx>
          <w:tblCellMar>
            <w:top w:w="0" w:type="dxa"/>
            <w:bottom w:w="0" w:type="dxa"/>
          </w:tblCellMar>
        </w:tblPrEx>
        <w:tc>
          <w:tcPr>
            <w:tcW w:w="2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4285F62" w14:textId="77777777" w:rsidR="0046004D" w:rsidRDefault="00000000">
            <w:proofErr w:type="spellStart"/>
            <w:proofErr w:type="gramStart"/>
            <w:r>
              <w:rPr>
                <w:sz w:val="20"/>
                <w:szCs w:val="20"/>
              </w:rPr>
              <w:t>owl:inverseOf</w:t>
            </w:r>
            <w:proofErr w:type="spellEnd"/>
            <w:proofErr w:type="gramEnd"/>
            <w:r>
              <w:rPr>
                <w:sz w:val="20"/>
                <w:szCs w:val="20"/>
              </w:rPr>
              <w:t xml:space="preserve"> at validation time</w:t>
            </w:r>
          </w:p>
        </w:tc>
        <w:tc>
          <w:tcPr>
            <w:tcW w:w="65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BDFE57A" w14:textId="77777777" w:rsidR="0046004D" w:rsidRDefault="00000000">
            <w:r>
              <w:rPr>
                <w:sz w:val="20"/>
                <w:szCs w:val="20"/>
              </w:rPr>
              <w:t>Without a reasoner, a link asserted in one direction is invisible to constraints traversing the other. Made three constraints report false cleans.</w:t>
            </w:r>
          </w:p>
        </w:tc>
      </w:tr>
      <w:tr w:rsidR="0046004D" w14:paraId="1BB74A02" w14:textId="77777777">
        <w:tblPrEx>
          <w:tblCellMar>
            <w:top w:w="0" w:type="dxa"/>
            <w:bottom w:w="0" w:type="dxa"/>
          </w:tblCellMar>
        </w:tblPrEx>
        <w:tc>
          <w:tcPr>
            <w:tcW w:w="28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035A799" w14:textId="77777777" w:rsidR="0046004D" w:rsidRDefault="00000000">
            <w:r>
              <w:rPr>
                <w:sz w:val="20"/>
                <w:szCs w:val="20"/>
              </w:rPr>
              <w:lastRenderedPageBreak/>
              <w:t>Money literals</w:t>
            </w:r>
          </w:p>
        </w:tc>
        <w:tc>
          <w:tcPr>
            <w:tcW w:w="65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56B981C" w14:textId="77777777" w:rsidR="0046004D" w:rsidRDefault="00000000">
            <w:r>
              <w:rPr>
                <w:sz w:val="20"/>
                <w:szCs w:val="20"/>
              </w:rPr>
              <w:t>Turtle types 250000 as an integer; the decimal constraint then fails. Write 250000.00.</w:t>
            </w:r>
          </w:p>
        </w:tc>
      </w:tr>
      <w:tr w:rsidR="0046004D" w14:paraId="4835F7E1" w14:textId="77777777">
        <w:tblPrEx>
          <w:tblCellMar>
            <w:top w:w="0" w:type="dxa"/>
            <w:bottom w:w="0" w:type="dxa"/>
          </w:tblCellMar>
        </w:tblPrEx>
        <w:tc>
          <w:tcPr>
            <w:tcW w:w="2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19EEE6A" w14:textId="77777777" w:rsidR="0046004D" w:rsidRDefault="00000000">
            <w:proofErr w:type="spellStart"/>
            <w:r>
              <w:rPr>
                <w:sz w:val="20"/>
                <w:szCs w:val="20"/>
              </w:rPr>
              <w:t>pySHACL</w:t>
            </w:r>
            <w:proofErr w:type="spellEnd"/>
            <w:r>
              <w:rPr>
                <w:sz w:val="20"/>
                <w:szCs w:val="20"/>
              </w:rPr>
              <w:t xml:space="preserve"> performance</w:t>
            </w:r>
          </w:p>
        </w:tc>
        <w:tc>
          <w:tcPr>
            <w:tcW w:w="65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92D417C" w14:textId="77777777" w:rsidR="0046004D" w:rsidRDefault="00000000">
            <w:r>
              <w:rPr>
                <w:sz w:val="20"/>
                <w:szCs w:val="20"/>
              </w:rPr>
              <w:t>Re-executes each SPARQL constraint per focus node and goes quadratic: 5.8k triples in 5s, 28k in 29s, 95k did not finish in 15 minutes. Use set-based evaluation.</w:t>
            </w:r>
          </w:p>
        </w:tc>
      </w:tr>
    </w:tbl>
    <w:p w14:paraId="597357AA" w14:textId="77777777" w:rsidR="0046004D" w:rsidRDefault="0046004D">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780628E4" w14:textId="77777777">
        <w:tc>
          <w:tcPr>
            <w:tcW w:w="9360" w:type="dxa"/>
            <w:tcBorders>
              <w:top w:val="single" w:sz="12" w:space="0" w:color="E53E3E"/>
              <w:left w:val="single" w:sz="12" w:space="0" w:color="E53E3E"/>
            </w:tcBorders>
            <w:shd w:val="clear" w:color="auto" w:fill="FFF5F5"/>
            <w:tcMar>
              <w:top w:w="80" w:type="dxa"/>
              <w:left w:w="120" w:type="dxa"/>
              <w:bottom w:w="0" w:type="dxa"/>
              <w:right w:w="120" w:type="dxa"/>
            </w:tcMar>
          </w:tcPr>
          <w:p w14:paraId="38F7084C" w14:textId="77777777" w:rsidR="0046004D" w:rsidRDefault="00000000">
            <w:r>
              <w:rPr>
                <w:b/>
                <w:bCs/>
                <w:color w:val="E53E3E"/>
                <w:sz w:val="20"/>
                <w:szCs w:val="20"/>
              </w:rPr>
              <w:t>Additional Traps Found</w:t>
            </w:r>
          </w:p>
        </w:tc>
      </w:tr>
      <w:tr w:rsidR="0046004D" w14:paraId="1CC1E224" w14:textId="77777777">
        <w:tc>
          <w:tcPr>
            <w:tcW w:w="9360" w:type="dxa"/>
            <w:tcBorders>
              <w:left w:val="single" w:sz="12" w:space="0" w:color="E53E3E"/>
            </w:tcBorders>
            <w:shd w:val="clear" w:color="auto" w:fill="FFF5F5"/>
            <w:tcMar>
              <w:top w:w="0" w:type="dxa"/>
              <w:left w:w="120" w:type="dxa"/>
              <w:bottom w:w="0" w:type="dxa"/>
              <w:right w:w="120" w:type="dxa"/>
            </w:tcMar>
          </w:tcPr>
          <w:p w14:paraId="1F5BB881" w14:textId="77777777" w:rsidR="0046004D" w:rsidRDefault="00000000">
            <w:pPr>
              <w:spacing w:after="80"/>
            </w:pPr>
            <w:r>
              <w:rPr>
                <w:color w:val="2D3748"/>
                <w:sz w:val="20"/>
                <w:szCs w:val="20"/>
              </w:rPr>
              <w:t xml:space="preserve">Date arithmetic: subtracting two </w:t>
            </w:r>
            <w:proofErr w:type="spellStart"/>
            <w:proofErr w:type="gramStart"/>
            <w:r>
              <w:rPr>
                <w:color w:val="2D3748"/>
                <w:sz w:val="20"/>
                <w:szCs w:val="20"/>
              </w:rPr>
              <w:t>xsd:dates</w:t>
            </w:r>
            <w:proofErr w:type="spellEnd"/>
            <w:proofErr w:type="gramEnd"/>
            <w:r>
              <w:rPr>
                <w:color w:val="2D3748"/>
                <w:sz w:val="20"/>
                <w:szCs w:val="20"/>
              </w:rPr>
              <w:t xml:space="preserve"> and comparing to a duration literal returns NO rows in </w:t>
            </w:r>
            <w:proofErr w:type="spellStart"/>
            <w:r>
              <w:rPr>
                <w:color w:val="2D3748"/>
                <w:sz w:val="20"/>
                <w:szCs w:val="20"/>
              </w:rPr>
              <w:t>rdflib</w:t>
            </w:r>
            <w:proofErr w:type="spellEnd"/>
            <w:r>
              <w:rPr>
                <w:color w:val="2D3748"/>
                <w:sz w:val="20"/>
                <w:szCs w:val="20"/>
              </w:rPr>
              <w:t xml:space="preserve"> — not an error, an empty answer.</w:t>
            </w:r>
          </w:p>
        </w:tc>
      </w:tr>
      <w:tr w:rsidR="0046004D" w14:paraId="7730D98E" w14:textId="77777777">
        <w:tc>
          <w:tcPr>
            <w:tcW w:w="9360" w:type="dxa"/>
            <w:tcBorders>
              <w:left w:val="single" w:sz="12" w:space="0" w:color="E53E3E"/>
              <w:bottom w:val="single" w:sz="4" w:space="0" w:color="E53E3E"/>
            </w:tcBorders>
            <w:shd w:val="clear" w:color="auto" w:fill="FFF5F5"/>
            <w:tcMar>
              <w:top w:w="0" w:type="dxa"/>
              <w:left w:w="120" w:type="dxa"/>
              <w:bottom w:w="80" w:type="dxa"/>
              <w:right w:w="120" w:type="dxa"/>
            </w:tcMar>
          </w:tcPr>
          <w:p w14:paraId="550D382C" w14:textId="77777777" w:rsidR="0046004D" w:rsidRDefault="00000000">
            <w:r>
              <w:rPr>
                <w:color w:val="2D3748"/>
                <w:sz w:val="20"/>
                <w:szCs w:val="20"/>
              </w:rPr>
              <w:t xml:space="preserve">Graph </w:t>
            </w:r>
            <w:proofErr w:type="gramStart"/>
            <w:r>
              <w:rPr>
                <w:color w:val="2D3748"/>
                <w:sz w:val="20"/>
                <w:szCs w:val="20"/>
              </w:rPr>
              <w:t>slicing:</w:t>
            </w:r>
            <w:proofErr w:type="gramEnd"/>
            <w:r>
              <w:rPr>
                <w:color w:val="2D3748"/>
                <w:sz w:val="20"/>
                <w:szCs w:val="20"/>
              </w:rPr>
              <w:t xml:space="preserve"> slicing a graph to make validation tractable </w:t>
            </w:r>
            <w:proofErr w:type="gramStart"/>
            <w:r>
              <w:rPr>
                <w:color w:val="2D3748"/>
                <w:sz w:val="20"/>
                <w:szCs w:val="20"/>
              </w:rPr>
              <w:t>can itself</w:t>
            </w:r>
            <w:proofErr w:type="gramEnd"/>
            <w:r>
              <w:rPr>
                <w:color w:val="2D3748"/>
                <w:sz w:val="20"/>
                <w:szCs w:val="20"/>
              </w:rPr>
              <w:t xml:space="preserve"> produce false violations if employment records are dropped from the slice.</w:t>
            </w:r>
          </w:p>
        </w:tc>
      </w:tr>
    </w:tbl>
    <w:p w14:paraId="28171A2B" w14:textId="77777777" w:rsidR="0046004D" w:rsidRDefault="0046004D">
      <w:pPr>
        <w:spacing w:after="160"/>
      </w:pPr>
    </w:p>
    <w:p w14:paraId="1953A795" w14:textId="77777777" w:rsidR="0046004D" w:rsidRDefault="00000000">
      <w:pPr>
        <w:pStyle w:val="Heading1"/>
        <w:pBdr>
          <w:bottom w:val="single" w:sz="8" w:space="0" w:color="C8952A"/>
        </w:pBdr>
      </w:pPr>
      <w:bookmarkStart w:id="45" w:name="_Toc237337488"/>
      <w:proofErr w:type="gramStart"/>
      <w:r>
        <w:t>15  The</w:t>
      </w:r>
      <w:proofErr w:type="gramEnd"/>
      <w:r>
        <w:t xml:space="preserve"> Reference Dataset</w:t>
      </w:r>
      <w:bookmarkEnd w:id="45"/>
    </w:p>
    <w:p w14:paraId="3950CF4E" w14:textId="77777777" w:rsidR="0046004D" w:rsidRDefault="00000000">
      <w:pPr>
        <w:spacing w:after="120"/>
      </w:pPr>
      <w:r>
        <w:t>A synthetic book was generated to exercise the model at volume: 123,159 quads across fourteen named graphs, deterministic from a fixed seed.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46004D" w14:paraId="6936CE49" w14:textId="77777777">
        <w:tblPrEx>
          <w:tblCellMar>
            <w:top w:w="0" w:type="dxa"/>
            <w:bottom w:w="0" w:type="dxa"/>
          </w:tblCellMar>
        </w:tblPrEx>
        <w:tc>
          <w:tcPr>
            <w:tcW w:w="36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6C2DA472" w14:textId="77777777" w:rsidR="0046004D" w:rsidRDefault="00000000">
            <w:r>
              <w:rPr>
                <w:b/>
                <w:bCs/>
                <w:color w:val="FFFFFF"/>
                <w:sz w:val="20"/>
                <w:szCs w:val="20"/>
              </w:rPr>
              <w:t>Metric</w:t>
            </w:r>
          </w:p>
        </w:tc>
        <w:tc>
          <w:tcPr>
            <w:tcW w:w="57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2E0AA3B3" w14:textId="77777777" w:rsidR="0046004D" w:rsidRDefault="00000000">
            <w:r>
              <w:rPr>
                <w:b/>
                <w:bCs/>
                <w:color w:val="FFFFFF"/>
                <w:sz w:val="20"/>
                <w:szCs w:val="20"/>
              </w:rPr>
              <w:t>Value</w:t>
            </w:r>
          </w:p>
        </w:tc>
      </w:tr>
      <w:tr w:rsidR="0046004D" w14:paraId="4864E49D" w14:textId="77777777">
        <w:tblPrEx>
          <w:tblCellMar>
            <w:top w:w="0" w:type="dxa"/>
            <w:bottom w:w="0" w:type="dxa"/>
          </w:tblCellMar>
        </w:tblPrEx>
        <w:tc>
          <w:tcPr>
            <w:tcW w:w="3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694B290" w14:textId="77777777" w:rsidR="0046004D" w:rsidRDefault="00000000">
            <w:r>
              <w:rPr>
                <w:sz w:val="20"/>
                <w:szCs w:val="20"/>
              </w:rPr>
              <w:t>Total quads</w:t>
            </w:r>
          </w:p>
        </w:tc>
        <w:tc>
          <w:tcPr>
            <w:tcW w:w="57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1933BAB" w14:textId="77777777" w:rsidR="0046004D" w:rsidRDefault="00000000">
            <w:r>
              <w:rPr>
                <w:sz w:val="20"/>
                <w:szCs w:val="20"/>
              </w:rPr>
              <w:t>123,159 across 14 named graphs</w:t>
            </w:r>
          </w:p>
        </w:tc>
      </w:tr>
      <w:tr w:rsidR="0046004D" w14:paraId="619DCCA5" w14:textId="77777777">
        <w:tblPrEx>
          <w:tblCellMar>
            <w:top w:w="0" w:type="dxa"/>
            <w:bottom w:w="0" w:type="dxa"/>
          </w:tblCellMar>
        </w:tblPrEx>
        <w:tc>
          <w:tcPr>
            <w:tcW w:w="36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1A33E8A" w14:textId="77777777" w:rsidR="0046004D" w:rsidRDefault="00000000">
            <w:r>
              <w:rPr>
                <w:sz w:val="20"/>
                <w:szCs w:val="20"/>
              </w:rPr>
              <w:t>Products</w:t>
            </w:r>
          </w:p>
        </w:tc>
        <w:tc>
          <w:tcPr>
            <w:tcW w:w="57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EA3165D" w14:textId="77777777" w:rsidR="0046004D" w:rsidRDefault="00000000">
            <w:r>
              <w:rPr>
                <w:sz w:val="20"/>
                <w:szCs w:val="20"/>
              </w:rPr>
              <w:t>100 (79 Active)</w:t>
            </w:r>
          </w:p>
        </w:tc>
      </w:tr>
      <w:tr w:rsidR="0046004D" w14:paraId="68101F4F" w14:textId="77777777">
        <w:tblPrEx>
          <w:tblCellMar>
            <w:top w:w="0" w:type="dxa"/>
            <w:bottom w:w="0" w:type="dxa"/>
          </w:tblCellMar>
        </w:tblPrEx>
        <w:tc>
          <w:tcPr>
            <w:tcW w:w="3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DC0AE21" w14:textId="77777777" w:rsidR="0046004D" w:rsidRDefault="00000000">
            <w:r>
              <w:rPr>
                <w:sz w:val="20"/>
                <w:szCs w:val="20"/>
              </w:rPr>
              <w:t>Closed-end funds</w:t>
            </w:r>
          </w:p>
        </w:tc>
        <w:tc>
          <w:tcPr>
            <w:tcW w:w="57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3E5202C" w14:textId="77777777" w:rsidR="0046004D" w:rsidRDefault="00000000">
            <w:r>
              <w:rPr>
                <w:sz w:val="20"/>
                <w:szCs w:val="20"/>
              </w:rPr>
              <w:t>200 (25 with extended final closes)</w:t>
            </w:r>
          </w:p>
        </w:tc>
      </w:tr>
      <w:tr w:rsidR="0046004D" w14:paraId="52FBD138" w14:textId="77777777">
        <w:tblPrEx>
          <w:tblCellMar>
            <w:top w:w="0" w:type="dxa"/>
            <w:bottom w:w="0" w:type="dxa"/>
          </w:tblCellMar>
        </w:tblPrEx>
        <w:tc>
          <w:tcPr>
            <w:tcW w:w="36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D8E060C" w14:textId="77777777" w:rsidR="0046004D" w:rsidRDefault="00000000">
            <w:r>
              <w:rPr>
                <w:sz w:val="20"/>
                <w:szCs w:val="20"/>
              </w:rPr>
              <w:t>Marketing registrations</w:t>
            </w:r>
          </w:p>
        </w:tc>
        <w:tc>
          <w:tcPr>
            <w:tcW w:w="57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C8AC6DC" w14:textId="77777777" w:rsidR="0046004D" w:rsidRDefault="00000000">
            <w:r>
              <w:rPr>
                <w:sz w:val="20"/>
                <w:szCs w:val="20"/>
              </w:rPr>
              <w:t>440 (136 not active)</w:t>
            </w:r>
          </w:p>
        </w:tc>
      </w:tr>
      <w:tr w:rsidR="0046004D" w14:paraId="551651A7" w14:textId="77777777">
        <w:tblPrEx>
          <w:tblCellMar>
            <w:top w:w="0" w:type="dxa"/>
            <w:bottom w:w="0" w:type="dxa"/>
          </w:tblCellMar>
        </w:tblPrEx>
        <w:tc>
          <w:tcPr>
            <w:tcW w:w="3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1962F62" w14:textId="77777777" w:rsidR="0046004D" w:rsidRDefault="00000000">
            <w:r>
              <w:rPr>
                <w:sz w:val="20"/>
                <w:szCs w:val="20"/>
              </w:rPr>
              <w:t>Investors</w:t>
            </w:r>
          </w:p>
        </w:tc>
        <w:tc>
          <w:tcPr>
            <w:tcW w:w="57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9A47482" w14:textId="77777777" w:rsidR="0046004D" w:rsidRDefault="00000000">
            <w:r>
              <w:rPr>
                <w:sz w:val="20"/>
                <w:szCs w:val="20"/>
              </w:rPr>
              <w:t>390 (57 under more than one owner — all now explained)</w:t>
            </w:r>
          </w:p>
        </w:tc>
      </w:tr>
      <w:tr w:rsidR="0046004D" w14:paraId="5C691647" w14:textId="77777777">
        <w:tblPrEx>
          <w:tblCellMar>
            <w:top w:w="0" w:type="dxa"/>
            <w:bottom w:w="0" w:type="dxa"/>
          </w:tblCellMar>
        </w:tblPrEx>
        <w:tc>
          <w:tcPr>
            <w:tcW w:w="36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44756DF" w14:textId="77777777" w:rsidR="0046004D" w:rsidRDefault="00000000">
            <w:r>
              <w:rPr>
                <w:sz w:val="20"/>
                <w:szCs w:val="20"/>
              </w:rPr>
              <w:t>Opportunities</w:t>
            </w:r>
          </w:p>
        </w:tc>
        <w:tc>
          <w:tcPr>
            <w:tcW w:w="57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FDC95BB" w14:textId="77777777" w:rsidR="0046004D" w:rsidRDefault="00000000">
            <w:r>
              <w:rPr>
                <w:sz w:val="20"/>
                <w:szCs w:val="20"/>
              </w:rPr>
              <w:t>750 (696 where attribution matches coverage)</w:t>
            </w:r>
          </w:p>
        </w:tc>
      </w:tr>
      <w:tr w:rsidR="0046004D" w14:paraId="4A94D9A9" w14:textId="77777777">
        <w:tblPrEx>
          <w:tblCellMar>
            <w:top w:w="0" w:type="dxa"/>
            <w:bottom w:w="0" w:type="dxa"/>
          </w:tblCellMar>
        </w:tblPrEx>
        <w:tc>
          <w:tcPr>
            <w:tcW w:w="3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688787C" w14:textId="77777777" w:rsidR="0046004D" w:rsidRDefault="00000000">
            <w:r>
              <w:rPr>
                <w:sz w:val="20"/>
                <w:szCs w:val="20"/>
              </w:rPr>
              <w:t>Constraint shapes</w:t>
            </w:r>
          </w:p>
        </w:tc>
        <w:tc>
          <w:tcPr>
            <w:tcW w:w="57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C830CF4" w14:textId="77777777" w:rsidR="0046004D" w:rsidRDefault="00000000">
            <w:r>
              <w:rPr>
                <w:sz w:val="20"/>
                <w:szCs w:val="20"/>
              </w:rPr>
              <w:t>162 set-based checks — 0 violations</w:t>
            </w:r>
          </w:p>
        </w:tc>
      </w:tr>
      <w:tr w:rsidR="0046004D" w14:paraId="1C1CD1CE" w14:textId="77777777">
        <w:tblPrEx>
          <w:tblCellMar>
            <w:top w:w="0" w:type="dxa"/>
            <w:bottom w:w="0" w:type="dxa"/>
          </w:tblCellMar>
        </w:tblPrEx>
        <w:tc>
          <w:tcPr>
            <w:tcW w:w="36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B6F0D53" w14:textId="77777777" w:rsidR="0046004D" w:rsidRDefault="00000000">
            <w:r>
              <w:rPr>
                <w:sz w:val="20"/>
                <w:szCs w:val="20"/>
              </w:rPr>
              <w:t>Advisories (by design)</w:t>
            </w:r>
          </w:p>
        </w:tc>
        <w:tc>
          <w:tcPr>
            <w:tcW w:w="57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E5EF653" w14:textId="77777777" w:rsidR="0046004D" w:rsidRDefault="00000000">
            <w:r>
              <w:rPr>
                <w:sz w:val="20"/>
                <w:szCs w:val="20"/>
              </w:rPr>
              <w:t>52 owner/RM divergences · 26 extended closes · 17 deal-by-deal + soft hurdle combos</w:t>
            </w:r>
          </w:p>
        </w:tc>
      </w:tr>
    </w:tbl>
    <w:p w14:paraId="18A984DC" w14:textId="77777777" w:rsidR="0046004D" w:rsidRDefault="0046004D">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42F22E98" w14:textId="77777777">
        <w:tc>
          <w:tcPr>
            <w:tcW w:w="9360" w:type="dxa"/>
            <w:tcBorders>
              <w:top w:val="single" w:sz="12" w:space="0" w:color="38A169"/>
              <w:left w:val="single" w:sz="12" w:space="0" w:color="38A169"/>
            </w:tcBorders>
            <w:shd w:val="clear" w:color="auto" w:fill="F0FFF4"/>
            <w:tcMar>
              <w:top w:w="80" w:type="dxa"/>
              <w:left w:w="120" w:type="dxa"/>
              <w:bottom w:w="0" w:type="dxa"/>
              <w:right w:w="120" w:type="dxa"/>
            </w:tcMar>
          </w:tcPr>
          <w:p w14:paraId="3A5AA82A" w14:textId="77777777" w:rsidR="0046004D" w:rsidRDefault="00000000">
            <w:r>
              <w:rPr>
                <w:b/>
                <w:bCs/>
                <w:color w:val="38A169"/>
                <w:sz w:val="20"/>
                <w:szCs w:val="20"/>
              </w:rPr>
              <w:t>Verification</w:t>
            </w:r>
          </w:p>
        </w:tc>
      </w:tr>
      <w:tr w:rsidR="0046004D" w14:paraId="716CB050" w14:textId="77777777">
        <w:tc>
          <w:tcPr>
            <w:tcW w:w="9360" w:type="dxa"/>
            <w:tcBorders>
              <w:left w:val="single" w:sz="12" w:space="0" w:color="38A169"/>
            </w:tcBorders>
            <w:shd w:val="clear" w:color="auto" w:fill="F0FFF4"/>
            <w:tcMar>
              <w:top w:w="0" w:type="dxa"/>
              <w:left w:w="120" w:type="dxa"/>
              <w:bottom w:w="0" w:type="dxa"/>
              <w:right w:w="120" w:type="dxa"/>
            </w:tcMar>
          </w:tcPr>
          <w:p w14:paraId="5FF2672A" w14:textId="77777777" w:rsidR="0046004D" w:rsidRDefault="00000000">
            <w:pPr>
              <w:spacing w:after="80"/>
            </w:pPr>
            <w:r>
              <w:rPr>
                <w:color w:val="2D3748"/>
                <w:sz w:val="20"/>
                <w:szCs w:val="20"/>
              </w:rPr>
              <w:t>162 set-based constraint checks pass with zero violations across the full book.</w:t>
            </w:r>
          </w:p>
        </w:tc>
      </w:tr>
      <w:tr w:rsidR="0046004D" w14:paraId="4461027D" w14:textId="77777777">
        <w:tc>
          <w:tcPr>
            <w:tcW w:w="9360" w:type="dxa"/>
            <w:tcBorders>
              <w:left w:val="single" w:sz="12" w:space="0" w:color="38A169"/>
            </w:tcBorders>
            <w:shd w:val="clear" w:color="auto" w:fill="F0FFF4"/>
            <w:tcMar>
              <w:top w:w="0" w:type="dxa"/>
              <w:left w:w="120" w:type="dxa"/>
              <w:bottom w:w="0" w:type="dxa"/>
              <w:right w:w="120" w:type="dxa"/>
            </w:tcMar>
          </w:tcPr>
          <w:p w14:paraId="71B4E924" w14:textId="77777777" w:rsidR="0046004D" w:rsidRDefault="00000000">
            <w:pPr>
              <w:spacing w:after="80"/>
            </w:pPr>
            <w:r>
              <w:rPr>
                <w:color w:val="2D3748"/>
                <w:sz w:val="20"/>
                <w:szCs w:val="20"/>
              </w:rPr>
              <w:t>Real SHACL shapes conform over the whole Meridian dataset and over sound slices of the generated one.</w:t>
            </w:r>
          </w:p>
        </w:tc>
      </w:tr>
      <w:tr w:rsidR="0046004D" w14:paraId="71BCA2A5" w14:textId="77777777">
        <w:tc>
          <w:tcPr>
            <w:tcW w:w="9360" w:type="dxa"/>
            <w:tcBorders>
              <w:left w:val="single" w:sz="12" w:space="0" w:color="38A169"/>
              <w:bottom w:val="single" w:sz="4" w:space="0" w:color="38A169"/>
            </w:tcBorders>
            <w:shd w:val="clear" w:color="auto" w:fill="F0FFF4"/>
            <w:tcMar>
              <w:top w:w="0" w:type="dxa"/>
              <w:left w:w="120" w:type="dxa"/>
              <w:bottom w:w="80" w:type="dxa"/>
              <w:right w:w="120" w:type="dxa"/>
            </w:tcMar>
          </w:tcPr>
          <w:p w14:paraId="58A94B5A" w14:textId="77777777" w:rsidR="0046004D" w:rsidRDefault="00000000">
            <w:r>
              <w:rPr>
                <w:color w:val="2D3748"/>
                <w:sz w:val="20"/>
                <w:szCs w:val="20"/>
              </w:rPr>
              <w:t>Advisories fire on clean data by design — they represent valid but unusual configurations, not errors.</w:t>
            </w:r>
          </w:p>
        </w:tc>
      </w:tr>
    </w:tbl>
    <w:p w14:paraId="6CB883CF" w14:textId="77777777" w:rsidR="0046004D" w:rsidRDefault="0046004D">
      <w:pPr>
        <w:spacing w:after="160"/>
      </w:pPr>
    </w:p>
    <w:p w14:paraId="7DA57D61" w14:textId="77777777" w:rsidR="0046004D" w:rsidRDefault="00000000">
      <w:pPr>
        <w:pStyle w:val="Heading1"/>
        <w:pBdr>
          <w:bottom w:val="single" w:sz="8" w:space="0" w:color="C8952A"/>
        </w:pBdr>
      </w:pPr>
      <w:bookmarkStart w:id="46" w:name="_Toc237337489"/>
      <w:proofErr w:type="gramStart"/>
      <w:r>
        <w:t>16  Open</w:t>
      </w:r>
      <w:proofErr w:type="gramEnd"/>
      <w:r>
        <w:t xml:space="preserve"> Items</w:t>
      </w:r>
      <w:bookmarkEnd w:id="46"/>
    </w:p>
    <w:p w14:paraId="50C7E2B4" w14:textId="77777777" w:rsidR="0046004D" w:rsidRDefault="00000000">
      <w:pPr>
        <w:spacing w:after="120"/>
      </w:pPr>
      <w:r>
        <w:lastRenderedPageBreak/>
        <w:t>Ordered by how painful they are to retrofit later. Six items from earlier revisions have been closed: the raise pipeline, the people and coverage layer, the close series, which level closes belong to, co-investment vs. SMA discrimination, and investor identifiers.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46004D" w14:paraId="784CDF1D" w14:textId="77777777">
        <w:tblPrEx>
          <w:tblCellMar>
            <w:top w:w="0" w:type="dxa"/>
            <w:bottom w:w="0" w:type="dxa"/>
          </w:tblCellMar>
        </w:tblPrEx>
        <w:tc>
          <w:tcPr>
            <w:tcW w:w="40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1F5105F5" w14:textId="77777777" w:rsidR="0046004D" w:rsidRDefault="00000000">
            <w:r>
              <w:rPr>
                <w:b/>
                <w:bCs/>
                <w:color w:val="FFFFFF"/>
                <w:sz w:val="20"/>
                <w:szCs w:val="20"/>
              </w:rPr>
              <w:t>Open Item</w:t>
            </w:r>
          </w:p>
        </w:tc>
        <w:tc>
          <w:tcPr>
            <w:tcW w:w="53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025E576F" w14:textId="77777777" w:rsidR="0046004D" w:rsidRDefault="00000000">
            <w:r>
              <w:rPr>
                <w:b/>
                <w:bCs/>
                <w:color w:val="FFFFFF"/>
                <w:sz w:val="20"/>
                <w:szCs w:val="20"/>
              </w:rPr>
              <w:t>Priority / Note</w:t>
            </w:r>
          </w:p>
        </w:tc>
      </w:tr>
      <w:tr w:rsidR="0046004D" w14:paraId="59E07FEB" w14:textId="77777777">
        <w:tblPrEx>
          <w:tblCellMar>
            <w:top w:w="0" w:type="dxa"/>
            <w:bottom w:w="0" w:type="dxa"/>
          </w:tblCellMar>
        </w:tblPrEx>
        <w:tc>
          <w:tcPr>
            <w:tcW w:w="4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81858AB" w14:textId="77777777" w:rsidR="0046004D" w:rsidRDefault="00000000">
            <w:r>
              <w:rPr>
                <w:sz w:val="20"/>
                <w:szCs w:val="20"/>
              </w:rPr>
              <w:t>Anchor dates for term and commitment period</w:t>
            </w:r>
          </w:p>
        </w:tc>
        <w:tc>
          <w:tcPr>
            <w:tcW w:w="53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90E6FB7" w14:textId="77777777" w:rsidR="0046004D" w:rsidRDefault="00000000">
            <w:r>
              <w:rPr>
                <w:sz w:val="20"/>
                <w:szCs w:val="20"/>
              </w:rPr>
              <w:t>HIGH — only remaining unanchored durations in the model</w:t>
            </w:r>
          </w:p>
        </w:tc>
      </w:tr>
      <w:tr w:rsidR="0046004D" w14:paraId="67E01576" w14:textId="77777777">
        <w:tblPrEx>
          <w:tblCellMar>
            <w:top w:w="0" w:type="dxa"/>
            <w:bottom w:w="0" w:type="dxa"/>
          </w:tblCellMar>
        </w:tblPrEx>
        <w:tc>
          <w:tcPr>
            <w:tcW w:w="4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4983C4E" w14:textId="77777777" w:rsidR="0046004D" w:rsidRDefault="00000000">
            <w:proofErr w:type="spellStart"/>
            <w:proofErr w:type="gramStart"/>
            <w:r>
              <w:rPr>
                <w:sz w:val="20"/>
                <w:szCs w:val="20"/>
              </w:rPr>
              <w:t>sh:node</w:t>
            </w:r>
            <w:proofErr w:type="spellEnd"/>
            <w:proofErr w:type="gramEnd"/>
            <w:r>
              <w:rPr>
                <w:sz w:val="20"/>
                <w:szCs w:val="20"/>
              </w:rPr>
              <w:t xml:space="preserve"> on both leaf Fund shapes</w:t>
            </w:r>
          </w:p>
        </w:tc>
        <w:tc>
          <w:tcPr>
            <w:tcW w:w="53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2F4E3F53" w14:textId="77777777" w:rsidR="0046004D" w:rsidRDefault="00000000">
            <w:r>
              <w:rPr>
                <w:sz w:val="20"/>
                <w:szCs w:val="20"/>
              </w:rPr>
              <w:t>HIGH — converts accidental coupling into stated constraint</w:t>
            </w:r>
          </w:p>
        </w:tc>
      </w:tr>
      <w:tr w:rsidR="0046004D" w14:paraId="72742CE4" w14:textId="77777777">
        <w:tblPrEx>
          <w:tblCellMar>
            <w:top w:w="0" w:type="dxa"/>
            <w:bottom w:w="0" w:type="dxa"/>
          </w:tblCellMar>
        </w:tblPrEx>
        <w:tc>
          <w:tcPr>
            <w:tcW w:w="4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AA4468E" w14:textId="77777777" w:rsidR="0046004D" w:rsidRDefault="00000000">
            <w:proofErr w:type="spellStart"/>
            <w:r>
              <w:rPr>
                <w:sz w:val="20"/>
                <w:szCs w:val="20"/>
              </w:rPr>
              <w:t>geographicFocus</w:t>
            </w:r>
            <w:proofErr w:type="spellEnd"/>
            <w:r>
              <w:rPr>
                <w:sz w:val="20"/>
                <w:szCs w:val="20"/>
              </w:rPr>
              <w:t>: multi-valued concepts vs. free string</w:t>
            </w:r>
          </w:p>
        </w:tc>
        <w:tc>
          <w:tcPr>
            <w:tcW w:w="53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B3384A3" w14:textId="77777777" w:rsidR="0046004D" w:rsidRDefault="00000000">
            <w:r>
              <w:rPr>
                <w:sz w:val="20"/>
                <w:szCs w:val="20"/>
              </w:rPr>
              <w:t>MEDIUM — 46/100 products say "Global" as fallback</w:t>
            </w:r>
          </w:p>
        </w:tc>
      </w:tr>
      <w:tr w:rsidR="0046004D" w14:paraId="45CAFC7F" w14:textId="77777777">
        <w:tblPrEx>
          <w:tblCellMar>
            <w:top w:w="0" w:type="dxa"/>
            <w:bottom w:w="0" w:type="dxa"/>
          </w:tblCellMar>
        </w:tblPrEx>
        <w:tc>
          <w:tcPr>
            <w:tcW w:w="4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DEB1233" w14:textId="77777777" w:rsidR="0046004D" w:rsidRDefault="00000000">
            <w:proofErr w:type="spellStart"/>
            <w:proofErr w:type="gramStart"/>
            <w:r>
              <w:rPr>
                <w:sz w:val="20"/>
                <w:szCs w:val="20"/>
              </w:rPr>
              <w:t>classDesignation</w:t>
            </w:r>
            <w:proofErr w:type="spellEnd"/>
            <w:proofErr w:type="gramEnd"/>
            <w:r>
              <w:rPr>
                <w:sz w:val="20"/>
                <w:szCs w:val="20"/>
              </w:rPr>
              <w:t xml:space="preserve"> uniqueness scoped to Vehicle</w:t>
            </w:r>
          </w:p>
        </w:tc>
        <w:tc>
          <w:tcPr>
            <w:tcW w:w="53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E26139A" w14:textId="77777777" w:rsidR="0046004D" w:rsidRDefault="00000000">
            <w:r>
              <w:rPr>
                <w:sz w:val="20"/>
                <w:szCs w:val="20"/>
              </w:rPr>
              <w:t>MEDIUM</w:t>
            </w:r>
          </w:p>
        </w:tc>
      </w:tr>
      <w:tr w:rsidR="0046004D" w14:paraId="394FE0E2" w14:textId="77777777">
        <w:tblPrEx>
          <w:tblCellMar>
            <w:top w:w="0" w:type="dxa"/>
            <w:bottom w:w="0" w:type="dxa"/>
          </w:tblCellMar>
        </w:tblPrEx>
        <w:tc>
          <w:tcPr>
            <w:tcW w:w="4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745703A" w14:textId="77777777" w:rsidR="0046004D" w:rsidRDefault="00000000">
            <w:r>
              <w:rPr>
                <w:sz w:val="20"/>
                <w:szCs w:val="20"/>
              </w:rPr>
              <w:t>Date-aware active-jurisdiction derivation</w:t>
            </w:r>
          </w:p>
        </w:tc>
        <w:tc>
          <w:tcPr>
            <w:tcW w:w="53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DEF1D9C" w14:textId="77777777" w:rsidR="0046004D" w:rsidRDefault="00000000">
            <w:r>
              <w:rPr>
                <w:sz w:val="20"/>
                <w:szCs w:val="20"/>
              </w:rPr>
              <w:t xml:space="preserve">MEDIUM — </w:t>
            </w:r>
            <w:proofErr w:type="spellStart"/>
            <w:r>
              <w:rPr>
                <w:sz w:val="20"/>
                <w:szCs w:val="20"/>
              </w:rPr>
              <w:t>RegActive</w:t>
            </w:r>
            <w:proofErr w:type="spellEnd"/>
            <w:r>
              <w:rPr>
                <w:sz w:val="20"/>
                <w:szCs w:val="20"/>
              </w:rPr>
              <w:t xml:space="preserve"> with future start date treated as Pending</w:t>
            </w:r>
          </w:p>
        </w:tc>
      </w:tr>
      <w:tr w:rsidR="0046004D" w14:paraId="1B4E34A5" w14:textId="77777777">
        <w:tblPrEx>
          <w:tblCellMar>
            <w:top w:w="0" w:type="dxa"/>
            <w:bottom w:w="0" w:type="dxa"/>
          </w:tblCellMar>
        </w:tblPrEx>
        <w:tc>
          <w:tcPr>
            <w:tcW w:w="4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8731791" w14:textId="77777777" w:rsidR="0046004D" w:rsidRDefault="00000000">
            <w:proofErr w:type="spellStart"/>
            <w:proofErr w:type="gramStart"/>
            <w:r>
              <w:rPr>
                <w:sz w:val="20"/>
                <w:szCs w:val="20"/>
              </w:rPr>
              <w:t>owl:disjointWith</w:t>
            </w:r>
            <w:proofErr w:type="spellEnd"/>
            <w:proofErr w:type="gramEnd"/>
            <w:r>
              <w:rPr>
                <w:sz w:val="20"/>
                <w:szCs w:val="20"/>
              </w:rPr>
              <w:t xml:space="preserve"> between Fund subclasses</w:t>
            </w:r>
          </w:p>
        </w:tc>
        <w:tc>
          <w:tcPr>
            <w:tcW w:w="53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25BEAE0" w14:textId="77777777" w:rsidR="0046004D" w:rsidRDefault="00000000">
            <w:r>
              <w:rPr>
                <w:sz w:val="20"/>
                <w:szCs w:val="20"/>
              </w:rPr>
              <w:t>MEDIUM — double-typing caught by collision, not by design</w:t>
            </w:r>
          </w:p>
        </w:tc>
      </w:tr>
      <w:tr w:rsidR="0046004D" w14:paraId="05BF44E3" w14:textId="77777777">
        <w:tblPrEx>
          <w:tblCellMar>
            <w:top w:w="0" w:type="dxa"/>
            <w:bottom w:w="0" w:type="dxa"/>
          </w:tblCellMar>
        </w:tblPrEx>
        <w:tc>
          <w:tcPr>
            <w:tcW w:w="4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2466A4C" w14:textId="77777777" w:rsidR="0046004D" w:rsidRDefault="00000000">
            <w:r>
              <w:rPr>
                <w:sz w:val="20"/>
                <w:szCs w:val="20"/>
              </w:rPr>
              <w:t>Capital accounts, GL, NAV modelled (not just described)</w:t>
            </w:r>
          </w:p>
        </w:tc>
        <w:tc>
          <w:tcPr>
            <w:tcW w:w="53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0268B39D" w14:textId="77777777" w:rsidR="0046004D" w:rsidRDefault="00000000">
            <w:r>
              <w:rPr>
                <w:sz w:val="20"/>
                <w:szCs w:val="20"/>
              </w:rPr>
              <w:t>MEDIUM — Section 10 describes; model does not encode</w:t>
            </w:r>
          </w:p>
        </w:tc>
      </w:tr>
      <w:tr w:rsidR="0046004D" w14:paraId="18ED109C" w14:textId="77777777">
        <w:tblPrEx>
          <w:tblCellMar>
            <w:top w:w="0" w:type="dxa"/>
            <w:bottom w:w="0" w:type="dxa"/>
          </w:tblCellMar>
        </w:tblPrEx>
        <w:tc>
          <w:tcPr>
            <w:tcW w:w="4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5C26A72" w14:textId="77777777" w:rsidR="0046004D" w:rsidRDefault="00000000">
            <w:proofErr w:type="spellStart"/>
            <w:r>
              <w:rPr>
                <w:sz w:val="20"/>
                <w:szCs w:val="20"/>
              </w:rPr>
              <w:t>Equalisation</w:t>
            </w:r>
            <w:proofErr w:type="spellEnd"/>
            <w:r>
              <w:rPr>
                <w:sz w:val="20"/>
                <w:szCs w:val="20"/>
              </w:rPr>
              <w:t xml:space="preserve"> adjustment cashflow type</w:t>
            </w:r>
          </w:p>
        </w:tc>
        <w:tc>
          <w:tcPr>
            <w:tcW w:w="53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E7A67CD" w14:textId="77777777" w:rsidR="0046004D" w:rsidRDefault="00000000">
            <w:r>
              <w:rPr>
                <w:sz w:val="20"/>
                <w:szCs w:val="20"/>
              </w:rPr>
              <w:t xml:space="preserve">MEDIUM — </w:t>
            </w:r>
            <w:proofErr w:type="spellStart"/>
            <w:r>
              <w:rPr>
                <w:sz w:val="20"/>
                <w:szCs w:val="20"/>
              </w:rPr>
              <w:t>admittedAt</w:t>
            </w:r>
            <w:proofErr w:type="spellEnd"/>
            <w:r>
              <w:rPr>
                <w:sz w:val="20"/>
                <w:szCs w:val="20"/>
              </w:rPr>
              <w:t xml:space="preserve"> links close but the charge has no home</w:t>
            </w:r>
          </w:p>
        </w:tc>
      </w:tr>
      <w:tr w:rsidR="0046004D" w14:paraId="4A0A8F52" w14:textId="77777777">
        <w:tblPrEx>
          <w:tblCellMar>
            <w:top w:w="0" w:type="dxa"/>
            <w:bottom w:w="0" w:type="dxa"/>
          </w:tblCellMar>
        </w:tblPrEx>
        <w:tc>
          <w:tcPr>
            <w:tcW w:w="4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9A2E678" w14:textId="77777777" w:rsidR="0046004D" w:rsidRDefault="00000000">
            <w:r>
              <w:rPr>
                <w:sz w:val="20"/>
                <w:szCs w:val="20"/>
              </w:rPr>
              <w:t>Management fee step-down not modelled</w:t>
            </w:r>
          </w:p>
        </w:tc>
        <w:tc>
          <w:tcPr>
            <w:tcW w:w="53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9707377" w14:textId="77777777" w:rsidR="0046004D" w:rsidRDefault="00000000">
            <w:r>
              <w:rPr>
                <w:sz w:val="20"/>
                <w:szCs w:val="20"/>
              </w:rPr>
              <w:t>HIGH (economic) — often the single largest economic event in fund life</w:t>
            </w:r>
          </w:p>
        </w:tc>
      </w:tr>
      <w:tr w:rsidR="0046004D" w14:paraId="74EB2E48" w14:textId="77777777">
        <w:tblPrEx>
          <w:tblCellMar>
            <w:top w:w="0" w:type="dxa"/>
            <w:bottom w:w="0" w:type="dxa"/>
          </w:tblCellMar>
        </w:tblPrEx>
        <w:tc>
          <w:tcPr>
            <w:tcW w:w="4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22916A2" w14:textId="77777777" w:rsidR="0046004D" w:rsidRDefault="00000000">
            <w:r>
              <w:rPr>
                <w:sz w:val="20"/>
                <w:szCs w:val="20"/>
              </w:rPr>
              <w:t>No high-water mark on evergreen terms</w:t>
            </w:r>
          </w:p>
        </w:tc>
        <w:tc>
          <w:tcPr>
            <w:tcW w:w="53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D55F029" w14:textId="77777777" w:rsidR="0046004D" w:rsidRDefault="00000000">
            <w:r>
              <w:rPr>
                <w:sz w:val="20"/>
                <w:szCs w:val="20"/>
              </w:rPr>
              <w:t>HIGH (</w:t>
            </w:r>
            <w:proofErr w:type="gramStart"/>
            <w:r>
              <w:rPr>
                <w:sz w:val="20"/>
                <w:szCs w:val="20"/>
              </w:rPr>
              <w:t>economic) —</w:t>
            </w:r>
            <w:proofErr w:type="gramEnd"/>
            <w:r>
              <w:rPr>
                <w:sz w:val="20"/>
                <w:szCs w:val="20"/>
              </w:rPr>
              <w:t xml:space="preserve"> periodic </w:t>
            </w:r>
            <w:proofErr w:type="spellStart"/>
            <w:r>
              <w:rPr>
                <w:sz w:val="20"/>
                <w:szCs w:val="20"/>
              </w:rPr>
              <w:t>crystallisation</w:t>
            </w:r>
            <w:proofErr w:type="spellEnd"/>
            <w:r>
              <w:rPr>
                <w:sz w:val="20"/>
                <w:szCs w:val="20"/>
              </w:rPr>
              <w:t xml:space="preserve"> without one charges same </w:t>
            </w:r>
            <w:proofErr w:type="gramStart"/>
            <w:r>
              <w:rPr>
                <w:sz w:val="20"/>
                <w:szCs w:val="20"/>
              </w:rPr>
              <w:t>gains</w:t>
            </w:r>
            <w:proofErr w:type="gramEnd"/>
            <w:r>
              <w:rPr>
                <w:sz w:val="20"/>
                <w:szCs w:val="20"/>
              </w:rPr>
              <w:t xml:space="preserve"> twice</w:t>
            </w:r>
          </w:p>
        </w:tc>
      </w:tr>
      <w:tr w:rsidR="0046004D" w14:paraId="1C722422" w14:textId="77777777">
        <w:tblPrEx>
          <w:tblCellMar>
            <w:top w:w="0" w:type="dxa"/>
            <w:bottom w:w="0" w:type="dxa"/>
          </w:tblCellMar>
        </w:tblPrEx>
        <w:tc>
          <w:tcPr>
            <w:tcW w:w="4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D5B74BE" w14:textId="77777777" w:rsidR="0046004D" w:rsidRDefault="00000000">
            <w:r>
              <w:rPr>
                <w:sz w:val="20"/>
                <w:szCs w:val="20"/>
              </w:rPr>
              <w:t>Fund subclasses conflate two axes</w:t>
            </w:r>
          </w:p>
        </w:tc>
        <w:tc>
          <w:tcPr>
            <w:tcW w:w="53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89A8F24" w14:textId="77777777" w:rsidR="0046004D" w:rsidRDefault="00000000">
            <w:r>
              <w:rPr>
                <w:sz w:val="20"/>
                <w:szCs w:val="20"/>
              </w:rPr>
              <w:t xml:space="preserve">DESIGN — </w:t>
            </w:r>
            <w:proofErr w:type="spellStart"/>
            <w:r>
              <w:rPr>
                <w:sz w:val="20"/>
                <w:szCs w:val="20"/>
              </w:rPr>
              <w:t>ClosedEnd</w:t>
            </w:r>
            <w:proofErr w:type="spellEnd"/>
            <w:r>
              <w:rPr>
                <w:sz w:val="20"/>
                <w:szCs w:val="20"/>
              </w:rPr>
              <w:t xml:space="preserve">/Evergreen (capital structure) vs. </w:t>
            </w:r>
            <w:proofErr w:type="spellStart"/>
            <w:r>
              <w:rPr>
                <w:sz w:val="20"/>
                <w:szCs w:val="20"/>
              </w:rPr>
              <w:t>CoInvest</w:t>
            </w:r>
            <w:proofErr w:type="spellEnd"/>
            <w:r>
              <w:rPr>
                <w:sz w:val="20"/>
                <w:szCs w:val="20"/>
              </w:rPr>
              <w:t>/SMA (who initiated)</w:t>
            </w:r>
          </w:p>
        </w:tc>
      </w:tr>
      <w:tr w:rsidR="0046004D" w14:paraId="653F27E1" w14:textId="77777777">
        <w:tblPrEx>
          <w:tblCellMar>
            <w:top w:w="0" w:type="dxa"/>
            <w:bottom w:w="0" w:type="dxa"/>
          </w:tblCellMar>
        </w:tblPrEx>
        <w:tc>
          <w:tcPr>
            <w:tcW w:w="4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1E0EDD6" w14:textId="77777777" w:rsidR="0046004D" w:rsidRDefault="00000000">
            <w:r>
              <w:rPr>
                <w:sz w:val="20"/>
                <w:szCs w:val="20"/>
              </w:rPr>
              <w:t>No screening/sanctions status on Investor</w:t>
            </w:r>
          </w:p>
        </w:tc>
        <w:tc>
          <w:tcPr>
            <w:tcW w:w="53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D112182" w14:textId="77777777" w:rsidR="0046004D" w:rsidRDefault="00000000">
            <w:r>
              <w:rPr>
                <w:sz w:val="20"/>
                <w:szCs w:val="20"/>
              </w:rPr>
              <w:t>COMPLIANCE — identifiers/addresses support it; status not modelled</w:t>
            </w:r>
          </w:p>
        </w:tc>
      </w:tr>
    </w:tbl>
    <w:p w14:paraId="42E9D0A9" w14:textId="77777777" w:rsidR="0046004D" w:rsidRDefault="0046004D">
      <w:pPr>
        <w:spacing w:after="200"/>
      </w:pPr>
    </w:p>
    <w:p w14:paraId="1EF6A8C8" w14:textId="77777777" w:rsidR="0046004D" w:rsidRDefault="00000000">
      <w:r>
        <w:br w:type="page"/>
      </w:r>
    </w:p>
    <w:p w14:paraId="77B5BBC6" w14:textId="77777777" w:rsidR="0046004D" w:rsidRDefault="00000000">
      <w:pPr>
        <w:pStyle w:val="Heading1"/>
        <w:pBdr>
          <w:bottom w:val="single" w:sz="8" w:space="0" w:color="C8952A"/>
        </w:pBdr>
      </w:pPr>
      <w:bookmarkStart w:id="47" w:name="_Toc237337490"/>
      <w:r>
        <w:lastRenderedPageBreak/>
        <w:t xml:space="preserve">Appendix </w:t>
      </w:r>
      <w:proofErr w:type="gramStart"/>
      <w:r>
        <w:t>A  Running</w:t>
      </w:r>
      <w:proofErr w:type="gramEnd"/>
      <w:r>
        <w:t xml:space="preserve"> a Capital Call</w:t>
      </w:r>
      <w:bookmarkEnd w:id="47"/>
    </w:p>
    <w:p w14:paraId="11F180D6" w14:textId="77777777" w:rsidR="0046004D" w:rsidRDefault="00000000">
      <w:pPr>
        <w:spacing w:after="120"/>
      </w:pPr>
      <w:r>
        <w:t>A drawdown fund calls capital; it does not receive it up front. This appendix is the operating procedure for one call, on a worked structure: one master, three feeders, two co-investment vehicles, and one managed account.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01E244F3" w14:textId="77777777">
        <w:tc>
          <w:tcPr>
            <w:tcW w:w="9360" w:type="dxa"/>
            <w:tcBorders>
              <w:top w:val="single" w:sz="12" w:space="0" w:color="E53E3E"/>
              <w:left w:val="single" w:sz="12" w:space="0" w:color="E53E3E"/>
            </w:tcBorders>
            <w:shd w:val="clear" w:color="auto" w:fill="FFF5F5"/>
            <w:tcMar>
              <w:top w:w="80" w:type="dxa"/>
              <w:left w:w="120" w:type="dxa"/>
              <w:bottom w:w="0" w:type="dxa"/>
              <w:right w:w="120" w:type="dxa"/>
            </w:tcMar>
          </w:tcPr>
          <w:p w14:paraId="78E8466A" w14:textId="77777777" w:rsidR="0046004D" w:rsidRDefault="00000000">
            <w:r>
              <w:rPr>
                <w:b/>
                <w:bCs/>
                <w:color w:val="E53E3E"/>
                <w:sz w:val="20"/>
                <w:szCs w:val="20"/>
              </w:rPr>
              <w:t>Critical Point: This Is Not One Call. It Is Four.</w:t>
            </w:r>
          </w:p>
        </w:tc>
      </w:tr>
      <w:tr w:rsidR="0046004D" w14:paraId="0ABD18AF" w14:textId="77777777">
        <w:tc>
          <w:tcPr>
            <w:tcW w:w="9360" w:type="dxa"/>
            <w:tcBorders>
              <w:left w:val="single" w:sz="12" w:space="0" w:color="E53E3E"/>
            </w:tcBorders>
            <w:shd w:val="clear" w:color="auto" w:fill="FFF5F5"/>
            <w:tcMar>
              <w:top w:w="0" w:type="dxa"/>
              <w:left w:w="120" w:type="dxa"/>
              <w:bottom w:w="0" w:type="dxa"/>
              <w:right w:w="120" w:type="dxa"/>
            </w:tcMar>
          </w:tcPr>
          <w:p w14:paraId="607BDC3E" w14:textId="77777777" w:rsidR="0046004D" w:rsidRDefault="00000000">
            <w:pPr>
              <w:spacing w:after="80"/>
            </w:pPr>
            <w:r>
              <w:rPr>
                <w:color w:val="2D3748"/>
                <w:sz w:val="20"/>
                <w:szCs w:val="20"/>
              </w:rPr>
              <w:t>Only the fund call is a single pro-rata event.</w:t>
            </w:r>
          </w:p>
        </w:tc>
      </w:tr>
      <w:tr w:rsidR="0046004D" w14:paraId="33B8710E" w14:textId="77777777">
        <w:tc>
          <w:tcPr>
            <w:tcW w:w="9360" w:type="dxa"/>
            <w:tcBorders>
              <w:left w:val="single" w:sz="12" w:space="0" w:color="E53E3E"/>
            </w:tcBorders>
            <w:shd w:val="clear" w:color="auto" w:fill="FFF5F5"/>
            <w:tcMar>
              <w:top w:w="0" w:type="dxa"/>
              <w:left w:w="120" w:type="dxa"/>
              <w:bottom w:w="0" w:type="dxa"/>
              <w:right w:w="120" w:type="dxa"/>
            </w:tcMar>
          </w:tcPr>
          <w:p w14:paraId="1368BA1C" w14:textId="77777777" w:rsidR="0046004D" w:rsidRDefault="00000000">
            <w:pPr>
              <w:spacing w:after="80"/>
            </w:pPr>
            <w:r>
              <w:rPr>
                <w:color w:val="2D3748"/>
                <w:sz w:val="20"/>
                <w:szCs w:val="20"/>
              </w:rPr>
              <w:t>The two co-investments and the managed account each run their own notice, their own timeline, and their own reconciliation.</w:t>
            </w:r>
          </w:p>
        </w:tc>
      </w:tr>
      <w:tr w:rsidR="0046004D" w14:paraId="3CA5A5D5" w14:textId="77777777">
        <w:tc>
          <w:tcPr>
            <w:tcW w:w="9360" w:type="dxa"/>
            <w:tcBorders>
              <w:left w:val="single" w:sz="12" w:space="0" w:color="E53E3E"/>
              <w:bottom w:val="single" w:sz="4" w:space="0" w:color="E53E3E"/>
            </w:tcBorders>
            <w:shd w:val="clear" w:color="auto" w:fill="FFF5F5"/>
            <w:tcMar>
              <w:top w:w="0" w:type="dxa"/>
              <w:left w:w="120" w:type="dxa"/>
              <w:bottom w:w="80" w:type="dxa"/>
              <w:right w:w="120" w:type="dxa"/>
            </w:tcMar>
          </w:tcPr>
          <w:p w14:paraId="45D5F85B" w14:textId="77777777" w:rsidR="0046004D" w:rsidRDefault="00000000">
            <w:r>
              <w:rPr>
                <w:color w:val="2D3748"/>
                <w:sz w:val="20"/>
                <w:szCs w:val="20"/>
              </w:rPr>
              <w:t xml:space="preserve">Sweeping them into the </w:t>
            </w:r>
            <w:proofErr w:type="spellStart"/>
            <w:r>
              <w:rPr>
                <w:color w:val="2D3748"/>
                <w:sz w:val="20"/>
                <w:szCs w:val="20"/>
              </w:rPr>
              <w:t>programme</w:t>
            </w:r>
            <w:proofErr w:type="spellEnd"/>
            <w:r>
              <w:rPr>
                <w:color w:val="2D3748"/>
                <w:sz w:val="20"/>
                <w:szCs w:val="20"/>
              </w:rPr>
              <w:t xml:space="preserve"> call is the operational error this appendix is written to prevent.</w:t>
            </w:r>
          </w:p>
        </w:tc>
      </w:tr>
    </w:tbl>
    <w:p w14:paraId="39D7B000" w14:textId="77777777" w:rsidR="0046004D" w:rsidRDefault="0046004D">
      <w:pPr>
        <w:spacing w:after="160"/>
      </w:pPr>
    </w:p>
    <w:p w14:paraId="2287BEC0" w14:textId="77777777" w:rsidR="0046004D" w:rsidRDefault="00000000">
      <w:pPr>
        <w:pStyle w:val="Heading2"/>
      </w:pPr>
      <w:bookmarkStart w:id="48" w:name="_Toc237337491"/>
      <w:proofErr w:type="gramStart"/>
      <w:r>
        <w:t>A.1  Size</w:t>
      </w:r>
      <w:proofErr w:type="gramEnd"/>
      <w:r>
        <w:t xml:space="preserve"> the Call — Capital Called Is Not Capital Invested</w:t>
      </w:r>
      <w:bookmarkEnd w:id="48"/>
    </w:p>
    <w:p w14:paraId="4CADA1EB" w14:textId="77777777" w:rsidR="0046004D" w:rsidRDefault="00000000">
      <w:pPr>
        <w:spacing w:after="120"/>
      </w:pPr>
      <w:r>
        <w:t>Finance builds the requirement from four separate needs:</w:t>
      </w:r>
    </w:p>
    <w:p w14:paraId="3C2989DD" w14:textId="77777777" w:rsidR="0046004D" w:rsidRDefault="00000000">
      <w:pPr>
        <w:pStyle w:val="ListParagraph"/>
        <w:numPr>
          <w:ilvl w:val="0"/>
          <w:numId w:val="1"/>
        </w:numPr>
        <w:spacing w:after="80"/>
      </w:pPr>
      <w:r>
        <w:t>Investment funding — equity into the transaction, at the SPV</w:t>
      </w:r>
    </w:p>
    <w:p w14:paraId="209AC6CB" w14:textId="77777777" w:rsidR="0046004D" w:rsidRDefault="00000000">
      <w:pPr>
        <w:pStyle w:val="ListParagraph"/>
        <w:numPr>
          <w:ilvl w:val="0"/>
          <w:numId w:val="1"/>
        </w:numPr>
        <w:spacing w:after="80"/>
      </w:pPr>
      <w:r>
        <w:t>Management fee — for the period, on whichever basis the LPA specifies (committed during investment period; invested after)</w:t>
      </w:r>
    </w:p>
    <w:p w14:paraId="6CC9159D" w14:textId="77777777" w:rsidR="0046004D" w:rsidRDefault="00000000">
      <w:pPr>
        <w:pStyle w:val="ListParagraph"/>
        <w:numPr>
          <w:ilvl w:val="0"/>
          <w:numId w:val="1"/>
        </w:numPr>
        <w:spacing w:after="80"/>
      </w:pPr>
      <w:r>
        <w:t xml:space="preserve">Fund expenses — audit, administration, legal, </w:t>
      </w:r>
      <w:proofErr w:type="spellStart"/>
      <w:r>
        <w:t>organisational</w:t>
      </w:r>
      <w:proofErr w:type="spellEnd"/>
      <w:r>
        <w:t xml:space="preserve"> costs </w:t>
      </w:r>
      <w:proofErr w:type="gramStart"/>
      <w:r>
        <w:t>still</w:t>
      </w:r>
      <w:proofErr w:type="gramEnd"/>
      <w:r>
        <w:t xml:space="preserve"> being </w:t>
      </w:r>
      <w:proofErr w:type="spellStart"/>
      <w:r>
        <w:t>amortised</w:t>
      </w:r>
      <w:proofErr w:type="spellEnd"/>
    </w:p>
    <w:p w14:paraId="794F06E4" w14:textId="77777777" w:rsidR="0046004D" w:rsidRDefault="00000000">
      <w:pPr>
        <w:pStyle w:val="ListParagraph"/>
        <w:numPr>
          <w:ilvl w:val="0"/>
          <w:numId w:val="1"/>
        </w:numPr>
        <w:spacing w:after="80"/>
      </w:pPr>
      <w:r>
        <w:t>Subscription line repayment — the facility that bridged the deal so it could close on 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0BD2DC3E" w14:textId="77777777">
        <w:tc>
          <w:tcPr>
            <w:tcW w:w="9360" w:type="dxa"/>
            <w:tcBorders>
              <w:top w:val="single" w:sz="12" w:space="0" w:color="D69E2E"/>
              <w:left w:val="single" w:sz="12" w:space="0" w:color="D69E2E"/>
            </w:tcBorders>
            <w:shd w:val="clear" w:color="auto" w:fill="FFFBEB"/>
            <w:tcMar>
              <w:top w:w="80" w:type="dxa"/>
              <w:left w:w="120" w:type="dxa"/>
              <w:bottom w:w="0" w:type="dxa"/>
              <w:right w:w="120" w:type="dxa"/>
            </w:tcMar>
          </w:tcPr>
          <w:p w14:paraId="67C85788" w14:textId="77777777" w:rsidR="0046004D" w:rsidRDefault="00000000">
            <w:r>
              <w:rPr>
                <w:b/>
                <w:bCs/>
                <w:color w:val="D69E2E"/>
                <w:sz w:val="20"/>
                <w:szCs w:val="20"/>
              </w:rPr>
              <w:t>Hard Limits Before Anything Else</w:t>
            </w:r>
          </w:p>
        </w:tc>
      </w:tr>
      <w:tr w:rsidR="0046004D" w14:paraId="508D5E97" w14:textId="77777777">
        <w:tc>
          <w:tcPr>
            <w:tcW w:w="9360" w:type="dxa"/>
            <w:tcBorders>
              <w:left w:val="single" w:sz="12" w:space="0" w:color="D69E2E"/>
            </w:tcBorders>
            <w:shd w:val="clear" w:color="auto" w:fill="FFFBEB"/>
            <w:tcMar>
              <w:top w:w="0" w:type="dxa"/>
              <w:left w:w="120" w:type="dxa"/>
              <w:bottom w:w="0" w:type="dxa"/>
              <w:right w:w="120" w:type="dxa"/>
            </w:tcMar>
          </w:tcPr>
          <w:p w14:paraId="3357F637" w14:textId="77777777" w:rsidR="0046004D" w:rsidRDefault="00000000">
            <w:pPr>
              <w:spacing w:after="80"/>
            </w:pPr>
            <w:r>
              <w:rPr>
                <w:color w:val="2D3748"/>
                <w:sz w:val="20"/>
                <w:szCs w:val="20"/>
              </w:rPr>
              <w:t>1. The aggregate call may not exceed aggregate unfunded commitments.</w:t>
            </w:r>
          </w:p>
        </w:tc>
      </w:tr>
      <w:tr w:rsidR="0046004D" w14:paraId="7D4BDEA6" w14:textId="77777777">
        <w:tc>
          <w:tcPr>
            <w:tcW w:w="9360" w:type="dxa"/>
            <w:tcBorders>
              <w:left w:val="single" w:sz="12" w:space="0" w:color="D69E2E"/>
            </w:tcBorders>
            <w:shd w:val="clear" w:color="auto" w:fill="FFFBEB"/>
            <w:tcMar>
              <w:top w:w="0" w:type="dxa"/>
              <w:left w:w="120" w:type="dxa"/>
              <w:bottom w:w="0" w:type="dxa"/>
              <w:right w:w="120" w:type="dxa"/>
            </w:tcMar>
          </w:tcPr>
          <w:p w14:paraId="5A72B30D" w14:textId="77777777" w:rsidR="0046004D" w:rsidRDefault="00000000">
            <w:pPr>
              <w:spacing w:after="80"/>
            </w:pPr>
            <w:r>
              <w:rPr>
                <w:color w:val="2D3748"/>
                <w:sz w:val="20"/>
                <w:szCs w:val="20"/>
              </w:rPr>
              <w:t>2. No individual LP may be called above their own unfunded.</w:t>
            </w:r>
          </w:p>
        </w:tc>
      </w:tr>
      <w:tr w:rsidR="0046004D" w14:paraId="1AB430E8" w14:textId="77777777">
        <w:tc>
          <w:tcPr>
            <w:tcW w:w="9360" w:type="dxa"/>
            <w:tcBorders>
              <w:left w:val="single" w:sz="12" w:space="0" w:color="D69E2E"/>
              <w:bottom w:val="single" w:sz="4" w:space="0" w:color="D69E2E"/>
            </w:tcBorders>
            <w:shd w:val="clear" w:color="auto" w:fill="FFFBEB"/>
            <w:tcMar>
              <w:top w:w="0" w:type="dxa"/>
              <w:left w:w="120" w:type="dxa"/>
              <w:bottom w:w="80" w:type="dxa"/>
              <w:right w:w="120" w:type="dxa"/>
            </w:tcMar>
          </w:tcPr>
          <w:p w14:paraId="62A979D8" w14:textId="77777777" w:rsidR="0046004D" w:rsidRDefault="00000000">
            <w:r>
              <w:rPr>
                <w:color w:val="2D3748"/>
                <w:sz w:val="20"/>
                <w:szCs w:val="20"/>
              </w:rPr>
              <w:t>Both are arithmetic, both are absolute, and both must be checked before the notice goes out.</w:t>
            </w:r>
          </w:p>
        </w:tc>
      </w:tr>
    </w:tbl>
    <w:p w14:paraId="0DC4FB2B" w14:textId="77777777" w:rsidR="0046004D" w:rsidRDefault="0046004D">
      <w:pPr>
        <w:spacing w:after="160"/>
      </w:pPr>
    </w:p>
    <w:p w14:paraId="58E44DA7" w14:textId="77777777" w:rsidR="0046004D" w:rsidRDefault="00000000">
      <w:pPr>
        <w:pStyle w:val="Heading2"/>
      </w:pPr>
      <w:bookmarkStart w:id="49" w:name="_Toc237337492"/>
      <w:proofErr w:type="gramStart"/>
      <w:r>
        <w:t>A.2  Allocate</w:t>
      </w:r>
      <w:proofErr w:type="gramEnd"/>
      <w:r>
        <w:t xml:space="preserve"> — Pro Rata to Unfunded, Then Adjust</w:t>
      </w:r>
      <w:bookmarkEnd w:id="49"/>
    </w:p>
    <w:p w14:paraId="4983DFE0" w14:textId="77777777" w:rsidR="0046004D" w:rsidRDefault="00000000">
      <w:pPr>
        <w:spacing w:after="120"/>
      </w:pPr>
      <w:r>
        <w:t>The administrator allocates the call across LPs in proportion to remaining unfunded commitment, not to headline commitment. Those two are the same only for a fund that has never called before. Three adjustments apply before the allocation is final:</w:t>
      </w:r>
    </w:p>
    <w:p w14:paraId="633076E7" w14:textId="77777777" w:rsidR="0046004D" w:rsidRDefault="00000000">
      <w:pPr>
        <w:pStyle w:val="ListParagraph"/>
        <w:numPr>
          <w:ilvl w:val="0"/>
          <w:numId w:val="1"/>
        </w:numPr>
        <w:spacing w:after="80"/>
      </w:pPr>
      <w:proofErr w:type="spellStart"/>
      <w:r>
        <w:t>Equalisation</w:t>
      </w:r>
      <w:proofErr w:type="spellEnd"/>
      <w:r>
        <w:t>: LPs admitted at a later close are brought up to the position they would have held from first close — their share of everything drawn so far, plus interest.</w:t>
      </w:r>
    </w:p>
    <w:p w14:paraId="554E76A6" w14:textId="77777777" w:rsidR="0046004D" w:rsidRDefault="00000000">
      <w:pPr>
        <w:pStyle w:val="ListParagraph"/>
        <w:numPr>
          <w:ilvl w:val="0"/>
          <w:numId w:val="1"/>
        </w:numPr>
        <w:spacing w:after="80"/>
      </w:pPr>
      <w:r>
        <w:t xml:space="preserve">Excuse and exclusion rights: side letters give some LPs the right to be excused from </w:t>
      </w:r>
      <w:proofErr w:type="gramStart"/>
      <w:r>
        <w:t>particular assets</w:t>
      </w:r>
      <w:proofErr w:type="gramEnd"/>
      <w:r>
        <w:t xml:space="preserve">. </w:t>
      </w:r>
      <w:proofErr w:type="gramStart"/>
      <w:r>
        <w:t>Excused</w:t>
      </w:r>
      <w:proofErr w:type="gramEnd"/>
      <w:r>
        <w:t xml:space="preserve"> LPs are reallocated across the remainder, not silently dropped.</w:t>
      </w:r>
    </w:p>
    <w:p w14:paraId="3E2AAC60" w14:textId="77777777" w:rsidR="0046004D" w:rsidRDefault="00000000">
      <w:pPr>
        <w:pStyle w:val="ListParagraph"/>
        <w:numPr>
          <w:ilvl w:val="0"/>
          <w:numId w:val="1"/>
        </w:numPr>
        <w:spacing w:after="80"/>
      </w:pPr>
      <w:r>
        <w:t>Defaulting and suspended LPs: excluded from the run, with their share reallocated or the call sized down.</w:t>
      </w:r>
    </w:p>
    <w:p w14:paraId="0623B233" w14:textId="77777777" w:rsidR="0046004D" w:rsidRDefault="00000000">
      <w:pPr>
        <w:pStyle w:val="Heading2"/>
      </w:pPr>
      <w:bookmarkStart w:id="50" w:name="_Toc237337493"/>
      <w:proofErr w:type="gramStart"/>
      <w:r>
        <w:t>A.3  The</w:t>
      </w:r>
      <w:proofErr w:type="gramEnd"/>
      <w:r>
        <w:t xml:space="preserve"> Feeder Offset — The Trap in a Master-Feeder Structure</w:t>
      </w:r>
      <w:bookmarkEnd w:id="50"/>
    </w:p>
    <w:p w14:paraId="22780168" w14:textId="77777777" w:rsidR="0046004D" w:rsidRDefault="00000000">
      <w:pPr>
        <w:spacing w:after="120"/>
      </w:pPr>
      <w:r>
        <w:t xml:space="preserve">A feeder is a partner of the master, so it </w:t>
      </w:r>
      <w:proofErr w:type="gramStart"/>
      <w:r>
        <w:t>has to</w:t>
      </w:r>
      <w:proofErr w:type="gramEnd"/>
      <w:r>
        <w:t xml:space="preserve"> fund the master on the master's due date like any other partner. But a feeder holds no cash of its own; it can only pay by calling its own investors first.</w:t>
      </w:r>
    </w:p>
    <w:p w14:paraId="70DAB311" w14:textId="77777777" w:rsidR="0046004D" w:rsidRDefault="00000000">
      <w:pPr>
        <w:spacing w:after="120"/>
      </w:pPr>
      <w:proofErr w:type="gramStart"/>
      <w:r>
        <w:lastRenderedPageBreak/>
        <w:t>So</w:t>
      </w:r>
      <w:proofErr w:type="gramEnd"/>
      <w:r>
        <w:t xml:space="preserve"> the feeder notices go out ahead of the master's — commonly three business days, sometimes five for a jurisdiction with slower settlement — and the feeder's own due date lands before the </w:t>
      </w:r>
      <w:proofErr w:type="gramStart"/>
      <w:r>
        <w:t>master's</w:t>
      </w:r>
      <w:proofErr w:type="gramEnd"/>
      <w:r>
        <w:t>. The master never sees the internal mechanics; it simply receives a wire from the feeder entity.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5C868C12" w14:textId="77777777">
        <w:tc>
          <w:tcPr>
            <w:tcW w:w="9360" w:type="dxa"/>
            <w:tcBorders>
              <w:top w:val="single" w:sz="12" w:space="0" w:color="D69E2E"/>
              <w:left w:val="single" w:sz="12" w:space="0" w:color="D69E2E"/>
            </w:tcBorders>
            <w:shd w:val="clear" w:color="auto" w:fill="FFFBEB"/>
            <w:tcMar>
              <w:top w:w="80" w:type="dxa"/>
              <w:left w:w="120" w:type="dxa"/>
              <w:bottom w:w="0" w:type="dxa"/>
              <w:right w:w="120" w:type="dxa"/>
            </w:tcMar>
          </w:tcPr>
          <w:p w14:paraId="11148D89" w14:textId="77777777" w:rsidR="0046004D" w:rsidRDefault="00000000">
            <w:r>
              <w:rPr>
                <w:b/>
                <w:bCs/>
                <w:color w:val="D69E2E"/>
                <w:sz w:val="20"/>
                <w:szCs w:val="20"/>
              </w:rPr>
              <w:t>Blocker Chain</w:t>
            </w:r>
          </w:p>
        </w:tc>
      </w:tr>
      <w:tr w:rsidR="0046004D" w14:paraId="30B0DE92" w14:textId="77777777">
        <w:tc>
          <w:tcPr>
            <w:tcW w:w="9360" w:type="dxa"/>
            <w:tcBorders>
              <w:left w:val="single" w:sz="12" w:space="0" w:color="D69E2E"/>
            </w:tcBorders>
            <w:shd w:val="clear" w:color="auto" w:fill="FFFBEB"/>
            <w:tcMar>
              <w:top w:w="0" w:type="dxa"/>
              <w:left w:w="120" w:type="dxa"/>
              <w:bottom w:w="0" w:type="dxa"/>
              <w:right w:w="120" w:type="dxa"/>
            </w:tcMar>
          </w:tcPr>
          <w:p w14:paraId="30B87D6F" w14:textId="77777777" w:rsidR="0046004D" w:rsidRDefault="00000000">
            <w:pPr>
              <w:spacing w:after="80"/>
            </w:pPr>
            <w:r>
              <w:rPr>
                <w:color w:val="2D3748"/>
                <w:sz w:val="20"/>
                <w:szCs w:val="20"/>
              </w:rPr>
              <w:t>Where a feeder sits behind a blocker, the chain is longer: feeder LPs → feeder → blocker → master.</w:t>
            </w:r>
          </w:p>
        </w:tc>
      </w:tr>
      <w:tr w:rsidR="0046004D" w14:paraId="0E0A167A" w14:textId="77777777">
        <w:tc>
          <w:tcPr>
            <w:tcW w:w="9360" w:type="dxa"/>
            <w:tcBorders>
              <w:left w:val="single" w:sz="12" w:space="0" w:color="D69E2E"/>
              <w:bottom w:val="single" w:sz="4" w:space="0" w:color="D69E2E"/>
            </w:tcBorders>
            <w:shd w:val="clear" w:color="auto" w:fill="FFFBEB"/>
            <w:tcMar>
              <w:top w:w="0" w:type="dxa"/>
              <w:left w:w="120" w:type="dxa"/>
              <w:bottom w:w="80" w:type="dxa"/>
              <w:right w:w="120" w:type="dxa"/>
            </w:tcMar>
          </w:tcPr>
          <w:p w14:paraId="0C575950" w14:textId="77777777" w:rsidR="0046004D" w:rsidRDefault="00000000">
            <w:r>
              <w:rPr>
                <w:color w:val="2D3748"/>
                <w:sz w:val="20"/>
                <w:szCs w:val="20"/>
              </w:rPr>
              <w:t>Each hop is a settlement day. The model has no place for the per-hop lead times — this is an open item.</w:t>
            </w:r>
          </w:p>
        </w:tc>
      </w:tr>
    </w:tbl>
    <w:p w14:paraId="340CF394" w14:textId="77777777" w:rsidR="0046004D" w:rsidRDefault="0046004D">
      <w:pPr>
        <w:spacing w:after="160"/>
      </w:pPr>
    </w:p>
    <w:p w14:paraId="6FE94383" w14:textId="77777777" w:rsidR="0046004D" w:rsidRDefault="00000000">
      <w:pPr>
        <w:pStyle w:val="Heading2"/>
      </w:pPr>
      <w:bookmarkStart w:id="51" w:name="_Toc237337494"/>
      <w:proofErr w:type="gramStart"/>
      <w:r>
        <w:t>A.4  Issue</w:t>
      </w:r>
      <w:proofErr w:type="gramEnd"/>
      <w:r>
        <w:t xml:space="preserve"> the Notices</w:t>
      </w:r>
      <w:bookmarkEnd w:id="51"/>
    </w:p>
    <w:p w14:paraId="62CFF51E" w14:textId="77777777" w:rsidR="0046004D" w:rsidRDefault="00000000">
      <w:pPr>
        <w:spacing w:after="120"/>
      </w:pPr>
      <w:r>
        <w:t>The LPA sets a minimum notice period, typically ten business days. The notice must carry: the amount due and currency; the due date; the purpose split; the LP's remaining unfunded commitment after this call; and wiring instructions.</w:t>
      </w:r>
    </w:p>
    <w:p w14:paraId="5EFB7BE7" w14:textId="77777777" w:rsidR="0046004D" w:rsidRDefault="00000000">
      <w:pPr>
        <w:pStyle w:val="Heading2"/>
      </w:pPr>
      <w:bookmarkStart w:id="52" w:name="_Toc237337495"/>
      <w:proofErr w:type="gramStart"/>
      <w:r>
        <w:t>A.5  Between</w:t>
      </w:r>
      <w:proofErr w:type="gramEnd"/>
      <w:r>
        <w:t xml:space="preserve"> Notice and Due Date</w:t>
      </w:r>
      <w:bookmarkEnd w:id="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0CDE296A" w14:textId="77777777">
        <w:tc>
          <w:tcPr>
            <w:tcW w:w="9360" w:type="dxa"/>
            <w:tcBorders>
              <w:top w:val="single" w:sz="12" w:space="0" w:color="E53E3E"/>
              <w:left w:val="single" w:sz="12" w:space="0" w:color="E53E3E"/>
            </w:tcBorders>
            <w:shd w:val="clear" w:color="auto" w:fill="FFF5F5"/>
            <w:tcMar>
              <w:top w:w="80" w:type="dxa"/>
              <w:left w:w="120" w:type="dxa"/>
              <w:bottom w:w="0" w:type="dxa"/>
              <w:right w:w="120" w:type="dxa"/>
            </w:tcMar>
          </w:tcPr>
          <w:p w14:paraId="70CD3E5B" w14:textId="77777777" w:rsidR="0046004D" w:rsidRDefault="00000000">
            <w:r>
              <w:rPr>
                <w:b/>
                <w:bCs/>
                <w:color w:val="E53E3E"/>
                <w:sz w:val="20"/>
                <w:szCs w:val="20"/>
              </w:rPr>
              <w:t>The Most Important Operational Control</w:t>
            </w:r>
          </w:p>
        </w:tc>
      </w:tr>
      <w:tr w:rsidR="0046004D" w14:paraId="69461D21" w14:textId="77777777">
        <w:tc>
          <w:tcPr>
            <w:tcW w:w="9360" w:type="dxa"/>
            <w:tcBorders>
              <w:left w:val="single" w:sz="12" w:space="0" w:color="E53E3E"/>
            </w:tcBorders>
            <w:shd w:val="clear" w:color="auto" w:fill="FFF5F5"/>
            <w:tcMar>
              <w:top w:w="0" w:type="dxa"/>
              <w:left w:w="120" w:type="dxa"/>
              <w:bottom w:w="0" w:type="dxa"/>
              <w:right w:w="120" w:type="dxa"/>
            </w:tcMar>
          </w:tcPr>
          <w:p w14:paraId="41E780D4" w14:textId="77777777" w:rsidR="0046004D" w:rsidRDefault="00000000">
            <w:pPr>
              <w:spacing w:after="80"/>
            </w:pPr>
            <w:r>
              <w:rPr>
                <w:color w:val="2D3748"/>
                <w:sz w:val="20"/>
                <w:szCs w:val="20"/>
              </w:rPr>
              <w:t>Any change to bank details must be verified by callback to a number held on file — not to a number in the email requesting the change.</w:t>
            </w:r>
          </w:p>
        </w:tc>
      </w:tr>
      <w:tr w:rsidR="0046004D" w14:paraId="26BBF257" w14:textId="77777777">
        <w:tc>
          <w:tcPr>
            <w:tcW w:w="9360" w:type="dxa"/>
            <w:tcBorders>
              <w:left w:val="single" w:sz="12" w:space="0" w:color="E53E3E"/>
            </w:tcBorders>
            <w:shd w:val="clear" w:color="auto" w:fill="FFF5F5"/>
            <w:tcMar>
              <w:top w:w="0" w:type="dxa"/>
              <w:left w:w="120" w:type="dxa"/>
              <w:bottom w:w="0" w:type="dxa"/>
              <w:right w:w="120" w:type="dxa"/>
            </w:tcMar>
          </w:tcPr>
          <w:p w14:paraId="41D86C35" w14:textId="77777777" w:rsidR="0046004D" w:rsidRDefault="0046004D">
            <w:pPr>
              <w:spacing w:after="80"/>
            </w:pPr>
          </w:p>
        </w:tc>
      </w:tr>
      <w:tr w:rsidR="0046004D" w14:paraId="016A4302" w14:textId="77777777">
        <w:tc>
          <w:tcPr>
            <w:tcW w:w="9360" w:type="dxa"/>
            <w:tcBorders>
              <w:left w:val="single" w:sz="12" w:space="0" w:color="E53E3E"/>
              <w:bottom w:val="single" w:sz="4" w:space="0" w:color="E53E3E"/>
            </w:tcBorders>
            <w:shd w:val="clear" w:color="auto" w:fill="FFF5F5"/>
            <w:tcMar>
              <w:top w:w="0" w:type="dxa"/>
              <w:left w:w="120" w:type="dxa"/>
              <w:bottom w:w="80" w:type="dxa"/>
              <w:right w:w="120" w:type="dxa"/>
            </w:tcMar>
          </w:tcPr>
          <w:p w14:paraId="134CB938" w14:textId="77777777" w:rsidR="0046004D" w:rsidRDefault="00000000">
            <w:r>
              <w:rPr>
                <w:color w:val="2D3748"/>
                <w:sz w:val="20"/>
                <w:szCs w:val="20"/>
              </w:rPr>
              <w:t>Capital call notices are the single most impersonated document in private markets fraud. The bank-detail callback is not optional.</w:t>
            </w:r>
          </w:p>
        </w:tc>
      </w:tr>
    </w:tbl>
    <w:p w14:paraId="649956E7" w14:textId="77777777" w:rsidR="0046004D" w:rsidRDefault="0046004D">
      <w:pPr>
        <w:spacing w:after="160"/>
      </w:pPr>
    </w:p>
    <w:p w14:paraId="69A7B814" w14:textId="77777777" w:rsidR="0046004D" w:rsidRDefault="00000000">
      <w:pPr>
        <w:pStyle w:val="Heading2"/>
      </w:pPr>
      <w:bookmarkStart w:id="53" w:name="_Toc237337496"/>
      <w:proofErr w:type="gramStart"/>
      <w:r>
        <w:t>A.6  Due</w:t>
      </w:r>
      <w:proofErr w:type="gramEnd"/>
      <w:r>
        <w:t xml:space="preserve"> Date, Then Reconcile</w:t>
      </w:r>
      <w:bookmarkEnd w:id="53"/>
    </w:p>
    <w:p w14:paraId="624DCC9A" w14:textId="77777777" w:rsidR="0046004D" w:rsidRDefault="00000000">
      <w:pPr>
        <w:spacing w:after="120"/>
      </w:pPr>
      <w:r>
        <w:t>Cash lands. The administrator reconciles receipts against expected amounts per LP, identifies shortfalls, and only then is the money available to move. Deployment before reconciliation is how a fund winds up having funded a deal that an LP then failed to cover.</w:t>
      </w:r>
    </w:p>
    <w:p w14:paraId="5DAF1B04" w14:textId="77777777" w:rsidR="0046004D" w:rsidRDefault="00000000">
      <w:pPr>
        <w:pStyle w:val="Heading2"/>
      </w:pPr>
      <w:bookmarkStart w:id="54" w:name="_Toc237337497"/>
      <w:proofErr w:type="gramStart"/>
      <w:r>
        <w:t>A.7  Deploy</w:t>
      </w:r>
      <w:proofErr w:type="gramEnd"/>
      <w:r>
        <w:t>, Then Post</w:t>
      </w:r>
      <w:bookmarkEnd w:id="54"/>
    </w:p>
    <w:p w14:paraId="21AC57F3" w14:textId="77777777" w:rsidR="0046004D" w:rsidRDefault="00000000">
      <w:pPr>
        <w:spacing w:after="120"/>
      </w:pPr>
      <w:r>
        <w:t>Funds go out in the order the notice described: equity to the SPV, fee to the manager, expenses to the providers, repayment to the lender. Then three sets of books are updated:</w:t>
      </w:r>
    </w:p>
    <w:p w14:paraId="6BB6C38A"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Σ LP capital </w:t>
      </w:r>
      <w:proofErr w:type="gramStart"/>
      <w:r>
        <w:rPr>
          <w:rFonts w:ascii="Courier New" w:eastAsia="Courier New" w:hAnsi="Courier New" w:cs="Courier New"/>
          <w:color w:val="2D3748"/>
          <w:sz w:val="18"/>
          <w:szCs w:val="18"/>
        </w:rPr>
        <w:t>accounts  =</w:t>
      </w:r>
      <w:proofErr w:type="gramEnd"/>
      <w:r>
        <w:rPr>
          <w:rFonts w:ascii="Courier New" w:eastAsia="Courier New" w:hAnsi="Courier New" w:cs="Courier New"/>
          <w:color w:val="2D3748"/>
          <w:sz w:val="18"/>
          <w:szCs w:val="18"/>
        </w:rPr>
        <w:t xml:space="preserve">  partners' capital in the </w:t>
      </w:r>
      <w:proofErr w:type="gramStart"/>
      <w:r>
        <w:rPr>
          <w:rFonts w:ascii="Courier New" w:eastAsia="Courier New" w:hAnsi="Courier New" w:cs="Courier New"/>
          <w:color w:val="2D3748"/>
          <w:sz w:val="18"/>
          <w:szCs w:val="18"/>
        </w:rPr>
        <w:t>GL  =</w:t>
      </w:r>
      <w:proofErr w:type="gramEnd"/>
      <w:r>
        <w:rPr>
          <w:rFonts w:ascii="Courier New" w:eastAsia="Courier New" w:hAnsi="Courier New" w:cs="Courier New"/>
          <w:color w:val="2D3748"/>
          <w:sz w:val="18"/>
          <w:szCs w:val="18"/>
        </w:rPr>
        <w:t xml:space="preserve">  NAV</w:t>
      </w:r>
    </w:p>
    <w:p w14:paraId="5D788329" w14:textId="77777777" w:rsidR="0046004D" w:rsidRDefault="0046004D">
      <w:pPr>
        <w:spacing w:after="160"/>
      </w:pPr>
    </w:p>
    <w:p w14:paraId="734CA9D0" w14:textId="77777777" w:rsidR="0046004D" w:rsidRDefault="00000000">
      <w:pPr>
        <w:spacing w:after="120"/>
      </w:pPr>
      <w:r>
        <w:t>Unfunded commitment is recalculated at this point — it is a derived figure: committed less the sum of contributions. It is not stored, and a capital call is precisely the event that makes a stored version stale.</w:t>
      </w:r>
    </w:p>
    <w:p w14:paraId="5F1B7C4F" w14:textId="77777777" w:rsidR="0046004D" w:rsidRDefault="00000000">
      <w:pPr>
        <w:pStyle w:val="Heading2"/>
      </w:pPr>
      <w:bookmarkStart w:id="55" w:name="_Toc237337498"/>
      <w:proofErr w:type="gramStart"/>
      <w:r>
        <w:t>A.8  Failure</w:t>
      </w:r>
      <w:proofErr w:type="gramEnd"/>
      <w:r>
        <w:t xml:space="preserve"> to Fund</w:t>
      </w:r>
      <w:bookmarkEnd w:id="55"/>
    </w:p>
    <w:p w14:paraId="3C7CC455" w14:textId="77777777" w:rsidR="0046004D" w:rsidRDefault="00000000">
      <w:pPr>
        <w:spacing w:after="120"/>
      </w:pPr>
      <w:r>
        <w:t xml:space="preserve">A missed due date </w:t>
      </w:r>
      <w:proofErr w:type="gramStart"/>
      <w:r>
        <w:t>starts</w:t>
      </w:r>
      <w:proofErr w:type="gramEnd"/>
      <w:r>
        <w:t xml:space="preserve"> a defined sequence set by the LPA: a cure period of a few business days; default interest accruing from the original due date; then escalating remedies — forced transfer of interest at a discount, forfeiture of some or </w:t>
      </w:r>
      <w:proofErr w:type="gramStart"/>
      <w:r>
        <w:t>all of</w:t>
      </w:r>
      <w:proofErr w:type="gramEnd"/>
      <w:r>
        <w:t xml:space="preserve"> prior distributions, and ultimately exclusion from the fund.</w:t>
      </w:r>
    </w:p>
    <w:p w14:paraId="1984BE5C" w14:textId="77777777" w:rsidR="0046004D" w:rsidRDefault="00000000">
      <w:pPr>
        <w:pStyle w:val="Heading2"/>
      </w:pPr>
      <w:bookmarkStart w:id="56" w:name="_Toc237337499"/>
      <w:proofErr w:type="gramStart"/>
      <w:r>
        <w:lastRenderedPageBreak/>
        <w:t>A.9  What</w:t>
      </w:r>
      <w:proofErr w:type="gramEnd"/>
      <w:r>
        <w:t xml:space="preserve"> Changes for the Other Three Calls</w:t>
      </w:r>
      <w:bookmarkEnd w:id="56"/>
    </w:p>
    <w:p w14:paraId="14877BDB" w14:textId="77777777" w:rsidR="0046004D" w:rsidRDefault="00000000">
      <w:pPr>
        <w:spacing w:after="120"/>
      </w:pPr>
      <w:r>
        <w:t xml:space="preserve">The managed account is the </w:t>
      </w:r>
      <w:proofErr w:type="gramStart"/>
      <w:r>
        <w:t>one</w:t>
      </w:r>
      <w:proofErr w:type="gramEnd"/>
      <w:r>
        <w:t xml:space="preserve"> most often got wrong, because it looks like part of the </w:t>
      </w:r>
      <w:proofErr w:type="spellStart"/>
      <w:r>
        <w:t>programme</w:t>
      </w:r>
      <w:proofErr w:type="spellEnd"/>
      <w:r>
        <w:t xml:space="preserve"> and is not. It has its own mandate, its own investor, and its own drawdown schedule. It is not swept into the pro-rata run — it receives its own separate notice, runs its own separate timeline, and reconciles separately.</w:t>
      </w:r>
    </w:p>
    <w:p w14:paraId="2CA74F62" w14:textId="77777777" w:rsidR="0046004D" w:rsidRDefault="00000000">
      <w:pPr>
        <w:pStyle w:val="Heading2"/>
      </w:pPr>
      <w:bookmarkStart w:id="57" w:name="_Toc237337500"/>
      <w:proofErr w:type="gramStart"/>
      <w:r>
        <w:t>A.10  The</w:t>
      </w:r>
      <w:proofErr w:type="gramEnd"/>
      <w:r>
        <w:t xml:space="preserve"> Controls, In One Place</w:t>
      </w:r>
      <w:bookmarkEnd w:id="57"/>
    </w:p>
    <w:p w14:paraId="299D3FBD" w14:textId="77777777" w:rsidR="0046004D" w:rsidRDefault="00000000">
      <w:pPr>
        <w:pStyle w:val="ListParagraph"/>
        <w:numPr>
          <w:ilvl w:val="0"/>
          <w:numId w:val="1"/>
        </w:numPr>
        <w:spacing w:after="80"/>
      </w:pPr>
      <w:r>
        <w:t>Aggregate call ≤ aggregate unfunded; no LP called above their own unfunded</w:t>
      </w:r>
    </w:p>
    <w:p w14:paraId="10A30709" w14:textId="77777777" w:rsidR="0046004D" w:rsidRDefault="00000000">
      <w:pPr>
        <w:pStyle w:val="ListParagraph"/>
        <w:numPr>
          <w:ilvl w:val="0"/>
          <w:numId w:val="1"/>
        </w:numPr>
        <w:spacing w:after="80"/>
      </w:pPr>
      <w:r>
        <w:t>Allocation computed on unfunded, not committed</w:t>
      </w:r>
    </w:p>
    <w:p w14:paraId="5951A1C9" w14:textId="77777777" w:rsidR="0046004D" w:rsidRDefault="00000000">
      <w:pPr>
        <w:pStyle w:val="ListParagraph"/>
        <w:numPr>
          <w:ilvl w:val="0"/>
          <w:numId w:val="1"/>
        </w:numPr>
        <w:spacing w:after="80"/>
      </w:pPr>
      <w:proofErr w:type="spellStart"/>
      <w:r>
        <w:t>Equalisation</w:t>
      </w:r>
      <w:proofErr w:type="spellEnd"/>
      <w:r>
        <w:t xml:space="preserve"> applied for every LP admitted after the first close</w:t>
      </w:r>
    </w:p>
    <w:p w14:paraId="2BB87ABB" w14:textId="77777777" w:rsidR="0046004D" w:rsidRDefault="00000000">
      <w:pPr>
        <w:pStyle w:val="ListParagraph"/>
        <w:numPr>
          <w:ilvl w:val="0"/>
          <w:numId w:val="1"/>
        </w:numPr>
        <w:spacing w:after="80"/>
      </w:pPr>
      <w:r>
        <w:t>Excused LPs reallocated across the remainder, not silently dropped</w:t>
      </w:r>
    </w:p>
    <w:p w14:paraId="5F492230" w14:textId="77777777" w:rsidR="0046004D" w:rsidRDefault="00000000">
      <w:pPr>
        <w:pStyle w:val="ListParagraph"/>
        <w:numPr>
          <w:ilvl w:val="0"/>
          <w:numId w:val="1"/>
        </w:numPr>
        <w:spacing w:after="80"/>
      </w:pPr>
      <w:r>
        <w:t xml:space="preserve">Feeder notices issued ahead of the master run, with enough settlement days for every </w:t>
      </w:r>
      <w:proofErr w:type="gramStart"/>
      <w:r>
        <w:t>hop</w:t>
      </w:r>
      <w:proofErr w:type="gramEnd"/>
    </w:p>
    <w:p w14:paraId="13B16581" w14:textId="77777777" w:rsidR="0046004D" w:rsidRDefault="00000000">
      <w:pPr>
        <w:pStyle w:val="ListParagraph"/>
        <w:numPr>
          <w:ilvl w:val="0"/>
          <w:numId w:val="1"/>
        </w:numPr>
        <w:spacing w:after="80"/>
      </w:pPr>
      <w:r>
        <w:t>Minimum notice period met, per the LPA</w:t>
      </w:r>
    </w:p>
    <w:p w14:paraId="178FC614" w14:textId="77777777" w:rsidR="0046004D" w:rsidRDefault="00000000">
      <w:pPr>
        <w:pStyle w:val="ListParagraph"/>
        <w:numPr>
          <w:ilvl w:val="0"/>
          <w:numId w:val="1"/>
        </w:numPr>
        <w:spacing w:after="80"/>
      </w:pPr>
      <w:r>
        <w:t>Notice prepared, approved, and released by different people; signed by two</w:t>
      </w:r>
    </w:p>
    <w:p w14:paraId="01AEBA4C" w14:textId="77777777" w:rsidR="0046004D" w:rsidRDefault="00000000">
      <w:pPr>
        <w:pStyle w:val="ListParagraph"/>
        <w:numPr>
          <w:ilvl w:val="0"/>
          <w:numId w:val="1"/>
        </w:numPr>
        <w:spacing w:after="80"/>
      </w:pPr>
      <w:r>
        <w:t>Every change of bank detail verified by callback to a number held on file</w:t>
      </w:r>
    </w:p>
    <w:p w14:paraId="272D9E99" w14:textId="77777777" w:rsidR="0046004D" w:rsidRDefault="00000000">
      <w:pPr>
        <w:pStyle w:val="ListParagraph"/>
        <w:numPr>
          <w:ilvl w:val="0"/>
          <w:numId w:val="1"/>
        </w:numPr>
        <w:spacing w:after="80"/>
      </w:pPr>
      <w:r>
        <w:t>Receipts reconciled per LP before any cash is deployed</w:t>
      </w:r>
    </w:p>
    <w:p w14:paraId="1C2A14C6" w14:textId="77777777" w:rsidR="0046004D" w:rsidRDefault="00000000">
      <w:pPr>
        <w:pStyle w:val="ListParagraph"/>
        <w:numPr>
          <w:ilvl w:val="0"/>
          <w:numId w:val="1"/>
        </w:numPr>
        <w:spacing w:after="80"/>
      </w:pPr>
      <w:r>
        <w:t>Capital accounts, general ledger, and NAV agree after posting</w:t>
      </w:r>
    </w:p>
    <w:p w14:paraId="156BBB76" w14:textId="77777777" w:rsidR="0046004D" w:rsidRDefault="00000000">
      <w:pPr>
        <w:pStyle w:val="ListParagraph"/>
        <w:numPr>
          <w:ilvl w:val="0"/>
          <w:numId w:val="1"/>
        </w:numPr>
        <w:spacing w:after="80"/>
      </w:pPr>
      <w:r>
        <w:t>Unfunded recalculated as a derivation, not adjusted by hand</w:t>
      </w:r>
    </w:p>
    <w:p w14:paraId="610354F0" w14:textId="77777777" w:rsidR="0046004D" w:rsidRDefault="00000000">
      <w:pPr>
        <w:pStyle w:val="ListParagraph"/>
        <w:numPr>
          <w:ilvl w:val="0"/>
          <w:numId w:val="1"/>
        </w:numPr>
        <w:spacing w:after="80"/>
      </w:pPr>
      <w:r>
        <w:t>Co-investment and managed account calls run and reconciled separately, on their own clocks</w:t>
      </w:r>
    </w:p>
    <w:p w14:paraId="57DE686F" w14:textId="77777777" w:rsidR="0046004D" w:rsidRDefault="0046004D">
      <w:pPr>
        <w:spacing w:after="240"/>
      </w:pPr>
    </w:p>
    <w:p w14:paraId="0A593DB9" w14:textId="77777777" w:rsidR="0046004D" w:rsidRDefault="0046004D">
      <w:pPr>
        <w:pBdr>
          <w:bottom w:val="single" w:sz="6" w:space="0" w:color="D1D9E6"/>
        </w:pBdr>
        <w:spacing w:after="160"/>
      </w:pPr>
    </w:p>
    <w:p w14:paraId="1CA19C0E" w14:textId="77777777" w:rsidR="0046004D" w:rsidRDefault="00000000">
      <w:pPr>
        <w:spacing w:before="160"/>
        <w:jc w:val="center"/>
      </w:pPr>
      <w:r>
        <w:rPr>
          <w:i/>
          <w:iCs/>
          <w:color w:val="94A3B8"/>
          <w:sz w:val="18"/>
          <w:szCs w:val="18"/>
        </w:rPr>
        <w:t>Files: pe-fund-</w:t>
      </w:r>
      <w:proofErr w:type="spellStart"/>
      <w:proofErr w:type="gramStart"/>
      <w:r>
        <w:rPr>
          <w:i/>
          <w:iCs/>
          <w:color w:val="94A3B8"/>
          <w:sz w:val="18"/>
          <w:szCs w:val="18"/>
        </w:rPr>
        <w:t>hierarchy.trig</w:t>
      </w:r>
      <w:proofErr w:type="spellEnd"/>
      <w:proofErr w:type="gramEnd"/>
      <w:r>
        <w:rPr>
          <w:i/>
          <w:iCs/>
          <w:color w:val="94A3B8"/>
          <w:sz w:val="18"/>
          <w:szCs w:val="18"/>
        </w:rPr>
        <w:t xml:space="preserve"> (ontology, reference data, SHACL </w:t>
      </w:r>
      <w:proofErr w:type="gramStart"/>
      <w:r>
        <w:rPr>
          <w:i/>
          <w:iCs/>
          <w:color w:val="94A3B8"/>
          <w:sz w:val="18"/>
          <w:szCs w:val="18"/>
        </w:rPr>
        <w:t>shapes) ·</w:t>
      </w:r>
      <w:proofErr w:type="gramEnd"/>
      <w:r>
        <w:rPr>
          <w:i/>
          <w:iCs/>
          <w:color w:val="94A3B8"/>
          <w:sz w:val="18"/>
          <w:szCs w:val="18"/>
        </w:rPr>
        <w:t xml:space="preserve"> </w:t>
      </w:r>
      <w:proofErr w:type="spellStart"/>
      <w:r>
        <w:rPr>
          <w:i/>
          <w:iCs/>
          <w:color w:val="94A3B8"/>
          <w:sz w:val="18"/>
          <w:szCs w:val="18"/>
        </w:rPr>
        <w:t>amc-</w:t>
      </w:r>
      <w:proofErr w:type="gramStart"/>
      <w:r>
        <w:rPr>
          <w:i/>
          <w:iCs/>
          <w:color w:val="94A3B8"/>
          <w:sz w:val="18"/>
          <w:szCs w:val="18"/>
        </w:rPr>
        <w:t>dataset.trig</w:t>
      </w:r>
      <w:proofErr w:type="spellEnd"/>
      <w:proofErr w:type="gramEnd"/>
      <w:r>
        <w:rPr>
          <w:i/>
          <w:iCs/>
          <w:color w:val="94A3B8"/>
          <w:sz w:val="18"/>
          <w:szCs w:val="18"/>
        </w:rPr>
        <w:t xml:space="preserve"> (generated </w:t>
      </w:r>
      <w:proofErr w:type="gramStart"/>
      <w:r>
        <w:rPr>
          <w:i/>
          <w:iCs/>
          <w:color w:val="94A3B8"/>
          <w:sz w:val="18"/>
          <w:szCs w:val="18"/>
        </w:rPr>
        <w:t>book) ·</w:t>
      </w:r>
      <w:proofErr w:type="gramEnd"/>
      <w:r>
        <w:rPr>
          <w:i/>
          <w:iCs/>
          <w:color w:val="94A3B8"/>
          <w:sz w:val="18"/>
          <w:szCs w:val="18"/>
        </w:rPr>
        <w:t xml:space="preserve"> seventeen CSV extracts · generate_amc_dataset.py · check_setwise.py</w:t>
      </w:r>
    </w:p>
    <w:p w14:paraId="7EEC8140" w14:textId="77777777" w:rsidR="0046004D" w:rsidRDefault="00000000">
      <w:r>
        <w:br w:type="page"/>
      </w:r>
    </w:p>
    <w:p w14:paraId="52276EFB" w14:textId="77777777" w:rsidR="0046004D" w:rsidRDefault="00000000">
      <w:pPr>
        <w:pStyle w:val="Heading1"/>
        <w:pBdr>
          <w:bottom w:val="single" w:sz="8" w:space="0" w:color="C8952A"/>
        </w:pBdr>
      </w:pPr>
      <w:bookmarkStart w:id="58" w:name="_Toc237337501"/>
      <w:r>
        <w:lastRenderedPageBreak/>
        <w:t xml:space="preserve">Appendix </w:t>
      </w:r>
      <w:proofErr w:type="gramStart"/>
      <w:r>
        <w:t>B  Feeder</w:t>
      </w:r>
      <w:proofErr w:type="gramEnd"/>
      <w:r>
        <w:t xml:space="preserve"> → Main Fund: Operational Mechanics</w:t>
      </w:r>
      <w:bookmarkEnd w:id="58"/>
    </w:p>
    <w:p w14:paraId="4DD98167" w14:textId="77777777" w:rsidR="0046004D" w:rsidRDefault="00000000">
      <w:pPr>
        <w:spacing w:after="120"/>
      </w:pPr>
      <w:r>
        <w:t xml:space="preserve">This appendix documents how capital flows between feeder funds and the main (master) fund in a drawdown closed-end structure, with worked journal entries and balance sheet snapshots. It translates the model decisions in Sections 2 and 10 into operating </w:t>
      </w:r>
      <w:proofErr w:type="gramStart"/>
      <w:r>
        <w:t>procedure</w:t>
      </w:r>
      <w:proofErr w:type="gramEnd"/>
      <w:r>
        <w:t>.</w:t>
      </w:r>
    </w:p>
    <w:p w14:paraId="2C462DAD" w14:textId="77777777" w:rsidR="0046004D" w:rsidRDefault="00000000">
      <w:pPr>
        <w:pStyle w:val="Heading2"/>
      </w:pPr>
      <w:bookmarkStart w:id="59" w:name="_Toc237337502"/>
      <w:proofErr w:type="gramStart"/>
      <w:r>
        <w:t>B.1  Structure</w:t>
      </w:r>
      <w:proofErr w:type="gramEnd"/>
      <w:r>
        <w:t xml:space="preserve"> Overview</w:t>
      </w:r>
      <w:bookmarkEnd w:id="59"/>
    </w:p>
    <w:p w14:paraId="1B5316D9" w14:textId="77777777" w:rsidR="0046004D" w:rsidRDefault="00000000">
      <w:pPr>
        <w:spacing w:after="120"/>
      </w:pPr>
      <w:r>
        <w:t>In a master-feeder structure, investors commit capital to a Feeder Fund — typically structured to accommodate different investor types (domestic taxable, tax-exempt, non-US). The Feeder holds a limited partnership interest in the Master Fund, which makes all actual investments. Trades are never executed at the Feeder level.</w:t>
      </w:r>
    </w:p>
    <w:p w14:paraId="5DA043DE" w14:textId="77777777" w:rsidR="0046004D" w:rsidRDefault="0046004D">
      <w:pPr>
        <w:spacing w:after="80"/>
      </w:pPr>
    </w:p>
    <w:p w14:paraId="68588EF6"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LP</w:t>
      </w:r>
      <w:proofErr w:type="gramStart"/>
      <w:r>
        <w:rPr>
          <w:rFonts w:ascii="Courier New" w:eastAsia="Courier New" w:hAnsi="Courier New" w:cs="Courier New"/>
          <w:color w:val="2D3748"/>
          <w:sz w:val="18"/>
          <w:szCs w:val="18"/>
        </w:rPr>
        <w:t>1  LP2  LP</w:t>
      </w:r>
      <w:proofErr w:type="gramEnd"/>
      <w:r>
        <w:rPr>
          <w:rFonts w:ascii="Courier New" w:eastAsia="Courier New" w:hAnsi="Courier New" w:cs="Courier New"/>
          <w:color w:val="2D3748"/>
          <w:sz w:val="18"/>
          <w:szCs w:val="18"/>
        </w:rPr>
        <w:t>3               LP</w:t>
      </w:r>
      <w:proofErr w:type="gramStart"/>
      <w:r>
        <w:rPr>
          <w:rFonts w:ascii="Courier New" w:eastAsia="Courier New" w:hAnsi="Courier New" w:cs="Courier New"/>
          <w:color w:val="2D3748"/>
          <w:sz w:val="18"/>
          <w:szCs w:val="18"/>
        </w:rPr>
        <w:t>4  LP</w:t>
      </w:r>
      <w:proofErr w:type="gramEnd"/>
      <w:r>
        <w:rPr>
          <w:rFonts w:ascii="Courier New" w:eastAsia="Courier New" w:hAnsi="Courier New" w:cs="Courier New"/>
          <w:color w:val="2D3748"/>
          <w:sz w:val="18"/>
          <w:szCs w:val="18"/>
        </w:rPr>
        <w:t>5               LP</w:t>
      </w:r>
      <w:proofErr w:type="gramStart"/>
      <w:r>
        <w:rPr>
          <w:rFonts w:ascii="Courier New" w:eastAsia="Courier New" w:hAnsi="Courier New" w:cs="Courier New"/>
          <w:color w:val="2D3748"/>
          <w:sz w:val="18"/>
          <w:szCs w:val="18"/>
        </w:rPr>
        <w:t>6  LP</w:t>
      </w:r>
      <w:proofErr w:type="gramEnd"/>
      <w:r>
        <w:rPr>
          <w:rFonts w:ascii="Courier New" w:eastAsia="Courier New" w:hAnsi="Courier New" w:cs="Courier New"/>
          <w:color w:val="2D3748"/>
          <w:sz w:val="18"/>
          <w:szCs w:val="18"/>
        </w:rPr>
        <w:t>7</w:t>
      </w:r>
    </w:p>
    <w:p w14:paraId="2871621D"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    |    |                 |    |                  |    |</w:t>
      </w:r>
    </w:p>
    <w:p w14:paraId="20CDB7D9"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  Feeder</w:t>
      </w:r>
      <w:proofErr w:type="gramEnd"/>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A  ]</w:t>
      </w:r>
      <w:proofErr w:type="gramEnd"/>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 xml:space="preserve">   [</w:t>
      </w:r>
      <w:proofErr w:type="gramEnd"/>
      <w:r>
        <w:rPr>
          <w:rFonts w:ascii="Courier New" w:eastAsia="Courier New" w:hAnsi="Courier New" w:cs="Courier New"/>
          <w:color w:val="2D3748"/>
          <w:sz w:val="18"/>
          <w:szCs w:val="18"/>
        </w:rPr>
        <w:t xml:space="preserve">  Feeder </w:t>
      </w:r>
      <w:proofErr w:type="gramStart"/>
      <w:r>
        <w:rPr>
          <w:rFonts w:ascii="Courier New" w:eastAsia="Courier New" w:hAnsi="Courier New" w:cs="Courier New"/>
          <w:color w:val="2D3748"/>
          <w:sz w:val="18"/>
          <w:szCs w:val="18"/>
        </w:rPr>
        <w:t>B  ]</w:t>
      </w:r>
      <w:proofErr w:type="gramEnd"/>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 xml:space="preserve">   [</w:t>
      </w:r>
      <w:proofErr w:type="gramEnd"/>
      <w:r>
        <w:rPr>
          <w:rFonts w:ascii="Courier New" w:eastAsia="Courier New" w:hAnsi="Courier New" w:cs="Courier New"/>
          <w:color w:val="2D3748"/>
          <w:sz w:val="18"/>
          <w:szCs w:val="18"/>
        </w:rPr>
        <w:t xml:space="preserve">  Feeder </w:t>
      </w:r>
      <w:proofErr w:type="gramStart"/>
      <w:r>
        <w:rPr>
          <w:rFonts w:ascii="Courier New" w:eastAsia="Courier New" w:hAnsi="Courier New" w:cs="Courier New"/>
          <w:color w:val="2D3748"/>
          <w:sz w:val="18"/>
          <w:szCs w:val="18"/>
        </w:rPr>
        <w:t>C  ]</w:t>
      </w:r>
      <w:proofErr w:type="gramEnd"/>
    </w:p>
    <w:p w14:paraId="0F12B3FC"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Domestic LP · 40%         Tax-Exempt · 30%        Offshore · 30%</w:t>
      </w:r>
    </w:p>
    <w:p w14:paraId="5B8F8E35"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                         |                       |</w:t>
      </w:r>
    </w:p>
    <w:p w14:paraId="2D4F61EB"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
    <w:p w14:paraId="596C45F7"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
    <w:p w14:paraId="29C50D84"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 Main</w:t>
      </w:r>
      <w:proofErr w:type="gramEnd"/>
      <w:r>
        <w:rPr>
          <w:rFonts w:ascii="Courier New" w:eastAsia="Courier New" w:hAnsi="Courier New" w:cs="Courier New"/>
          <w:color w:val="2D3748"/>
          <w:sz w:val="18"/>
          <w:szCs w:val="18"/>
        </w:rPr>
        <w:t xml:space="preserve"> Fund (Master</w:t>
      </w:r>
      <w:proofErr w:type="gramStart"/>
      <w:r>
        <w:rPr>
          <w:rFonts w:ascii="Courier New" w:eastAsia="Courier New" w:hAnsi="Courier New" w:cs="Courier New"/>
          <w:color w:val="2D3748"/>
          <w:sz w:val="18"/>
          <w:szCs w:val="18"/>
        </w:rPr>
        <w:t>) ]</w:t>
      </w:r>
      <w:proofErr w:type="gramEnd"/>
    </w:p>
    <w:p w14:paraId="07A4534E"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
    <w:p w14:paraId="461C7C5A"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
    <w:p w14:paraId="4DDB5832"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[Portfolio Co. 1</w:t>
      </w:r>
      <w:proofErr w:type="gramStart"/>
      <w:r>
        <w:rPr>
          <w:rFonts w:ascii="Courier New" w:eastAsia="Courier New" w:hAnsi="Courier New" w:cs="Courier New"/>
          <w:color w:val="2D3748"/>
          <w:sz w:val="18"/>
          <w:szCs w:val="18"/>
        </w:rPr>
        <w:t>]  [</w:t>
      </w:r>
      <w:proofErr w:type="gramEnd"/>
      <w:r>
        <w:rPr>
          <w:rFonts w:ascii="Courier New" w:eastAsia="Courier New" w:hAnsi="Courier New" w:cs="Courier New"/>
          <w:color w:val="2D3748"/>
          <w:sz w:val="18"/>
          <w:szCs w:val="18"/>
        </w:rPr>
        <w:t>Portfolio Co. 2</w:t>
      </w:r>
      <w:proofErr w:type="gramStart"/>
      <w:r>
        <w:rPr>
          <w:rFonts w:ascii="Courier New" w:eastAsia="Courier New" w:hAnsi="Courier New" w:cs="Courier New"/>
          <w:color w:val="2D3748"/>
          <w:sz w:val="18"/>
          <w:szCs w:val="18"/>
        </w:rPr>
        <w:t>]  [</w:t>
      </w:r>
      <w:proofErr w:type="gramEnd"/>
      <w:r>
        <w:rPr>
          <w:rFonts w:ascii="Courier New" w:eastAsia="Courier New" w:hAnsi="Courier New" w:cs="Courier New"/>
          <w:color w:val="2D3748"/>
          <w:sz w:val="18"/>
          <w:szCs w:val="18"/>
        </w:rPr>
        <w:t>Portfolio Co. N]</w:t>
      </w:r>
    </w:p>
    <w:p w14:paraId="72D34549" w14:textId="77777777" w:rsidR="0046004D" w:rsidRDefault="0046004D">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004D" w14:paraId="1C38F45F" w14:textId="77777777">
        <w:tblPrEx>
          <w:tblCellMar>
            <w:top w:w="0" w:type="dxa"/>
            <w:bottom w:w="0" w:type="dxa"/>
          </w:tblCellMar>
        </w:tblPrEx>
        <w:tc>
          <w:tcPr>
            <w:tcW w:w="9360" w:type="dxa"/>
            <w:tcBorders>
              <w:top w:val="single" w:sz="12" w:space="0" w:color="3182CE"/>
              <w:left w:val="single" w:sz="12" w:space="0" w:color="3182CE"/>
            </w:tcBorders>
            <w:shd w:val="clear" w:color="auto" w:fill="EBF4FF"/>
            <w:tcMar>
              <w:top w:w="80" w:type="dxa"/>
              <w:left w:w="120" w:type="dxa"/>
              <w:bottom w:w="0" w:type="dxa"/>
              <w:right w:w="120" w:type="dxa"/>
            </w:tcMar>
          </w:tcPr>
          <w:p w14:paraId="2E15FA88" w14:textId="77777777" w:rsidR="0046004D" w:rsidRDefault="00000000">
            <w:r>
              <w:rPr>
                <w:b/>
                <w:bCs/>
                <w:color w:val="3182CE"/>
                <w:sz w:val="20"/>
                <w:szCs w:val="20"/>
              </w:rPr>
              <w:t>Key Principle</w:t>
            </w:r>
          </w:p>
        </w:tc>
      </w:tr>
      <w:tr w:rsidR="0046004D" w14:paraId="371722A4" w14:textId="77777777">
        <w:tblPrEx>
          <w:tblCellMar>
            <w:top w:w="0" w:type="dxa"/>
            <w:bottom w:w="0" w:type="dxa"/>
          </w:tblCellMar>
        </w:tblPrEx>
        <w:tc>
          <w:tcPr>
            <w:tcW w:w="9360" w:type="dxa"/>
            <w:tcBorders>
              <w:left w:val="single" w:sz="12" w:space="0" w:color="3182CE"/>
            </w:tcBorders>
            <w:shd w:val="clear" w:color="auto" w:fill="EBF4FF"/>
            <w:tcMar>
              <w:top w:w="0" w:type="dxa"/>
              <w:left w:w="120" w:type="dxa"/>
              <w:bottom w:w="0" w:type="dxa"/>
              <w:right w:w="120" w:type="dxa"/>
            </w:tcMar>
          </w:tcPr>
          <w:p w14:paraId="5003A67E" w14:textId="77777777" w:rsidR="0046004D" w:rsidRDefault="00000000">
            <w:pPr>
              <w:spacing w:after="60"/>
            </w:pPr>
            <w:r>
              <w:rPr>
                <w:color w:val="2D3748"/>
                <w:sz w:val="20"/>
                <w:szCs w:val="20"/>
              </w:rPr>
              <w:t xml:space="preserve">Only the Main Fund holds portfolio company positions </w:t>
            </w:r>
            <w:proofErr w:type="gramStart"/>
            <w:r>
              <w:rPr>
                <w:color w:val="2D3748"/>
                <w:sz w:val="20"/>
                <w:szCs w:val="20"/>
              </w:rPr>
              <w:t>on</w:t>
            </w:r>
            <w:proofErr w:type="gramEnd"/>
            <w:r>
              <w:rPr>
                <w:color w:val="2D3748"/>
                <w:sz w:val="20"/>
                <w:szCs w:val="20"/>
              </w:rPr>
              <w:t xml:space="preserve"> its books.</w:t>
            </w:r>
          </w:p>
        </w:tc>
      </w:tr>
      <w:tr w:rsidR="0046004D" w14:paraId="360529A0" w14:textId="77777777">
        <w:tblPrEx>
          <w:tblCellMar>
            <w:top w:w="0" w:type="dxa"/>
            <w:bottom w:w="0" w:type="dxa"/>
          </w:tblCellMar>
        </w:tblPrEx>
        <w:tc>
          <w:tcPr>
            <w:tcW w:w="9360" w:type="dxa"/>
            <w:tcBorders>
              <w:left w:val="single" w:sz="12" w:space="0" w:color="3182CE"/>
            </w:tcBorders>
            <w:shd w:val="clear" w:color="auto" w:fill="EBF4FF"/>
            <w:tcMar>
              <w:top w:w="0" w:type="dxa"/>
              <w:left w:w="120" w:type="dxa"/>
              <w:bottom w:w="0" w:type="dxa"/>
              <w:right w:w="120" w:type="dxa"/>
            </w:tcMar>
          </w:tcPr>
          <w:p w14:paraId="0D98B284" w14:textId="77777777" w:rsidR="0046004D" w:rsidRDefault="00000000">
            <w:pPr>
              <w:spacing w:after="60"/>
            </w:pPr>
            <w:r>
              <w:rPr>
                <w:color w:val="2D3748"/>
                <w:sz w:val="20"/>
                <w:szCs w:val="20"/>
              </w:rPr>
              <w:t xml:space="preserve">Each Feeder carries a single line item: "Investment in Main </w:t>
            </w:r>
            <w:proofErr w:type="gramStart"/>
            <w:r>
              <w:rPr>
                <w:color w:val="2D3748"/>
                <w:sz w:val="20"/>
                <w:szCs w:val="20"/>
              </w:rPr>
              <w:t>Fund" —</w:t>
            </w:r>
            <w:proofErr w:type="gramEnd"/>
            <w:r>
              <w:rPr>
                <w:color w:val="2D3748"/>
                <w:sz w:val="20"/>
                <w:szCs w:val="20"/>
              </w:rPr>
              <w:t xml:space="preserve"> never the underlying deals.</w:t>
            </w:r>
          </w:p>
        </w:tc>
      </w:tr>
      <w:tr w:rsidR="0046004D" w14:paraId="3EFA501E" w14:textId="77777777">
        <w:tblPrEx>
          <w:tblCellMar>
            <w:top w:w="0" w:type="dxa"/>
            <w:bottom w:w="0" w:type="dxa"/>
          </w:tblCellMar>
        </w:tblPrEx>
        <w:tc>
          <w:tcPr>
            <w:tcW w:w="9360" w:type="dxa"/>
            <w:tcBorders>
              <w:left w:val="single" w:sz="12" w:space="0" w:color="3182CE"/>
              <w:bottom w:val="single" w:sz="4" w:space="0" w:color="3182CE"/>
            </w:tcBorders>
            <w:shd w:val="clear" w:color="auto" w:fill="EBF4FF"/>
            <w:tcMar>
              <w:top w:w="0" w:type="dxa"/>
              <w:left w:w="120" w:type="dxa"/>
              <w:bottom w:w="80" w:type="dxa"/>
              <w:right w:w="120" w:type="dxa"/>
            </w:tcMar>
          </w:tcPr>
          <w:p w14:paraId="7F1AB763" w14:textId="77777777" w:rsidR="0046004D" w:rsidRDefault="00000000">
            <w:r>
              <w:rPr>
                <w:color w:val="2D3748"/>
                <w:sz w:val="20"/>
                <w:szCs w:val="20"/>
              </w:rPr>
              <w:t>This is the design decision in Section 2.2: deal SPVs sit outside the feeder hierarchy.</w:t>
            </w:r>
          </w:p>
        </w:tc>
      </w:tr>
    </w:tbl>
    <w:p w14:paraId="23E0722E" w14:textId="77777777" w:rsidR="0046004D" w:rsidRDefault="0046004D">
      <w:pPr>
        <w:spacing w:after="160"/>
      </w:pPr>
    </w:p>
    <w:p w14:paraId="74891C09" w14:textId="77777777" w:rsidR="0046004D" w:rsidRDefault="00000000">
      <w:pPr>
        <w:pStyle w:val="Heading2"/>
      </w:pPr>
      <w:bookmarkStart w:id="60" w:name="_Toc237337503"/>
      <w:proofErr w:type="gramStart"/>
      <w:r>
        <w:t>B.2  Capital</w:t>
      </w:r>
      <w:proofErr w:type="gramEnd"/>
      <w:r>
        <w:t xml:space="preserve"> Call Flow — Step by Step</w:t>
      </w:r>
      <w:bookmarkEnd w:id="60"/>
    </w:p>
    <w:p w14:paraId="4B05707E" w14:textId="77777777" w:rsidR="0046004D" w:rsidRDefault="00000000">
      <w:pPr>
        <w:spacing w:after="120"/>
      </w:pPr>
      <w:r>
        <w:t>Example: $500M Main Fund with three Feeders. First investment: Acme Corp for $100M equity (20% draw on total commitments).</w:t>
      </w:r>
    </w:p>
    <w:p w14:paraId="2AB968EB" w14:textId="77777777" w:rsidR="0046004D" w:rsidRDefault="0046004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000"/>
        <w:gridCol w:w="4660"/>
        <w:gridCol w:w="3100"/>
      </w:tblGrid>
      <w:tr w:rsidR="0046004D" w14:paraId="696078B8" w14:textId="77777777">
        <w:tblPrEx>
          <w:tblCellMar>
            <w:top w:w="0" w:type="dxa"/>
            <w:bottom w:w="0" w:type="dxa"/>
          </w:tblCellMar>
        </w:tblPrEx>
        <w:tc>
          <w:tcPr>
            <w:tcW w:w="6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25FABC5D" w14:textId="77777777" w:rsidR="0046004D" w:rsidRDefault="00000000">
            <w:r>
              <w:rPr>
                <w:b/>
                <w:bCs/>
                <w:color w:val="FFFFFF"/>
                <w:sz w:val="20"/>
                <w:szCs w:val="20"/>
              </w:rPr>
              <w:t>Step</w:t>
            </w:r>
          </w:p>
        </w:tc>
        <w:tc>
          <w:tcPr>
            <w:tcW w:w="10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1F191015" w14:textId="77777777" w:rsidR="0046004D" w:rsidRDefault="00000000">
            <w:r>
              <w:rPr>
                <w:b/>
                <w:bCs/>
                <w:color w:val="FFFFFF"/>
                <w:sz w:val="20"/>
                <w:szCs w:val="20"/>
              </w:rPr>
              <w:t>Day</w:t>
            </w:r>
          </w:p>
        </w:tc>
        <w:tc>
          <w:tcPr>
            <w:tcW w:w="46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1F8AB65F" w14:textId="77777777" w:rsidR="0046004D" w:rsidRDefault="00000000">
            <w:r>
              <w:rPr>
                <w:b/>
                <w:bCs/>
                <w:color w:val="FFFFFF"/>
                <w:sz w:val="20"/>
                <w:szCs w:val="20"/>
              </w:rPr>
              <w:t>Action</w:t>
            </w:r>
          </w:p>
        </w:tc>
        <w:tc>
          <w:tcPr>
            <w:tcW w:w="31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27830B97" w14:textId="77777777" w:rsidR="0046004D" w:rsidRDefault="00000000">
            <w:r>
              <w:rPr>
                <w:b/>
                <w:bCs/>
                <w:color w:val="FFFFFF"/>
                <w:sz w:val="20"/>
                <w:szCs w:val="20"/>
              </w:rPr>
              <w:t>Amount</w:t>
            </w:r>
          </w:p>
        </w:tc>
      </w:tr>
      <w:tr w:rsidR="0046004D" w14:paraId="00D8D0E3" w14:textId="77777777">
        <w:tblPrEx>
          <w:tblCellMar>
            <w:top w:w="0" w:type="dxa"/>
            <w:bottom w:w="0" w:type="dxa"/>
          </w:tblCellMar>
        </w:tblPrEx>
        <w:tc>
          <w:tcPr>
            <w:tcW w:w="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5041505" w14:textId="77777777" w:rsidR="0046004D" w:rsidRDefault="00000000">
            <w:r>
              <w:rPr>
                <w:sz w:val="20"/>
                <w:szCs w:val="20"/>
              </w:rPr>
              <w:t>1</w:t>
            </w:r>
          </w:p>
        </w:tc>
        <w:tc>
          <w:tcPr>
            <w:tcW w:w="1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8A7230D" w14:textId="77777777" w:rsidR="0046004D" w:rsidRDefault="00000000">
            <w:r>
              <w:rPr>
                <w:sz w:val="20"/>
                <w:szCs w:val="20"/>
              </w:rPr>
              <w:t>Day 0</w:t>
            </w:r>
          </w:p>
        </w:tc>
        <w:tc>
          <w:tcPr>
            <w:tcW w:w="46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EF89971" w14:textId="77777777" w:rsidR="0046004D" w:rsidRDefault="00000000">
            <w:r>
              <w:rPr>
                <w:sz w:val="20"/>
                <w:szCs w:val="20"/>
              </w:rPr>
              <w:t xml:space="preserve">Main Fund identifies </w:t>
            </w:r>
            <w:proofErr w:type="gramStart"/>
            <w:r>
              <w:rPr>
                <w:sz w:val="20"/>
                <w:szCs w:val="20"/>
              </w:rPr>
              <w:t>investment,</w:t>
            </w:r>
            <w:proofErr w:type="gramEnd"/>
            <w:r>
              <w:rPr>
                <w:sz w:val="20"/>
                <w:szCs w:val="20"/>
              </w:rPr>
              <w:t xml:space="preserve"> issues call notices to Feeders</w:t>
            </w:r>
          </w:p>
        </w:tc>
        <w:tc>
          <w:tcPr>
            <w:tcW w:w="31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223574B" w14:textId="77777777" w:rsidR="0046004D" w:rsidRDefault="00000000">
            <w:r>
              <w:rPr>
                <w:sz w:val="20"/>
                <w:szCs w:val="20"/>
              </w:rPr>
              <w:t>—</w:t>
            </w:r>
          </w:p>
        </w:tc>
      </w:tr>
      <w:tr w:rsidR="0046004D" w14:paraId="451C5412" w14:textId="77777777">
        <w:tblPrEx>
          <w:tblCellMar>
            <w:top w:w="0" w:type="dxa"/>
            <w:bottom w:w="0" w:type="dxa"/>
          </w:tblCellMar>
        </w:tblPrEx>
        <w:tc>
          <w:tcPr>
            <w:tcW w:w="6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8D23284" w14:textId="77777777" w:rsidR="0046004D" w:rsidRDefault="00000000">
            <w:r>
              <w:rPr>
                <w:sz w:val="20"/>
                <w:szCs w:val="20"/>
              </w:rPr>
              <w:t>2</w:t>
            </w:r>
          </w:p>
        </w:tc>
        <w:tc>
          <w:tcPr>
            <w:tcW w:w="1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2E89F36" w14:textId="77777777" w:rsidR="0046004D" w:rsidRDefault="00000000">
            <w:r>
              <w:rPr>
                <w:sz w:val="20"/>
                <w:szCs w:val="20"/>
              </w:rPr>
              <w:t>Day 1–2</w:t>
            </w:r>
          </w:p>
        </w:tc>
        <w:tc>
          <w:tcPr>
            <w:tcW w:w="46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130B4DE" w14:textId="77777777" w:rsidR="0046004D" w:rsidRDefault="00000000">
            <w:r>
              <w:rPr>
                <w:sz w:val="20"/>
                <w:szCs w:val="20"/>
              </w:rPr>
              <w:t>Each Feeder issues its own capital call to underlying LPs</w:t>
            </w:r>
          </w:p>
        </w:tc>
        <w:tc>
          <w:tcPr>
            <w:tcW w:w="31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4978D82" w14:textId="77777777" w:rsidR="0046004D" w:rsidRDefault="00000000">
            <w:r>
              <w:rPr>
                <w:sz w:val="20"/>
                <w:szCs w:val="20"/>
              </w:rPr>
              <w:t>—</w:t>
            </w:r>
          </w:p>
        </w:tc>
      </w:tr>
      <w:tr w:rsidR="0046004D" w14:paraId="3AC6170D" w14:textId="77777777">
        <w:tblPrEx>
          <w:tblCellMar>
            <w:top w:w="0" w:type="dxa"/>
            <w:bottom w:w="0" w:type="dxa"/>
          </w:tblCellMar>
        </w:tblPrEx>
        <w:tc>
          <w:tcPr>
            <w:tcW w:w="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AD217F2" w14:textId="77777777" w:rsidR="0046004D" w:rsidRDefault="00000000">
            <w:r>
              <w:rPr>
                <w:sz w:val="20"/>
                <w:szCs w:val="20"/>
              </w:rPr>
              <w:t>3</w:t>
            </w:r>
          </w:p>
        </w:tc>
        <w:tc>
          <w:tcPr>
            <w:tcW w:w="1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8ED7DDA" w14:textId="77777777" w:rsidR="0046004D" w:rsidRDefault="00000000">
            <w:r>
              <w:rPr>
                <w:sz w:val="20"/>
                <w:szCs w:val="20"/>
              </w:rPr>
              <w:t>Day 8–10</w:t>
            </w:r>
          </w:p>
        </w:tc>
        <w:tc>
          <w:tcPr>
            <w:tcW w:w="46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A01CD10" w14:textId="77777777" w:rsidR="0046004D" w:rsidRDefault="00000000">
            <w:proofErr w:type="gramStart"/>
            <w:r>
              <w:rPr>
                <w:sz w:val="20"/>
                <w:szCs w:val="20"/>
              </w:rPr>
              <w:t>LPs</w:t>
            </w:r>
            <w:proofErr w:type="gramEnd"/>
            <w:r>
              <w:rPr>
                <w:sz w:val="20"/>
                <w:szCs w:val="20"/>
              </w:rPr>
              <w:t xml:space="preserve"> wire their pro-rata share to their Feeder bank account</w:t>
            </w:r>
          </w:p>
        </w:tc>
        <w:tc>
          <w:tcPr>
            <w:tcW w:w="31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224D9D8" w14:textId="77777777" w:rsidR="0046004D" w:rsidRDefault="00000000">
            <w:r>
              <w:rPr>
                <w:sz w:val="20"/>
                <w:szCs w:val="20"/>
              </w:rPr>
              <w:t>Feeder A: $40M · B: $30M · C: $30M</w:t>
            </w:r>
          </w:p>
        </w:tc>
      </w:tr>
      <w:tr w:rsidR="0046004D" w14:paraId="171C44FB" w14:textId="77777777">
        <w:tblPrEx>
          <w:tblCellMar>
            <w:top w:w="0" w:type="dxa"/>
            <w:bottom w:w="0" w:type="dxa"/>
          </w:tblCellMar>
        </w:tblPrEx>
        <w:tc>
          <w:tcPr>
            <w:tcW w:w="6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C6F108F" w14:textId="77777777" w:rsidR="0046004D" w:rsidRDefault="00000000">
            <w:r>
              <w:rPr>
                <w:sz w:val="20"/>
                <w:szCs w:val="20"/>
              </w:rPr>
              <w:t>4</w:t>
            </w:r>
          </w:p>
        </w:tc>
        <w:tc>
          <w:tcPr>
            <w:tcW w:w="1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2BDB18B0" w14:textId="77777777" w:rsidR="0046004D" w:rsidRDefault="00000000">
            <w:r>
              <w:rPr>
                <w:sz w:val="20"/>
                <w:szCs w:val="20"/>
              </w:rPr>
              <w:t>Day 10</w:t>
            </w:r>
          </w:p>
        </w:tc>
        <w:tc>
          <w:tcPr>
            <w:tcW w:w="46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F4EF082" w14:textId="77777777" w:rsidR="0046004D" w:rsidRDefault="00000000">
            <w:r>
              <w:rPr>
                <w:sz w:val="20"/>
                <w:szCs w:val="20"/>
              </w:rPr>
              <w:t>All Feeders wire called amounts to Main Fund</w:t>
            </w:r>
          </w:p>
        </w:tc>
        <w:tc>
          <w:tcPr>
            <w:tcW w:w="31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26D5329" w14:textId="77777777" w:rsidR="0046004D" w:rsidRDefault="00000000">
            <w:r>
              <w:rPr>
                <w:sz w:val="20"/>
                <w:szCs w:val="20"/>
              </w:rPr>
              <w:t>$100M received</w:t>
            </w:r>
          </w:p>
        </w:tc>
      </w:tr>
      <w:tr w:rsidR="0046004D" w14:paraId="3E7BF00A" w14:textId="77777777">
        <w:tblPrEx>
          <w:tblCellMar>
            <w:top w:w="0" w:type="dxa"/>
            <w:bottom w:w="0" w:type="dxa"/>
          </w:tblCellMar>
        </w:tblPrEx>
        <w:tc>
          <w:tcPr>
            <w:tcW w:w="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28F190A" w14:textId="77777777" w:rsidR="0046004D" w:rsidRDefault="00000000">
            <w:r>
              <w:rPr>
                <w:sz w:val="20"/>
                <w:szCs w:val="20"/>
              </w:rPr>
              <w:t>5</w:t>
            </w:r>
          </w:p>
        </w:tc>
        <w:tc>
          <w:tcPr>
            <w:tcW w:w="1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6C075E4" w14:textId="77777777" w:rsidR="0046004D" w:rsidRDefault="00000000">
            <w:r>
              <w:rPr>
                <w:sz w:val="20"/>
                <w:szCs w:val="20"/>
              </w:rPr>
              <w:t>Day 11–15</w:t>
            </w:r>
          </w:p>
        </w:tc>
        <w:tc>
          <w:tcPr>
            <w:tcW w:w="46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0777CD4" w14:textId="77777777" w:rsidR="0046004D" w:rsidRDefault="00000000">
            <w:r>
              <w:rPr>
                <w:sz w:val="20"/>
                <w:szCs w:val="20"/>
              </w:rPr>
              <w:t>Main Fund closes on Acme Corp acquisition</w:t>
            </w:r>
          </w:p>
        </w:tc>
        <w:tc>
          <w:tcPr>
            <w:tcW w:w="31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2FC920D" w14:textId="77777777" w:rsidR="0046004D" w:rsidRDefault="00000000">
            <w:r>
              <w:rPr>
                <w:sz w:val="20"/>
                <w:szCs w:val="20"/>
              </w:rPr>
              <w:t>$100M deployed</w:t>
            </w:r>
          </w:p>
        </w:tc>
      </w:tr>
    </w:tbl>
    <w:p w14:paraId="33B47804" w14:textId="77777777" w:rsidR="0046004D" w:rsidRDefault="0046004D">
      <w:pPr>
        <w:spacing w:after="200"/>
      </w:pPr>
    </w:p>
    <w:p w14:paraId="2D6CF6C3" w14:textId="77777777" w:rsidR="0046004D" w:rsidRDefault="00000000">
      <w:pPr>
        <w:pStyle w:val="Heading2"/>
      </w:pPr>
      <w:bookmarkStart w:id="61" w:name="_Toc237337504"/>
      <w:proofErr w:type="gramStart"/>
      <w:r>
        <w:t>B.3  Journal</w:t>
      </w:r>
      <w:proofErr w:type="gramEnd"/>
      <w:r>
        <w:t xml:space="preserve"> Entries at Each Level</w:t>
      </w:r>
      <w:bookmarkEnd w:id="61"/>
    </w:p>
    <w:p w14:paraId="4843715A" w14:textId="77777777" w:rsidR="0046004D" w:rsidRDefault="00000000">
      <w:pPr>
        <w:pStyle w:val="Heading3"/>
      </w:pPr>
      <w:bookmarkStart w:id="62" w:name="_Toc237337505"/>
      <w:r>
        <w:t>Feeder A (40% ownership)</w:t>
      </w:r>
      <w:bookmarkEnd w:id="62"/>
    </w:p>
    <w:p w14:paraId="5E6073B8" w14:textId="77777777" w:rsidR="0046004D" w:rsidRDefault="00000000">
      <w:pPr>
        <w:spacing w:after="120"/>
      </w:pPr>
      <w:r>
        <w:t>Step 1 — Feeder receives wires from its LPs:</w:t>
      </w:r>
    </w:p>
    <w:p w14:paraId="35443482" w14:textId="77777777" w:rsidR="0046004D" w:rsidRDefault="00000000">
      <w:pPr>
        <w:shd w:val="clear" w:color="auto" w:fill="F1F3F7"/>
        <w:ind w:left="360" w:right="360"/>
      </w:pPr>
      <w:proofErr w:type="gramStart"/>
      <w:r>
        <w:rPr>
          <w:rFonts w:ascii="Courier New" w:eastAsia="Courier New" w:hAnsi="Courier New" w:cs="Courier New"/>
          <w:color w:val="2D3748"/>
          <w:sz w:val="18"/>
          <w:szCs w:val="18"/>
        </w:rPr>
        <w:t>Dr  Cash</w:t>
      </w:r>
      <w:proofErr w:type="gramEnd"/>
      <w:r>
        <w:rPr>
          <w:rFonts w:ascii="Courier New" w:eastAsia="Courier New" w:hAnsi="Courier New" w:cs="Courier New"/>
          <w:color w:val="2D3748"/>
          <w:sz w:val="18"/>
          <w:szCs w:val="18"/>
        </w:rPr>
        <w:t xml:space="preserve">                             $40,000,000</w:t>
      </w:r>
    </w:p>
    <w:p w14:paraId="149F30D4"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Partners</w:t>
      </w:r>
      <w:proofErr w:type="gramEnd"/>
      <w:r>
        <w:rPr>
          <w:rFonts w:ascii="Courier New" w:eastAsia="Courier New" w:hAnsi="Courier New" w:cs="Courier New"/>
          <w:color w:val="2D3748"/>
          <w:sz w:val="18"/>
          <w:szCs w:val="18"/>
        </w:rPr>
        <w:t>' Capital — LPs                   $40,000,000</w:t>
      </w:r>
    </w:p>
    <w:p w14:paraId="3A20E113" w14:textId="77777777" w:rsidR="0046004D" w:rsidRDefault="0046004D">
      <w:pPr>
        <w:spacing w:after="80"/>
      </w:pPr>
    </w:p>
    <w:p w14:paraId="1A676840" w14:textId="77777777" w:rsidR="0046004D" w:rsidRDefault="00000000">
      <w:pPr>
        <w:spacing w:after="120"/>
      </w:pPr>
      <w:r>
        <w:t>Step 2 — Feeder wires capital to Main Fund:</w:t>
      </w:r>
    </w:p>
    <w:p w14:paraId="0C172AA2" w14:textId="77777777" w:rsidR="0046004D" w:rsidRDefault="00000000">
      <w:pPr>
        <w:shd w:val="clear" w:color="auto" w:fill="F1F3F7"/>
        <w:ind w:left="360" w:right="360"/>
      </w:pPr>
      <w:proofErr w:type="gramStart"/>
      <w:r>
        <w:rPr>
          <w:rFonts w:ascii="Courier New" w:eastAsia="Courier New" w:hAnsi="Courier New" w:cs="Courier New"/>
          <w:color w:val="2D3748"/>
          <w:sz w:val="18"/>
          <w:szCs w:val="18"/>
        </w:rPr>
        <w:t>Dr  Investment</w:t>
      </w:r>
      <w:proofErr w:type="gramEnd"/>
      <w:r>
        <w:rPr>
          <w:rFonts w:ascii="Courier New" w:eastAsia="Courier New" w:hAnsi="Courier New" w:cs="Courier New"/>
          <w:color w:val="2D3748"/>
          <w:sz w:val="18"/>
          <w:szCs w:val="18"/>
        </w:rPr>
        <w:t xml:space="preserve"> in Main Fund          $40,000,000</w:t>
      </w:r>
    </w:p>
    <w:p w14:paraId="6FCB31FC"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Cash</w:t>
      </w:r>
      <w:proofErr w:type="gramEnd"/>
      <w:r>
        <w:rPr>
          <w:rFonts w:ascii="Courier New" w:eastAsia="Courier New" w:hAnsi="Courier New" w:cs="Courier New"/>
          <w:color w:val="2D3748"/>
          <w:sz w:val="18"/>
          <w:szCs w:val="18"/>
        </w:rPr>
        <w:t xml:space="preserve">                                       $40,000,000</w:t>
      </w:r>
    </w:p>
    <w:p w14:paraId="61498608" w14:textId="77777777" w:rsidR="0046004D" w:rsidRDefault="0046004D">
      <w:pPr>
        <w:spacing w:after="160"/>
      </w:pPr>
    </w:p>
    <w:p w14:paraId="5CA7D9EA" w14:textId="77777777" w:rsidR="0046004D" w:rsidRDefault="00000000">
      <w:pPr>
        <w:pStyle w:val="Heading3"/>
      </w:pPr>
      <w:bookmarkStart w:id="63" w:name="_Toc237337506"/>
      <w:r>
        <w:t>Main Fund</w:t>
      </w:r>
      <w:bookmarkEnd w:id="63"/>
    </w:p>
    <w:p w14:paraId="2E5FCD43" w14:textId="77777777" w:rsidR="0046004D" w:rsidRDefault="00000000">
      <w:pPr>
        <w:spacing w:after="120"/>
      </w:pPr>
      <w:proofErr w:type="gramStart"/>
      <w:r>
        <w:t>Receives</w:t>
      </w:r>
      <w:proofErr w:type="gramEnd"/>
      <w:r>
        <w:t xml:space="preserve"> capital from all three Feeders:</w:t>
      </w:r>
    </w:p>
    <w:p w14:paraId="2C52425B" w14:textId="77777777" w:rsidR="0046004D" w:rsidRDefault="00000000">
      <w:pPr>
        <w:shd w:val="clear" w:color="auto" w:fill="F1F3F7"/>
        <w:ind w:left="360" w:right="360"/>
      </w:pPr>
      <w:proofErr w:type="gramStart"/>
      <w:r>
        <w:rPr>
          <w:rFonts w:ascii="Courier New" w:eastAsia="Courier New" w:hAnsi="Courier New" w:cs="Courier New"/>
          <w:color w:val="2D3748"/>
          <w:sz w:val="18"/>
          <w:szCs w:val="18"/>
        </w:rPr>
        <w:t>Dr  Cash</w:t>
      </w:r>
      <w:proofErr w:type="gramEnd"/>
      <w:r>
        <w:rPr>
          <w:rFonts w:ascii="Courier New" w:eastAsia="Courier New" w:hAnsi="Courier New" w:cs="Courier New"/>
          <w:color w:val="2D3748"/>
          <w:sz w:val="18"/>
          <w:szCs w:val="18"/>
        </w:rPr>
        <w:t xml:space="preserve">                            $100,000,000</w:t>
      </w:r>
    </w:p>
    <w:p w14:paraId="6AC86DAE"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Partners</w:t>
      </w:r>
      <w:proofErr w:type="gramEnd"/>
      <w:r>
        <w:rPr>
          <w:rFonts w:ascii="Courier New" w:eastAsia="Courier New" w:hAnsi="Courier New" w:cs="Courier New"/>
          <w:color w:val="2D3748"/>
          <w:sz w:val="18"/>
          <w:szCs w:val="18"/>
        </w:rPr>
        <w:t>' Capital — Feeder A              $40,000,000</w:t>
      </w:r>
    </w:p>
    <w:p w14:paraId="26249723"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Partners</w:t>
      </w:r>
      <w:proofErr w:type="gramEnd"/>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Capital — Feeder</w:t>
      </w:r>
      <w:proofErr w:type="gramEnd"/>
      <w:r>
        <w:rPr>
          <w:rFonts w:ascii="Courier New" w:eastAsia="Courier New" w:hAnsi="Courier New" w:cs="Courier New"/>
          <w:color w:val="2D3748"/>
          <w:sz w:val="18"/>
          <w:szCs w:val="18"/>
        </w:rPr>
        <w:t xml:space="preserve"> B              $30,000,000</w:t>
      </w:r>
    </w:p>
    <w:p w14:paraId="64C6D4FB"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Partners</w:t>
      </w:r>
      <w:proofErr w:type="gramEnd"/>
      <w:r>
        <w:rPr>
          <w:rFonts w:ascii="Courier New" w:eastAsia="Courier New" w:hAnsi="Courier New" w:cs="Courier New"/>
          <w:color w:val="2D3748"/>
          <w:sz w:val="18"/>
          <w:szCs w:val="18"/>
        </w:rPr>
        <w:t>' Capital — Feeder C              $30,000,000</w:t>
      </w:r>
    </w:p>
    <w:p w14:paraId="3AE59506" w14:textId="77777777" w:rsidR="0046004D" w:rsidRDefault="0046004D">
      <w:pPr>
        <w:spacing w:after="80"/>
      </w:pPr>
    </w:p>
    <w:p w14:paraId="1492D9FA" w14:textId="77777777" w:rsidR="0046004D" w:rsidRDefault="00000000">
      <w:pPr>
        <w:spacing w:after="120"/>
      </w:pPr>
      <w:r>
        <w:t>Deploys capital into Acme Corp:</w:t>
      </w:r>
    </w:p>
    <w:p w14:paraId="60C11AA5" w14:textId="77777777" w:rsidR="0046004D" w:rsidRDefault="00000000">
      <w:pPr>
        <w:shd w:val="clear" w:color="auto" w:fill="F1F3F7"/>
        <w:ind w:left="360" w:right="360"/>
      </w:pPr>
      <w:proofErr w:type="gramStart"/>
      <w:r>
        <w:rPr>
          <w:rFonts w:ascii="Courier New" w:eastAsia="Courier New" w:hAnsi="Courier New" w:cs="Courier New"/>
          <w:color w:val="2D3748"/>
          <w:sz w:val="18"/>
          <w:szCs w:val="18"/>
        </w:rPr>
        <w:t>Dr  Investment</w:t>
      </w:r>
      <w:proofErr w:type="gramEnd"/>
      <w:r>
        <w:rPr>
          <w:rFonts w:ascii="Courier New" w:eastAsia="Courier New" w:hAnsi="Courier New" w:cs="Courier New"/>
          <w:color w:val="2D3748"/>
          <w:sz w:val="18"/>
          <w:szCs w:val="18"/>
        </w:rPr>
        <w:t xml:space="preserve"> — Acme Corp          $100,000,000</w:t>
      </w:r>
    </w:p>
    <w:p w14:paraId="6B280913"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Cash</w:t>
      </w:r>
      <w:proofErr w:type="gramEnd"/>
      <w:r>
        <w:rPr>
          <w:rFonts w:ascii="Courier New" w:eastAsia="Courier New" w:hAnsi="Courier New" w:cs="Courier New"/>
          <w:color w:val="2D3748"/>
          <w:sz w:val="18"/>
          <w:szCs w:val="18"/>
        </w:rPr>
        <w:t xml:space="preserve">                                      $100,000,000</w:t>
      </w:r>
    </w:p>
    <w:p w14:paraId="79F115A2" w14:textId="77777777" w:rsidR="0046004D" w:rsidRDefault="0046004D">
      <w:pPr>
        <w:spacing w:after="160"/>
      </w:pPr>
    </w:p>
    <w:p w14:paraId="30D7F23F" w14:textId="77777777" w:rsidR="0046004D" w:rsidRDefault="00000000">
      <w:pPr>
        <w:pStyle w:val="Heading2"/>
      </w:pPr>
      <w:bookmarkStart w:id="64" w:name="_Toc237337507"/>
      <w:proofErr w:type="gramStart"/>
      <w:r>
        <w:t>B.4  Balance</w:t>
      </w:r>
      <w:proofErr w:type="gramEnd"/>
      <w:r>
        <w:t xml:space="preserve"> Sheet After Investment</w:t>
      </w:r>
      <w:bookmarkEnd w:id="64"/>
    </w:p>
    <w:p w14:paraId="6775213E" w14:textId="77777777" w:rsidR="0046004D" w:rsidRDefault="0046004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400"/>
        <w:gridCol w:w="1000"/>
        <w:gridCol w:w="3200"/>
        <w:gridCol w:w="1360"/>
      </w:tblGrid>
      <w:tr w:rsidR="0046004D" w14:paraId="1CAB2641" w14:textId="77777777">
        <w:tblPrEx>
          <w:tblCellMar>
            <w:top w:w="0" w:type="dxa"/>
            <w:bottom w:w="0" w:type="dxa"/>
          </w:tblCellMar>
        </w:tblPrEx>
        <w:tc>
          <w:tcPr>
            <w:tcW w:w="1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138936DF" w14:textId="77777777" w:rsidR="0046004D" w:rsidRDefault="00000000">
            <w:r>
              <w:rPr>
                <w:b/>
                <w:bCs/>
                <w:color w:val="FFFFFF"/>
                <w:sz w:val="20"/>
                <w:szCs w:val="20"/>
              </w:rPr>
              <w:t>Entity</w:t>
            </w:r>
          </w:p>
        </w:tc>
        <w:tc>
          <w:tcPr>
            <w:tcW w:w="2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120AB958" w14:textId="77777777" w:rsidR="0046004D" w:rsidRDefault="00000000">
            <w:r>
              <w:rPr>
                <w:b/>
                <w:bCs/>
                <w:color w:val="FFFFFF"/>
                <w:sz w:val="20"/>
                <w:szCs w:val="20"/>
              </w:rPr>
              <w:t>Asset</w:t>
            </w:r>
          </w:p>
        </w:tc>
        <w:tc>
          <w:tcPr>
            <w:tcW w:w="10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40751E84" w14:textId="77777777" w:rsidR="0046004D" w:rsidRDefault="00000000">
            <w:r>
              <w:rPr>
                <w:b/>
                <w:bCs/>
                <w:color w:val="FFFFFF"/>
                <w:sz w:val="20"/>
                <w:szCs w:val="20"/>
              </w:rPr>
              <w:t>Amount</w:t>
            </w:r>
          </w:p>
        </w:tc>
        <w:tc>
          <w:tcPr>
            <w:tcW w:w="32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6820749C" w14:textId="77777777" w:rsidR="0046004D" w:rsidRDefault="00000000">
            <w:r>
              <w:rPr>
                <w:b/>
                <w:bCs/>
                <w:color w:val="FFFFFF"/>
                <w:sz w:val="20"/>
                <w:szCs w:val="20"/>
              </w:rPr>
              <w:t>Equity / Liability</w:t>
            </w:r>
          </w:p>
        </w:tc>
        <w:tc>
          <w:tcPr>
            <w:tcW w:w="13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40266987" w14:textId="77777777" w:rsidR="0046004D" w:rsidRDefault="00000000">
            <w:r>
              <w:rPr>
                <w:b/>
                <w:bCs/>
                <w:color w:val="FFFFFF"/>
                <w:sz w:val="20"/>
                <w:szCs w:val="20"/>
              </w:rPr>
              <w:t>Amount</w:t>
            </w:r>
          </w:p>
        </w:tc>
      </w:tr>
      <w:tr w:rsidR="0046004D" w14:paraId="3C5360F1" w14:textId="77777777">
        <w:tblPrEx>
          <w:tblCellMar>
            <w:top w:w="0" w:type="dxa"/>
            <w:bottom w:w="0" w:type="dxa"/>
          </w:tblCellMar>
        </w:tblPrEx>
        <w:tc>
          <w:tcPr>
            <w:tcW w:w="1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CE746A8" w14:textId="77777777" w:rsidR="0046004D" w:rsidRDefault="00000000">
            <w:r>
              <w:rPr>
                <w:sz w:val="20"/>
                <w:szCs w:val="20"/>
              </w:rPr>
              <w:t>Main Fund</w:t>
            </w:r>
          </w:p>
        </w:tc>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F8E79F6" w14:textId="77777777" w:rsidR="0046004D" w:rsidRDefault="00000000">
            <w:r>
              <w:rPr>
                <w:sz w:val="20"/>
                <w:szCs w:val="20"/>
              </w:rPr>
              <w:t>Investment — Acme Corp</w:t>
            </w:r>
          </w:p>
        </w:tc>
        <w:tc>
          <w:tcPr>
            <w:tcW w:w="1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7E9D7F8" w14:textId="77777777" w:rsidR="0046004D" w:rsidRDefault="00000000">
            <w:r>
              <w:rPr>
                <w:sz w:val="20"/>
                <w:szCs w:val="20"/>
              </w:rPr>
              <w:t>$100M</w:t>
            </w:r>
          </w:p>
        </w:tc>
        <w:tc>
          <w:tcPr>
            <w:tcW w:w="32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010EF37B" w14:textId="77777777" w:rsidR="0046004D" w:rsidRDefault="00000000">
            <w:r>
              <w:rPr>
                <w:sz w:val="20"/>
                <w:szCs w:val="20"/>
              </w:rPr>
              <w:t>Partners' Capital — Feeder A (40%)</w:t>
            </w:r>
          </w:p>
        </w:tc>
        <w:tc>
          <w:tcPr>
            <w:tcW w:w="13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59F5382" w14:textId="77777777" w:rsidR="0046004D" w:rsidRDefault="00000000">
            <w:r>
              <w:rPr>
                <w:sz w:val="20"/>
                <w:szCs w:val="20"/>
              </w:rPr>
              <w:t>$40M</w:t>
            </w:r>
          </w:p>
        </w:tc>
      </w:tr>
      <w:tr w:rsidR="0046004D" w14:paraId="1F633AAE" w14:textId="77777777">
        <w:tblPrEx>
          <w:tblCellMar>
            <w:top w:w="0" w:type="dxa"/>
            <w:bottom w:w="0" w:type="dxa"/>
          </w:tblCellMar>
        </w:tblPrEx>
        <w:tc>
          <w:tcPr>
            <w:tcW w:w="1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5BAE420" w14:textId="77777777" w:rsidR="0046004D" w:rsidRDefault="00000000">
            <w:r>
              <w:rPr>
                <w:sz w:val="20"/>
                <w:szCs w:val="20"/>
              </w:rPr>
              <w:t>Main Fund</w:t>
            </w:r>
          </w:p>
        </w:tc>
        <w:tc>
          <w:tcPr>
            <w:tcW w:w="2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DCE9304" w14:textId="77777777" w:rsidR="0046004D" w:rsidRDefault="0046004D"/>
        </w:tc>
        <w:tc>
          <w:tcPr>
            <w:tcW w:w="1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8EACFCE" w14:textId="77777777" w:rsidR="0046004D" w:rsidRDefault="0046004D"/>
        </w:tc>
        <w:tc>
          <w:tcPr>
            <w:tcW w:w="3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3332D306" w14:textId="77777777" w:rsidR="0046004D" w:rsidRDefault="00000000">
            <w:r>
              <w:rPr>
                <w:sz w:val="20"/>
                <w:szCs w:val="20"/>
              </w:rPr>
              <w:t>Partners' Capital — Feeder B (30%)</w:t>
            </w:r>
          </w:p>
        </w:tc>
        <w:tc>
          <w:tcPr>
            <w:tcW w:w="13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3FD66811" w14:textId="77777777" w:rsidR="0046004D" w:rsidRDefault="00000000">
            <w:r>
              <w:rPr>
                <w:sz w:val="20"/>
                <w:szCs w:val="20"/>
              </w:rPr>
              <w:t>$30M</w:t>
            </w:r>
          </w:p>
        </w:tc>
      </w:tr>
      <w:tr w:rsidR="0046004D" w14:paraId="2AACA0BE" w14:textId="77777777">
        <w:tblPrEx>
          <w:tblCellMar>
            <w:top w:w="0" w:type="dxa"/>
            <w:bottom w:w="0" w:type="dxa"/>
          </w:tblCellMar>
        </w:tblPrEx>
        <w:tc>
          <w:tcPr>
            <w:tcW w:w="1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CCEEB45" w14:textId="77777777" w:rsidR="0046004D" w:rsidRDefault="00000000">
            <w:r>
              <w:rPr>
                <w:sz w:val="20"/>
                <w:szCs w:val="20"/>
              </w:rPr>
              <w:t>Main Fund</w:t>
            </w:r>
          </w:p>
        </w:tc>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9248989" w14:textId="77777777" w:rsidR="0046004D" w:rsidRDefault="0046004D"/>
        </w:tc>
        <w:tc>
          <w:tcPr>
            <w:tcW w:w="1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9BD33F2" w14:textId="77777777" w:rsidR="0046004D" w:rsidRDefault="0046004D"/>
        </w:tc>
        <w:tc>
          <w:tcPr>
            <w:tcW w:w="32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A7EA953" w14:textId="77777777" w:rsidR="0046004D" w:rsidRDefault="00000000">
            <w:r>
              <w:rPr>
                <w:sz w:val="20"/>
                <w:szCs w:val="20"/>
              </w:rPr>
              <w:t>Partners' Capital — Feeder C (30%)</w:t>
            </w:r>
          </w:p>
        </w:tc>
        <w:tc>
          <w:tcPr>
            <w:tcW w:w="13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832A9E5" w14:textId="77777777" w:rsidR="0046004D" w:rsidRDefault="00000000">
            <w:r>
              <w:rPr>
                <w:sz w:val="20"/>
                <w:szCs w:val="20"/>
              </w:rPr>
              <w:t>$30M</w:t>
            </w:r>
          </w:p>
        </w:tc>
      </w:tr>
      <w:tr w:rsidR="0046004D" w14:paraId="6538454E" w14:textId="77777777">
        <w:tblPrEx>
          <w:tblCellMar>
            <w:top w:w="0" w:type="dxa"/>
            <w:bottom w:w="0" w:type="dxa"/>
          </w:tblCellMar>
        </w:tblPrEx>
        <w:tc>
          <w:tcPr>
            <w:tcW w:w="1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3B9F57BD" w14:textId="77777777" w:rsidR="0046004D" w:rsidRDefault="00000000">
            <w:r>
              <w:rPr>
                <w:sz w:val="20"/>
                <w:szCs w:val="20"/>
              </w:rPr>
              <w:t>Feeder A</w:t>
            </w:r>
          </w:p>
        </w:tc>
        <w:tc>
          <w:tcPr>
            <w:tcW w:w="2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AF5C8C5" w14:textId="77777777" w:rsidR="0046004D" w:rsidRDefault="00000000">
            <w:r>
              <w:rPr>
                <w:sz w:val="20"/>
                <w:szCs w:val="20"/>
              </w:rPr>
              <w:t>Investment in Main Fund</w:t>
            </w:r>
          </w:p>
        </w:tc>
        <w:tc>
          <w:tcPr>
            <w:tcW w:w="1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22428F8" w14:textId="77777777" w:rsidR="0046004D" w:rsidRDefault="00000000">
            <w:r>
              <w:rPr>
                <w:sz w:val="20"/>
                <w:szCs w:val="20"/>
              </w:rPr>
              <w:t>$40M</w:t>
            </w:r>
          </w:p>
        </w:tc>
        <w:tc>
          <w:tcPr>
            <w:tcW w:w="3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044B896" w14:textId="77777777" w:rsidR="0046004D" w:rsidRDefault="00000000">
            <w:r>
              <w:rPr>
                <w:sz w:val="20"/>
                <w:szCs w:val="20"/>
              </w:rPr>
              <w:t>Partners' Capital — LPs</w:t>
            </w:r>
          </w:p>
        </w:tc>
        <w:tc>
          <w:tcPr>
            <w:tcW w:w="13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76A547F" w14:textId="77777777" w:rsidR="0046004D" w:rsidRDefault="00000000">
            <w:r>
              <w:rPr>
                <w:sz w:val="20"/>
                <w:szCs w:val="20"/>
              </w:rPr>
              <w:t>$40M</w:t>
            </w:r>
          </w:p>
        </w:tc>
      </w:tr>
      <w:tr w:rsidR="0046004D" w14:paraId="74BADA50" w14:textId="77777777">
        <w:tblPrEx>
          <w:tblCellMar>
            <w:top w:w="0" w:type="dxa"/>
            <w:bottom w:w="0" w:type="dxa"/>
          </w:tblCellMar>
        </w:tblPrEx>
        <w:tc>
          <w:tcPr>
            <w:tcW w:w="1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AC7B1E1" w14:textId="77777777" w:rsidR="0046004D" w:rsidRDefault="00000000">
            <w:r>
              <w:rPr>
                <w:sz w:val="20"/>
                <w:szCs w:val="20"/>
              </w:rPr>
              <w:t>Feeder B</w:t>
            </w:r>
          </w:p>
        </w:tc>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9FFD7D6" w14:textId="77777777" w:rsidR="0046004D" w:rsidRDefault="00000000">
            <w:r>
              <w:rPr>
                <w:sz w:val="20"/>
                <w:szCs w:val="20"/>
              </w:rPr>
              <w:t>Investment in Main Fund</w:t>
            </w:r>
          </w:p>
        </w:tc>
        <w:tc>
          <w:tcPr>
            <w:tcW w:w="1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0707F115" w14:textId="77777777" w:rsidR="0046004D" w:rsidRDefault="00000000">
            <w:r>
              <w:rPr>
                <w:sz w:val="20"/>
                <w:szCs w:val="20"/>
              </w:rPr>
              <w:t>$30M</w:t>
            </w:r>
          </w:p>
        </w:tc>
        <w:tc>
          <w:tcPr>
            <w:tcW w:w="32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6B858EB" w14:textId="77777777" w:rsidR="0046004D" w:rsidRDefault="00000000">
            <w:r>
              <w:rPr>
                <w:sz w:val="20"/>
                <w:szCs w:val="20"/>
              </w:rPr>
              <w:t>Partners' Capital — LPs</w:t>
            </w:r>
          </w:p>
        </w:tc>
        <w:tc>
          <w:tcPr>
            <w:tcW w:w="13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938023D" w14:textId="77777777" w:rsidR="0046004D" w:rsidRDefault="00000000">
            <w:r>
              <w:rPr>
                <w:sz w:val="20"/>
                <w:szCs w:val="20"/>
              </w:rPr>
              <w:t>$30M</w:t>
            </w:r>
          </w:p>
        </w:tc>
      </w:tr>
      <w:tr w:rsidR="0046004D" w14:paraId="61B8C122" w14:textId="77777777">
        <w:tblPrEx>
          <w:tblCellMar>
            <w:top w:w="0" w:type="dxa"/>
            <w:bottom w:w="0" w:type="dxa"/>
          </w:tblCellMar>
        </w:tblPrEx>
        <w:tc>
          <w:tcPr>
            <w:tcW w:w="1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3F562E84" w14:textId="77777777" w:rsidR="0046004D" w:rsidRDefault="00000000">
            <w:r>
              <w:rPr>
                <w:sz w:val="20"/>
                <w:szCs w:val="20"/>
              </w:rPr>
              <w:t>Feeder C</w:t>
            </w:r>
          </w:p>
        </w:tc>
        <w:tc>
          <w:tcPr>
            <w:tcW w:w="2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84356BE" w14:textId="77777777" w:rsidR="0046004D" w:rsidRDefault="00000000">
            <w:r>
              <w:rPr>
                <w:sz w:val="20"/>
                <w:szCs w:val="20"/>
              </w:rPr>
              <w:t>Investment in Main Fund</w:t>
            </w:r>
          </w:p>
        </w:tc>
        <w:tc>
          <w:tcPr>
            <w:tcW w:w="1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A639A3A" w14:textId="77777777" w:rsidR="0046004D" w:rsidRDefault="00000000">
            <w:r>
              <w:rPr>
                <w:sz w:val="20"/>
                <w:szCs w:val="20"/>
              </w:rPr>
              <w:t>$30M</w:t>
            </w:r>
          </w:p>
        </w:tc>
        <w:tc>
          <w:tcPr>
            <w:tcW w:w="3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A208FCA" w14:textId="77777777" w:rsidR="0046004D" w:rsidRDefault="00000000">
            <w:r>
              <w:rPr>
                <w:sz w:val="20"/>
                <w:szCs w:val="20"/>
              </w:rPr>
              <w:t>Partners' Capital — LPs</w:t>
            </w:r>
          </w:p>
        </w:tc>
        <w:tc>
          <w:tcPr>
            <w:tcW w:w="13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2E3927CD" w14:textId="77777777" w:rsidR="0046004D" w:rsidRDefault="00000000">
            <w:r>
              <w:rPr>
                <w:sz w:val="20"/>
                <w:szCs w:val="20"/>
              </w:rPr>
              <w:t>$30M</w:t>
            </w:r>
          </w:p>
        </w:tc>
      </w:tr>
    </w:tbl>
    <w:p w14:paraId="07D61124" w14:textId="77777777" w:rsidR="0046004D" w:rsidRDefault="0046004D">
      <w:pPr>
        <w:spacing w:after="200"/>
      </w:pPr>
    </w:p>
    <w:p w14:paraId="3A5C591C" w14:textId="77777777" w:rsidR="0046004D" w:rsidRDefault="00000000">
      <w:pPr>
        <w:pStyle w:val="Heading2"/>
      </w:pPr>
      <w:bookmarkStart w:id="65" w:name="_Toc237337508"/>
      <w:proofErr w:type="gramStart"/>
      <w:r>
        <w:t>B.5  Quarterly</w:t>
      </w:r>
      <w:proofErr w:type="gramEnd"/>
      <w:r>
        <w:t xml:space="preserve"> P&amp;L Allocation</w:t>
      </w:r>
      <w:bookmarkEnd w:id="65"/>
    </w:p>
    <w:p w14:paraId="03D36882" w14:textId="77777777" w:rsidR="0046004D" w:rsidRDefault="00000000">
      <w:pPr>
        <w:spacing w:after="120"/>
      </w:pPr>
      <w:r>
        <w:t>Year 3 Q4: Portfolio has appreciated. Main Fund NAV = $480M on $400M invested ($80M net unrealized gain).</w:t>
      </w:r>
    </w:p>
    <w:p w14:paraId="605CF4D4" w14:textId="77777777" w:rsidR="0046004D" w:rsidRDefault="0046004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400"/>
        <w:gridCol w:w="1800"/>
        <w:gridCol w:w="4560"/>
      </w:tblGrid>
      <w:tr w:rsidR="0046004D" w14:paraId="28F6E0DB" w14:textId="77777777">
        <w:tblPrEx>
          <w:tblCellMar>
            <w:top w:w="0" w:type="dxa"/>
            <w:bottom w:w="0" w:type="dxa"/>
          </w:tblCellMar>
        </w:tblPrEx>
        <w:tc>
          <w:tcPr>
            <w:tcW w:w="16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69294C4B" w14:textId="77777777" w:rsidR="0046004D" w:rsidRDefault="00000000">
            <w:r>
              <w:rPr>
                <w:b/>
                <w:bCs/>
                <w:color w:val="FFFFFF"/>
                <w:sz w:val="20"/>
                <w:szCs w:val="20"/>
              </w:rPr>
              <w:lastRenderedPageBreak/>
              <w:t>Feeder</w:t>
            </w:r>
          </w:p>
        </w:tc>
        <w:tc>
          <w:tcPr>
            <w:tcW w:w="1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7060CCEF" w14:textId="77777777" w:rsidR="0046004D" w:rsidRDefault="00000000">
            <w:r>
              <w:rPr>
                <w:b/>
                <w:bCs/>
                <w:color w:val="FFFFFF"/>
                <w:sz w:val="20"/>
                <w:szCs w:val="20"/>
              </w:rPr>
              <w:t>Ownership %</w:t>
            </w:r>
          </w:p>
        </w:tc>
        <w:tc>
          <w:tcPr>
            <w:tcW w:w="18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4CA2D80C" w14:textId="77777777" w:rsidR="0046004D" w:rsidRDefault="00000000">
            <w:r>
              <w:rPr>
                <w:b/>
                <w:bCs/>
                <w:color w:val="FFFFFF"/>
                <w:sz w:val="20"/>
                <w:szCs w:val="20"/>
              </w:rPr>
              <w:t>NAV Allocation</w:t>
            </w:r>
          </w:p>
        </w:tc>
        <w:tc>
          <w:tcPr>
            <w:tcW w:w="45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1E471B81" w14:textId="77777777" w:rsidR="0046004D" w:rsidRDefault="00000000">
            <w:r>
              <w:rPr>
                <w:b/>
                <w:bCs/>
                <w:color w:val="FFFFFF"/>
                <w:sz w:val="20"/>
                <w:szCs w:val="20"/>
              </w:rPr>
              <w:t>Unrealized Gain (40% share)</w:t>
            </w:r>
          </w:p>
        </w:tc>
      </w:tr>
      <w:tr w:rsidR="0046004D" w14:paraId="6EE265AA" w14:textId="77777777">
        <w:tblPrEx>
          <w:tblCellMar>
            <w:top w:w="0" w:type="dxa"/>
            <w:bottom w:w="0" w:type="dxa"/>
          </w:tblCellMar>
        </w:tblPrEx>
        <w:tc>
          <w:tcPr>
            <w:tcW w:w="1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21D05DB" w14:textId="77777777" w:rsidR="0046004D" w:rsidRDefault="00000000">
            <w:r>
              <w:rPr>
                <w:sz w:val="20"/>
                <w:szCs w:val="20"/>
              </w:rPr>
              <w:t>Feeder A</w:t>
            </w:r>
          </w:p>
        </w:tc>
        <w:tc>
          <w:tcPr>
            <w:tcW w:w="1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E76634C" w14:textId="77777777" w:rsidR="0046004D" w:rsidRDefault="00000000">
            <w:r>
              <w:rPr>
                <w:sz w:val="20"/>
                <w:szCs w:val="20"/>
              </w:rPr>
              <w:t>40%</w:t>
            </w:r>
          </w:p>
        </w:tc>
        <w:tc>
          <w:tcPr>
            <w:tcW w:w="1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ECC320D" w14:textId="77777777" w:rsidR="0046004D" w:rsidRDefault="00000000">
            <w:r>
              <w:rPr>
                <w:sz w:val="20"/>
                <w:szCs w:val="20"/>
              </w:rPr>
              <w:t>$192M</w:t>
            </w:r>
          </w:p>
        </w:tc>
        <w:tc>
          <w:tcPr>
            <w:tcW w:w="45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AA8F596" w14:textId="77777777" w:rsidR="0046004D" w:rsidRDefault="00000000">
            <w:r>
              <w:rPr>
                <w:sz w:val="20"/>
                <w:szCs w:val="20"/>
              </w:rPr>
              <w:t>$32M (Dr Investment in Main Fund / Cr Unrealized Gain)</w:t>
            </w:r>
          </w:p>
        </w:tc>
      </w:tr>
      <w:tr w:rsidR="0046004D" w14:paraId="65B0C457" w14:textId="77777777">
        <w:tblPrEx>
          <w:tblCellMar>
            <w:top w:w="0" w:type="dxa"/>
            <w:bottom w:w="0" w:type="dxa"/>
          </w:tblCellMar>
        </w:tblPrEx>
        <w:tc>
          <w:tcPr>
            <w:tcW w:w="16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E63135B" w14:textId="77777777" w:rsidR="0046004D" w:rsidRDefault="00000000">
            <w:r>
              <w:rPr>
                <w:sz w:val="20"/>
                <w:szCs w:val="20"/>
              </w:rPr>
              <w:t>Feeder B</w:t>
            </w:r>
          </w:p>
        </w:tc>
        <w:tc>
          <w:tcPr>
            <w:tcW w:w="1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39EA79C7" w14:textId="77777777" w:rsidR="0046004D" w:rsidRDefault="00000000">
            <w:r>
              <w:rPr>
                <w:sz w:val="20"/>
                <w:szCs w:val="20"/>
              </w:rPr>
              <w:t>30%</w:t>
            </w:r>
          </w:p>
        </w:tc>
        <w:tc>
          <w:tcPr>
            <w:tcW w:w="18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34E9A89" w14:textId="77777777" w:rsidR="0046004D" w:rsidRDefault="00000000">
            <w:r>
              <w:rPr>
                <w:sz w:val="20"/>
                <w:szCs w:val="20"/>
              </w:rPr>
              <w:t>$144M</w:t>
            </w:r>
          </w:p>
        </w:tc>
        <w:tc>
          <w:tcPr>
            <w:tcW w:w="45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298B7268" w14:textId="77777777" w:rsidR="0046004D" w:rsidRDefault="00000000">
            <w:r>
              <w:rPr>
                <w:sz w:val="20"/>
                <w:szCs w:val="20"/>
              </w:rPr>
              <w:t>$24M</w:t>
            </w:r>
          </w:p>
        </w:tc>
      </w:tr>
      <w:tr w:rsidR="0046004D" w14:paraId="5985F7C6" w14:textId="77777777">
        <w:tblPrEx>
          <w:tblCellMar>
            <w:top w:w="0" w:type="dxa"/>
            <w:bottom w:w="0" w:type="dxa"/>
          </w:tblCellMar>
        </w:tblPrEx>
        <w:tc>
          <w:tcPr>
            <w:tcW w:w="1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9691F29" w14:textId="77777777" w:rsidR="0046004D" w:rsidRDefault="00000000">
            <w:r>
              <w:rPr>
                <w:sz w:val="20"/>
                <w:szCs w:val="20"/>
              </w:rPr>
              <w:t>Feeder C</w:t>
            </w:r>
          </w:p>
        </w:tc>
        <w:tc>
          <w:tcPr>
            <w:tcW w:w="1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0DD54C3" w14:textId="77777777" w:rsidR="0046004D" w:rsidRDefault="00000000">
            <w:r>
              <w:rPr>
                <w:sz w:val="20"/>
                <w:szCs w:val="20"/>
              </w:rPr>
              <w:t>30%</w:t>
            </w:r>
          </w:p>
        </w:tc>
        <w:tc>
          <w:tcPr>
            <w:tcW w:w="1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609BA1F" w14:textId="77777777" w:rsidR="0046004D" w:rsidRDefault="00000000">
            <w:r>
              <w:rPr>
                <w:sz w:val="20"/>
                <w:szCs w:val="20"/>
              </w:rPr>
              <w:t>$144M</w:t>
            </w:r>
          </w:p>
        </w:tc>
        <w:tc>
          <w:tcPr>
            <w:tcW w:w="45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E3605B6" w14:textId="77777777" w:rsidR="0046004D" w:rsidRDefault="00000000">
            <w:r>
              <w:rPr>
                <w:sz w:val="20"/>
                <w:szCs w:val="20"/>
              </w:rPr>
              <w:t>$24M</w:t>
            </w:r>
          </w:p>
        </w:tc>
      </w:tr>
    </w:tbl>
    <w:p w14:paraId="037F4CE9" w14:textId="77777777" w:rsidR="0046004D" w:rsidRDefault="0046004D">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004D" w14:paraId="7C19DAD5" w14:textId="77777777">
        <w:tblPrEx>
          <w:tblCellMar>
            <w:top w:w="0" w:type="dxa"/>
            <w:bottom w:w="0" w:type="dxa"/>
          </w:tblCellMar>
        </w:tblPrEx>
        <w:tc>
          <w:tcPr>
            <w:tcW w:w="9360" w:type="dxa"/>
            <w:tcBorders>
              <w:top w:val="single" w:sz="12" w:space="0" w:color="38A169"/>
              <w:left w:val="single" w:sz="12" w:space="0" w:color="38A169"/>
            </w:tcBorders>
            <w:shd w:val="clear" w:color="auto" w:fill="F0FFF4"/>
            <w:tcMar>
              <w:top w:w="80" w:type="dxa"/>
              <w:left w:w="120" w:type="dxa"/>
              <w:bottom w:w="0" w:type="dxa"/>
              <w:right w:w="120" w:type="dxa"/>
            </w:tcMar>
          </w:tcPr>
          <w:p w14:paraId="45B6424A" w14:textId="77777777" w:rsidR="0046004D" w:rsidRDefault="00000000">
            <w:r>
              <w:rPr>
                <w:b/>
                <w:bCs/>
                <w:color w:val="38A169"/>
                <w:sz w:val="20"/>
                <w:szCs w:val="20"/>
              </w:rPr>
              <w:t>NAV Tie-Out — Critical Month-End Control</w:t>
            </w:r>
          </w:p>
        </w:tc>
      </w:tr>
      <w:tr w:rsidR="0046004D" w14:paraId="532FBC75" w14:textId="77777777">
        <w:tblPrEx>
          <w:tblCellMar>
            <w:top w:w="0" w:type="dxa"/>
            <w:bottom w:w="0" w:type="dxa"/>
          </w:tblCellMar>
        </w:tblPrEx>
        <w:tc>
          <w:tcPr>
            <w:tcW w:w="9360" w:type="dxa"/>
            <w:tcBorders>
              <w:left w:val="single" w:sz="12" w:space="0" w:color="38A169"/>
            </w:tcBorders>
            <w:shd w:val="clear" w:color="auto" w:fill="F0FFF4"/>
            <w:tcMar>
              <w:top w:w="0" w:type="dxa"/>
              <w:left w:w="120" w:type="dxa"/>
              <w:bottom w:w="0" w:type="dxa"/>
              <w:right w:w="120" w:type="dxa"/>
            </w:tcMar>
          </w:tcPr>
          <w:p w14:paraId="06ED284D" w14:textId="77777777" w:rsidR="0046004D" w:rsidRDefault="00000000">
            <w:pPr>
              <w:spacing w:after="60"/>
            </w:pPr>
            <w:r>
              <w:rPr>
                <w:color w:val="2D3748"/>
                <w:sz w:val="20"/>
                <w:szCs w:val="20"/>
              </w:rPr>
              <w:t>Fund admin verifies: each Feeder's carrying value of "Investment in Main Fund"</w:t>
            </w:r>
          </w:p>
        </w:tc>
      </w:tr>
      <w:tr w:rsidR="0046004D" w14:paraId="49E7D849" w14:textId="77777777">
        <w:tblPrEx>
          <w:tblCellMar>
            <w:top w:w="0" w:type="dxa"/>
            <w:bottom w:w="0" w:type="dxa"/>
          </w:tblCellMar>
        </w:tblPrEx>
        <w:tc>
          <w:tcPr>
            <w:tcW w:w="9360" w:type="dxa"/>
            <w:tcBorders>
              <w:left w:val="single" w:sz="12" w:space="0" w:color="38A169"/>
            </w:tcBorders>
            <w:shd w:val="clear" w:color="auto" w:fill="F0FFF4"/>
            <w:tcMar>
              <w:top w:w="0" w:type="dxa"/>
              <w:left w:w="120" w:type="dxa"/>
              <w:bottom w:w="0" w:type="dxa"/>
              <w:right w:w="120" w:type="dxa"/>
            </w:tcMar>
          </w:tcPr>
          <w:p w14:paraId="695DADF7" w14:textId="77777777" w:rsidR="0046004D" w:rsidRDefault="00000000">
            <w:pPr>
              <w:spacing w:after="60"/>
            </w:pPr>
            <w:r>
              <w:rPr>
                <w:color w:val="2D3748"/>
                <w:sz w:val="20"/>
                <w:szCs w:val="20"/>
              </w:rPr>
              <w:t>= that Feeder's ownership % × Main Fund NAV</w:t>
            </w:r>
          </w:p>
        </w:tc>
      </w:tr>
      <w:tr w:rsidR="0046004D" w14:paraId="5740D24E" w14:textId="77777777">
        <w:tblPrEx>
          <w:tblCellMar>
            <w:top w:w="0" w:type="dxa"/>
            <w:bottom w:w="0" w:type="dxa"/>
          </w:tblCellMar>
        </w:tblPrEx>
        <w:tc>
          <w:tcPr>
            <w:tcW w:w="9360" w:type="dxa"/>
            <w:tcBorders>
              <w:left w:val="single" w:sz="12" w:space="0" w:color="38A169"/>
            </w:tcBorders>
            <w:shd w:val="clear" w:color="auto" w:fill="F0FFF4"/>
            <w:tcMar>
              <w:top w:w="0" w:type="dxa"/>
              <w:left w:w="120" w:type="dxa"/>
              <w:bottom w:w="0" w:type="dxa"/>
              <w:right w:w="120" w:type="dxa"/>
            </w:tcMar>
          </w:tcPr>
          <w:p w14:paraId="5E615683" w14:textId="77777777" w:rsidR="0046004D" w:rsidRDefault="0046004D">
            <w:pPr>
              <w:spacing w:after="60"/>
            </w:pPr>
          </w:p>
        </w:tc>
      </w:tr>
      <w:tr w:rsidR="0046004D" w14:paraId="22EFADF1" w14:textId="77777777">
        <w:tblPrEx>
          <w:tblCellMar>
            <w:top w:w="0" w:type="dxa"/>
            <w:bottom w:w="0" w:type="dxa"/>
          </w:tblCellMar>
        </w:tblPrEx>
        <w:tc>
          <w:tcPr>
            <w:tcW w:w="9360" w:type="dxa"/>
            <w:tcBorders>
              <w:left w:val="single" w:sz="12" w:space="0" w:color="38A169"/>
            </w:tcBorders>
            <w:shd w:val="clear" w:color="auto" w:fill="F0FFF4"/>
            <w:tcMar>
              <w:top w:w="0" w:type="dxa"/>
              <w:left w:w="120" w:type="dxa"/>
              <w:bottom w:w="0" w:type="dxa"/>
              <w:right w:w="120" w:type="dxa"/>
            </w:tcMar>
          </w:tcPr>
          <w:p w14:paraId="6CD0D7B2" w14:textId="77777777" w:rsidR="0046004D" w:rsidRDefault="00000000">
            <w:pPr>
              <w:spacing w:after="60"/>
            </w:pPr>
            <w:r>
              <w:rPr>
                <w:color w:val="2D3748"/>
                <w:sz w:val="20"/>
                <w:szCs w:val="20"/>
              </w:rPr>
              <w:t>Feeder A check: $192M = 40% × $480M ✓</w:t>
            </w:r>
          </w:p>
        </w:tc>
      </w:tr>
      <w:tr w:rsidR="0046004D" w14:paraId="342121E1" w14:textId="77777777">
        <w:tblPrEx>
          <w:tblCellMar>
            <w:top w:w="0" w:type="dxa"/>
            <w:bottom w:w="0" w:type="dxa"/>
          </w:tblCellMar>
        </w:tblPrEx>
        <w:tc>
          <w:tcPr>
            <w:tcW w:w="9360" w:type="dxa"/>
            <w:tcBorders>
              <w:left w:val="single" w:sz="12" w:space="0" w:color="38A169"/>
              <w:bottom w:val="single" w:sz="4" w:space="0" w:color="38A169"/>
            </w:tcBorders>
            <w:shd w:val="clear" w:color="auto" w:fill="F0FFF4"/>
            <w:tcMar>
              <w:top w:w="0" w:type="dxa"/>
              <w:left w:w="120" w:type="dxa"/>
              <w:bottom w:w="80" w:type="dxa"/>
              <w:right w:w="120" w:type="dxa"/>
            </w:tcMar>
          </w:tcPr>
          <w:p w14:paraId="5FF0CE24" w14:textId="77777777" w:rsidR="0046004D" w:rsidRDefault="00000000">
            <w:r>
              <w:rPr>
                <w:color w:val="2D3748"/>
                <w:sz w:val="20"/>
                <w:szCs w:val="20"/>
              </w:rPr>
              <w:t>Any break is investigated before LP statements are issued.</w:t>
            </w:r>
          </w:p>
        </w:tc>
      </w:tr>
    </w:tbl>
    <w:p w14:paraId="761D96AB" w14:textId="77777777" w:rsidR="0046004D" w:rsidRDefault="0046004D">
      <w:pPr>
        <w:spacing w:after="160"/>
      </w:pPr>
    </w:p>
    <w:p w14:paraId="682A0778" w14:textId="77777777" w:rsidR="0046004D" w:rsidRDefault="00000000">
      <w:pPr>
        <w:pStyle w:val="Heading2"/>
      </w:pPr>
      <w:bookmarkStart w:id="66" w:name="_Toc237337509"/>
      <w:proofErr w:type="gramStart"/>
      <w:r>
        <w:t>B.6  Exit</w:t>
      </w:r>
      <w:proofErr w:type="gramEnd"/>
      <w:r>
        <w:t xml:space="preserve"> and Distribution</w:t>
      </w:r>
      <w:bookmarkEnd w:id="66"/>
    </w:p>
    <w:p w14:paraId="2F6D6F6B" w14:textId="77777777" w:rsidR="0046004D" w:rsidRDefault="00000000">
      <w:pPr>
        <w:spacing w:after="120"/>
      </w:pPr>
      <w:r>
        <w:t>Year 5: Main Fund sells Acme Corp for $180M (cost $100M, $40M prior unrealized gain, $40M additional realized gain on exit).</w:t>
      </w:r>
    </w:p>
    <w:p w14:paraId="14583A22" w14:textId="77777777" w:rsidR="0046004D" w:rsidRDefault="0046004D">
      <w:pPr>
        <w:spacing w:after="80"/>
      </w:pPr>
    </w:p>
    <w:p w14:paraId="17BAF129" w14:textId="77777777" w:rsidR="0046004D" w:rsidRDefault="00000000">
      <w:pPr>
        <w:shd w:val="clear" w:color="auto" w:fill="F1F3F7"/>
        <w:ind w:left="360" w:right="360"/>
      </w:pPr>
      <w:r>
        <w:rPr>
          <w:rFonts w:ascii="Courier New" w:eastAsia="Courier New" w:hAnsi="Courier New" w:cs="Courier New"/>
          <w:color w:val="2D3748"/>
          <w:sz w:val="18"/>
          <w:szCs w:val="18"/>
        </w:rPr>
        <w:t>Main Fund:</w:t>
      </w:r>
    </w:p>
    <w:p w14:paraId="79C27E51" w14:textId="77777777" w:rsidR="0046004D" w:rsidRDefault="00000000">
      <w:pPr>
        <w:shd w:val="clear" w:color="auto" w:fill="F1F3F7"/>
        <w:ind w:left="360" w:right="360"/>
      </w:pPr>
      <w:proofErr w:type="gramStart"/>
      <w:r>
        <w:rPr>
          <w:rFonts w:ascii="Courier New" w:eastAsia="Courier New" w:hAnsi="Courier New" w:cs="Courier New"/>
          <w:color w:val="2D3748"/>
          <w:sz w:val="18"/>
          <w:szCs w:val="18"/>
        </w:rPr>
        <w:t>Dr  Cash</w:t>
      </w:r>
      <w:proofErr w:type="gramEnd"/>
      <w:r>
        <w:rPr>
          <w:rFonts w:ascii="Courier New" w:eastAsia="Courier New" w:hAnsi="Courier New" w:cs="Courier New"/>
          <w:color w:val="2D3748"/>
          <w:sz w:val="18"/>
          <w:szCs w:val="18"/>
        </w:rPr>
        <w:t xml:space="preserve">                            $180,000,000</w:t>
      </w:r>
    </w:p>
    <w:p w14:paraId="3574F41E"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Investment</w:t>
      </w:r>
      <w:proofErr w:type="gramEnd"/>
      <w:r>
        <w:rPr>
          <w:rFonts w:ascii="Courier New" w:eastAsia="Courier New" w:hAnsi="Courier New" w:cs="Courier New"/>
          <w:color w:val="2D3748"/>
          <w:sz w:val="18"/>
          <w:szCs w:val="18"/>
        </w:rPr>
        <w:t xml:space="preserve"> — Acme Corp (</w:t>
      </w:r>
      <w:proofErr w:type="gramStart"/>
      <w:r>
        <w:rPr>
          <w:rFonts w:ascii="Courier New" w:eastAsia="Courier New" w:hAnsi="Courier New" w:cs="Courier New"/>
          <w:color w:val="2D3748"/>
          <w:sz w:val="18"/>
          <w:szCs w:val="18"/>
        </w:rPr>
        <w:t xml:space="preserve">cost)   </w:t>
      </w:r>
      <w:proofErr w:type="gramEnd"/>
      <w:r>
        <w:rPr>
          <w:rFonts w:ascii="Courier New" w:eastAsia="Courier New" w:hAnsi="Courier New" w:cs="Courier New"/>
          <w:color w:val="2D3748"/>
          <w:sz w:val="18"/>
          <w:szCs w:val="18"/>
        </w:rPr>
        <w:t xml:space="preserve">          $100,000,000</w:t>
      </w:r>
    </w:p>
    <w:p w14:paraId="62C60521"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Unrealized</w:t>
      </w:r>
      <w:proofErr w:type="gramEnd"/>
      <w:r>
        <w:rPr>
          <w:rFonts w:ascii="Courier New" w:eastAsia="Courier New" w:hAnsi="Courier New" w:cs="Courier New"/>
          <w:color w:val="2D3748"/>
          <w:sz w:val="18"/>
          <w:szCs w:val="18"/>
        </w:rPr>
        <w:t xml:space="preserve"> Gain — reversal                 $40,000,000</w:t>
      </w:r>
    </w:p>
    <w:p w14:paraId="61BFA1D9"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Realized</w:t>
      </w:r>
      <w:proofErr w:type="gramEnd"/>
      <w:r>
        <w:rPr>
          <w:rFonts w:ascii="Courier New" w:eastAsia="Courier New" w:hAnsi="Courier New" w:cs="Courier New"/>
          <w:color w:val="2D3748"/>
          <w:sz w:val="18"/>
          <w:szCs w:val="18"/>
        </w:rPr>
        <w:t xml:space="preserve"> Gain on Investment                $40,000,000</w:t>
      </w:r>
    </w:p>
    <w:p w14:paraId="0FB0DA07" w14:textId="77777777" w:rsidR="0046004D" w:rsidRDefault="0046004D">
      <w:pPr>
        <w:spacing w:after="160"/>
      </w:pPr>
    </w:p>
    <w:p w14:paraId="0EA8EA01" w14:textId="77777777" w:rsidR="0046004D" w:rsidRDefault="00000000">
      <w:pPr>
        <w:spacing w:after="120"/>
      </w:pPr>
      <w:r>
        <w:t>Main Fund distributes $180M to Feeders pro-rata. Feeder A receives 40% = $72M:</w:t>
      </w:r>
    </w:p>
    <w:p w14:paraId="0125E955" w14:textId="77777777" w:rsidR="0046004D" w:rsidRDefault="00000000">
      <w:pPr>
        <w:shd w:val="clear" w:color="auto" w:fill="F1F3F7"/>
        <w:ind w:left="360" w:right="360"/>
      </w:pPr>
      <w:r>
        <w:rPr>
          <w:rFonts w:ascii="Courier New" w:eastAsia="Courier New" w:hAnsi="Courier New" w:cs="Courier New"/>
          <w:color w:val="2D3748"/>
          <w:sz w:val="18"/>
          <w:szCs w:val="18"/>
        </w:rPr>
        <w:t>Feeder A — receives distribution from Main Fund:</w:t>
      </w:r>
    </w:p>
    <w:p w14:paraId="26750180" w14:textId="77777777" w:rsidR="0046004D" w:rsidRDefault="00000000">
      <w:pPr>
        <w:shd w:val="clear" w:color="auto" w:fill="F1F3F7"/>
        <w:ind w:left="360" w:right="360"/>
      </w:pPr>
      <w:proofErr w:type="gramStart"/>
      <w:r>
        <w:rPr>
          <w:rFonts w:ascii="Courier New" w:eastAsia="Courier New" w:hAnsi="Courier New" w:cs="Courier New"/>
          <w:color w:val="2D3748"/>
          <w:sz w:val="18"/>
          <w:szCs w:val="18"/>
        </w:rPr>
        <w:t>Dr  Cash</w:t>
      </w:r>
      <w:proofErr w:type="gramEnd"/>
      <w:r>
        <w:rPr>
          <w:rFonts w:ascii="Courier New" w:eastAsia="Courier New" w:hAnsi="Courier New" w:cs="Courier New"/>
          <w:color w:val="2D3748"/>
          <w:sz w:val="18"/>
          <w:szCs w:val="18"/>
        </w:rPr>
        <w:t xml:space="preserve">                             $72,000,000</w:t>
      </w:r>
    </w:p>
    <w:p w14:paraId="71C75800"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Investment</w:t>
      </w:r>
      <w:proofErr w:type="gramEnd"/>
      <w:r>
        <w:rPr>
          <w:rFonts w:ascii="Courier New" w:eastAsia="Courier New" w:hAnsi="Courier New" w:cs="Courier New"/>
          <w:color w:val="2D3748"/>
          <w:sz w:val="18"/>
          <w:szCs w:val="18"/>
        </w:rPr>
        <w:t xml:space="preserve"> in Main Fund                    $72,000,000</w:t>
      </w:r>
    </w:p>
    <w:p w14:paraId="0787EECD"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
    <w:p w14:paraId="04E0F4D6" w14:textId="77777777" w:rsidR="0046004D" w:rsidRDefault="00000000">
      <w:pPr>
        <w:shd w:val="clear" w:color="auto" w:fill="F1F3F7"/>
        <w:ind w:left="360" w:right="360"/>
      </w:pPr>
      <w:r>
        <w:rPr>
          <w:rFonts w:ascii="Courier New" w:eastAsia="Courier New" w:hAnsi="Courier New" w:cs="Courier New"/>
          <w:color w:val="2D3748"/>
          <w:sz w:val="18"/>
          <w:szCs w:val="18"/>
        </w:rPr>
        <w:t>Feeder A — distributes to LPs and GP per waterfall:</w:t>
      </w:r>
    </w:p>
    <w:p w14:paraId="451D585C" w14:textId="77777777" w:rsidR="0046004D" w:rsidRDefault="00000000">
      <w:pPr>
        <w:shd w:val="clear" w:color="auto" w:fill="F1F3F7"/>
        <w:ind w:left="360" w:right="360"/>
      </w:pPr>
      <w:proofErr w:type="gramStart"/>
      <w:r>
        <w:rPr>
          <w:rFonts w:ascii="Courier New" w:eastAsia="Courier New" w:hAnsi="Courier New" w:cs="Courier New"/>
          <w:color w:val="2D3748"/>
          <w:sz w:val="18"/>
          <w:szCs w:val="18"/>
        </w:rPr>
        <w:t>Dr  Partners</w:t>
      </w:r>
      <w:proofErr w:type="gramEnd"/>
      <w:r>
        <w:rPr>
          <w:rFonts w:ascii="Courier New" w:eastAsia="Courier New" w:hAnsi="Courier New" w:cs="Courier New"/>
          <w:color w:val="2D3748"/>
          <w:sz w:val="18"/>
          <w:szCs w:val="18"/>
        </w:rPr>
        <w:t>' Capital — LPs          $65,600,000</w:t>
      </w:r>
    </w:p>
    <w:p w14:paraId="11D3981E" w14:textId="77777777" w:rsidR="0046004D" w:rsidRDefault="00000000">
      <w:pPr>
        <w:shd w:val="clear" w:color="auto" w:fill="F1F3F7"/>
        <w:ind w:left="360" w:right="360"/>
      </w:pPr>
      <w:proofErr w:type="gramStart"/>
      <w:r>
        <w:rPr>
          <w:rFonts w:ascii="Courier New" w:eastAsia="Courier New" w:hAnsi="Courier New" w:cs="Courier New"/>
          <w:color w:val="2D3748"/>
          <w:sz w:val="18"/>
          <w:szCs w:val="18"/>
        </w:rPr>
        <w:t>Dr  Partners</w:t>
      </w:r>
      <w:proofErr w:type="gramEnd"/>
      <w:r>
        <w:rPr>
          <w:rFonts w:ascii="Courier New" w:eastAsia="Courier New" w:hAnsi="Courier New" w:cs="Courier New"/>
          <w:color w:val="2D3748"/>
          <w:sz w:val="18"/>
          <w:szCs w:val="18"/>
        </w:rPr>
        <w:t>' Capital — GP (</w:t>
      </w:r>
      <w:proofErr w:type="gramStart"/>
      <w:r>
        <w:rPr>
          <w:rFonts w:ascii="Courier New" w:eastAsia="Courier New" w:hAnsi="Courier New" w:cs="Courier New"/>
          <w:color w:val="2D3748"/>
          <w:sz w:val="18"/>
          <w:szCs w:val="18"/>
        </w:rPr>
        <w:t xml:space="preserve">carry)   </w:t>
      </w:r>
      <w:proofErr w:type="gramEnd"/>
      <w:r>
        <w:rPr>
          <w:rFonts w:ascii="Courier New" w:eastAsia="Courier New" w:hAnsi="Courier New" w:cs="Courier New"/>
          <w:color w:val="2D3748"/>
          <w:sz w:val="18"/>
          <w:szCs w:val="18"/>
        </w:rPr>
        <w:t xml:space="preserve"> $6,400,000</w:t>
      </w:r>
    </w:p>
    <w:p w14:paraId="7D7F7071"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Cash</w:t>
      </w:r>
      <w:proofErr w:type="gramEnd"/>
      <w:r>
        <w:rPr>
          <w:rFonts w:ascii="Courier New" w:eastAsia="Courier New" w:hAnsi="Courier New" w:cs="Courier New"/>
          <w:color w:val="2D3748"/>
          <w:sz w:val="18"/>
          <w:szCs w:val="18"/>
        </w:rPr>
        <w:t xml:space="preserve">                                       $72,000,000</w:t>
      </w:r>
    </w:p>
    <w:p w14:paraId="1D098C13" w14:textId="77777777" w:rsidR="0046004D" w:rsidRDefault="0046004D">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1400"/>
        <w:gridCol w:w="3360"/>
      </w:tblGrid>
      <w:tr w:rsidR="0046004D" w14:paraId="2FC40F80" w14:textId="77777777">
        <w:tblPrEx>
          <w:tblCellMar>
            <w:top w:w="0" w:type="dxa"/>
            <w:bottom w:w="0" w:type="dxa"/>
          </w:tblCellMar>
        </w:tblPrEx>
        <w:tc>
          <w:tcPr>
            <w:tcW w:w="26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124F7378" w14:textId="77777777" w:rsidR="0046004D" w:rsidRDefault="00000000">
            <w:r>
              <w:rPr>
                <w:b/>
                <w:bCs/>
                <w:color w:val="FFFFFF"/>
                <w:sz w:val="20"/>
                <w:szCs w:val="20"/>
              </w:rPr>
              <w:t>Waterfall Tier</w:t>
            </w:r>
          </w:p>
        </w:tc>
        <w:tc>
          <w:tcPr>
            <w:tcW w:w="20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0D0D8FC6" w14:textId="77777777" w:rsidR="0046004D" w:rsidRDefault="00000000">
            <w:r>
              <w:rPr>
                <w:b/>
                <w:bCs/>
                <w:color w:val="FFFFFF"/>
                <w:sz w:val="20"/>
                <w:szCs w:val="20"/>
              </w:rPr>
              <w:t>Recipient</w:t>
            </w:r>
          </w:p>
        </w:tc>
        <w:tc>
          <w:tcPr>
            <w:tcW w:w="1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5C5155DA" w14:textId="77777777" w:rsidR="0046004D" w:rsidRDefault="00000000">
            <w:r>
              <w:rPr>
                <w:b/>
                <w:bCs/>
                <w:color w:val="FFFFFF"/>
                <w:sz w:val="20"/>
                <w:szCs w:val="20"/>
              </w:rPr>
              <w:t>Amount</w:t>
            </w:r>
          </w:p>
        </w:tc>
        <w:tc>
          <w:tcPr>
            <w:tcW w:w="33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37576B81" w14:textId="77777777" w:rsidR="0046004D" w:rsidRDefault="00000000">
            <w:r>
              <w:rPr>
                <w:b/>
                <w:bCs/>
                <w:color w:val="FFFFFF"/>
                <w:sz w:val="20"/>
                <w:szCs w:val="20"/>
              </w:rPr>
              <w:t>Basis</w:t>
            </w:r>
          </w:p>
        </w:tc>
      </w:tr>
      <w:tr w:rsidR="0046004D" w14:paraId="5DDB1A79" w14:textId="77777777">
        <w:tblPrEx>
          <w:tblCellMar>
            <w:top w:w="0" w:type="dxa"/>
            <w:bottom w:w="0" w:type="dxa"/>
          </w:tblCellMar>
        </w:tblPrEx>
        <w:tc>
          <w:tcPr>
            <w:tcW w:w="2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0F9380F6" w14:textId="77777777" w:rsidR="0046004D" w:rsidRDefault="00000000">
            <w:r>
              <w:rPr>
                <w:sz w:val="20"/>
                <w:szCs w:val="20"/>
              </w:rPr>
              <w:t>Return of Capital</w:t>
            </w:r>
          </w:p>
        </w:tc>
        <w:tc>
          <w:tcPr>
            <w:tcW w:w="2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8C72094" w14:textId="77777777" w:rsidR="0046004D" w:rsidRDefault="00000000">
            <w:r>
              <w:rPr>
                <w:sz w:val="20"/>
                <w:szCs w:val="20"/>
              </w:rPr>
              <w:t>LPs 100%</w:t>
            </w:r>
          </w:p>
        </w:tc>
        <w:tc>
          <w:tcPr>
            <w:tcW w:w="1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A39A4FB" w14:textId="77777777" w:rsidR="0046004D" w:rsidRDefault="00000000">
            <w:r>
              <w:rPr>
                <w:sz w:val="20"/>
                <w:szCs w:val="20"/>
              </w:rPr>
              <w:t>$40.0M</w:t>
            </w:r>
          </w:p>
        </w:tc>
        <w:tc>
          <w:tcPr>
            <w:tcW w:w="33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07B1B83" w14:textId="77777777" w:rsidR="0046004D" w:rsidRDefault="00000000">
            <w:r>
              <w:rPr>
                <w:sz w:val="20"/>
                <w:szCs w:val="20"/>
              </w:rPr>
              <w:t>Full return of $40M invested by Feeder A</w:t>
            </w:r>
          </w:p>
        </w:tc>
      </w:tr>
      <w:tr w:rsidR="0046004D" w14:paraId="512560B8" w14:textId="77777777">
        <w:tblPrEx>
          <w:tblCellMar>
            <w:top w:w="0" w:type="dxa"/>
            <w:bottom w:w="0" w:type="dxa"/>
          </w:tblCellMar>
        </w:tblPrEx>
        <w:tc>
          <w:tcPr>
            <w:tcW w:w="26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39938267" w14:textId="77777777" w:rsidR="0046004D" w:rsidRDefault="00000000">
            <w:r>
              <w:rPr>
                <w:sz w:val="20"/>
                <w:szCs w:val="20"/>
              </w:rPr>
              <w:t>Preferred Return (8%)</w:t>
            </w:r>
          </w:p>
        </w:tc>
        <w:tc>
          <w:tcPr>
            <w:tcW w:w="2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AFE7937" w14:textId="77777777" w:rsidR="0046004D" w:rsidRDefault="00000000">
            <w:r>
              <w:rPr>
                <w:sz w:val="20"/>
                <w:szCs w:val="20"/>
              </w:rPr>
              <w:t>LPs 100%</w:t>
            </w:r>
          </w:p>
        </w:tc>
        <w:tc>
          <w:tcPr>
            <w:tcW w:w="1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3F7D1DFA" w14:textId="77777777" w:rsidR="0046004D" w:rsidRDefault="00000000">
            <w:r>
              <w:rPr>
                <w:sz w:val="20"/>
                <w:szCs w:val="20"/>
              </w:rPr>
              <w:t>$16.0M</w:t>
            </w:r>
          </w:p>
        </w:tc>
        <w:tc>
          <w:tcPr>
            <w:tcW w:w="33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3DF3E859" w14:textId="77777777" w:rsidR="0046004D" w:rsidRDefault="00000000">
            <w:r>
              <w:rPr>
                <w:sz w:val="20"/>
                <w:szCs w:val="20"/>
              </w:rPr>
              <w:t>8% p.a. on $40M over 5 years (simplified)</w:t>
            </w:r>
          </w:p>
        </w:tc>
      </w:tr>
      <w:tr w:rsidR="0046004D" w14:paraId="562CB806" w14:textId="77777777">
        <w:tblPrEx>
          <w:tblCellMar>
            <w:top w:w="0" w:type="dxa"/>
            <w:bottom w:w="0" w:type="dxa"/>
          </w:tblCellMar>
        </w:tblPrEx>
        <w:tc>
          <w:tcPr>
            <w:tcW w:w="2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1FC4A23" w14:textId="77777777" w:rsidR="0046004D" w:rsidRDefault="00000000">
            <w:r>
              <w:rPr>
                <w:sz w:val="20"/>
                <w:szCs w:val="20"/>
              </w:rPr>
              <w:t>GP Catch-Up</w:t>
            </w:r>
          </w:p>
        </w:tc>
        <w:tc>
          <w:tcPr>
            <w:tcW w:w="2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6B4EBA4" w14:textId="77777777" w:rsidR="0046004D" w:rsidRDefault="00000000">
            <w:r>
              <w:rPr>
                <w:sz w:val="20"/>
                <w:szCs w:val="20"/>
              </w:rPr>
              <w:t>GP 100%</w:t>
            </w:r>
          </w:p>
        </w:tc>
        <w:tc>
          <w:tcPr>
            <w:tcW w:w="1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5C0E4FE" w14:textId="77777777" w:rsidR="0046004D" w:rsidRDefault="00000000">
            <w:r>
              <w:rPr>
                <w:sz w:val="20"/>
                <w:szCs w:val="20"/>
              </w:rPr>
              <w:t>$4.0M</w:t>
            </w:r>
          </w:p>
        </w:tc>
        <w:tc>
          <w:tcPr>
            <w:tcW w:w="33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41DCC21" w14:textId="77777777" w:rsidR="0046004D" w:rsidRDefault="00000000">
            <w:r>
              <w:rPr>
                <w:sz w:val="20"/>
                <w:szCs w:val="20"/>
              </w:rPr>
              <w:t xml:space="preserve">GP catches up to 20% of profit above </w:t>
            </w:r>
            <w:proofErr w:type="spellStart"/>
            <w:r>
              <w:rPr>
                <w:sz w:val="20"/>
                <w:szCs w:val="20"/>
              </w:rPr>
              <w:t>pref</w:t>
            </w:r>
            <w:proofErr w:type="spellEnd"/>
          </w:p>
        </w:tc>
      </w:tr>
      <w:tr w:rsidR="0046004D" w14:paraId="167145B5" w14:textId="77777777">
        <w:tblPrEx>
          <w:tblCellMar>
            <w:top w:w="0" w:type="dxa"/>
            <w:bottom w:w="0" w:type="dxa"/>
          </w:tblCellMar>
        </w:tblPrEx>
        <w:tc>
          <w:tcPr>
            <w:tcW w:w="26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C9C9433" w14:textId="77777777" w:rsidR="0046004D" w:rsidRDefault="00000000">
            <w:r>
              <w:rPr>
                <w:sz w:val="20"/>
                <w:szCs w:val="20"/>
              </w:rPr>
              <w:lastRenderedPageBreak/>
              <w:t>Residual</w:t>
            </w:r>
          </w:p>
        </w:tc>
        <w:tc>
          <w:tcPr>
            <w:tcW w:w="2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DEE3015" w14:textId="77777777" w:rsidR="0046004D" w:rsidRDefault="00000000">
            <w:r>
              <w:rPr>
                <w:sz w:val="20"/>
                <w:szCs w:val="20"/>
              </w:rPr>
              <w:t>LPs 80% / GP 20%</w:t>
            </w:r>
          </w:p>
        </w:tc>
        <w:tc>
          <w:tcPr>
            <w:tcW w:w="1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5B78160" w14:textId="77777777" w:rsidR="0046004D" w:rsidRDefault="00000000">
            <w:r>
              <w:rPr>
                <w:sz w:val="20"/>
                <w:szCs w:val="20"/>
              </w:rPr>
              <w:t>$9.6M / $2.4M</w:t>
            </w:r>
          </w:p>
        </w:tc>
        <w:tc>
          <w:tcPr>
            <w:tcW w:w="33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BEB2182" w14:textId="77777777" w:rsidR="0046004D" w:rsidRDefault="00000000">
            <w:r>
              <w:rPr>
                <w:sz w:val="20"/>
                <w:szCs w:val="20"/>
              </w:rPr>
              <w:t>Remaining profit split</w:t>
            </w:r>
          </w:p>
        </w:tc>
      </w:tr>
    </w:tbl>
    <w:p w14:paraId="128BDD31" w14:textId="77777777" w:rsidR="0046004D" w:rsidRDefault="0046004D">
      <w:pPr>
        <w:spacing w:after="200"/>
      </w:pPr>
    </w:p>
    <w:p w14:paraId="1AB14944" w14:textId="77777777" w:rsidR="0046004D" w:rsidRDefault="00000000">
      <w:r>
        <w:br w:type="page"/>
      </w:r>
    </w:p>
    <w:p w14:paraId="1E546C7A" w14:textId="77777777" w:rsidR="0046004D" w:rsidRDefault="00000000">
      <w:pPr>
        <w:pStyle w:val="Heading1"/>
        <w:pBdr>
          <w:bottom w:val="single" w:sz="8" w:space="0" w:color="C8952A"/>
        </w:pBdr>
      </w:pPr>
      <w:bookmarkStart w:id="67" w:name="_Toc237337510"/>
      <w:r>
        <w:lastRenderedPageBreak/>
        <w:t xml:space="preserve">Appendix </w:t>
      </w:r>
      <w:proofErr w:type="gramStart"/>
      <w:r>
        <w:t>C  Fund</w:t>
      </w:r>
      <w:proofErr w:type="gramEnd"/>
      <w:r>
        <w:t xml:space="preserve"> Closes and Equalization Mechanics</w:t>
      </w:r>
      <w:bookmarkEnd w:id="67"/>
    </w:p>
    <w:p w14:paraId="27D255B2" w14:textId="77777777" w:rsidR="0046004D" w:rsidRDefault="00000000">
      <w:pPr>
        <w:spacing w:after="120"/>
      </w:pPr>
      <w:r>
        <w:t>This appendix expands on Section 8 with the operational mechanics of how a drawdown fund admits investors across multiple closes, and how equalization ensures all LPs — regardless of when they joined — have equivalent economics.</w:t>
      </w:r>
    </w:p>
    <w:p w14:paraId="4B2E4B2E" w14:textId="77777777" w:rsidR="0046004D" w:rsidRDefault="00000000">
      <w:pPr>
        <w:pStyle w:val="Heading2"/>
      </w:pPr>
      <w:bookmarkStart w:id="68" w:name="_Toc237337511"/>
      <w:proofErr w:type="gramStart"/>
      <w:r>
        <w:t>C.1  Three</w:t>
      </w:r>
      <w:proofErr w:type="gramEnd"/>
      <w:r>
        <w:t xml:space="preserve"> Types of Close Date</w:t>
      </w:r>
      <w:bookmarkEnd w:id="6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004D" w14:paraId="09F4B37E" w14:textId="77777777">
        <w:tblPrEx>
          <w:tblCellMar>
            <w:top w:w="0" w:type="dxa"/>
            <w:bottom w:w="0" w:type="dxa"/>
          </w:tblCellMar>
        </w:tblPrEx>
        <w:tc>
          <w:tcPr>
            <w:tcW w:w="9360" w:type="dxa"/>
            <w:tcBorders>
              <w:top w:val="single" w:sz="12" w:space="0" w:color="D69E2E"/>
              <w:left w:val="single" w:sz="12" w:space="0" w:color="D69E2E"/>
            </w:tcBorders>
            <w:shd w:val="clear" w:color="auto" w:fill="FFFBEB"/>
            <w:tcMar>
              <w:top w:w="80" w:type="dxa"/>
              <w:left w:w="120" w:type="dxa"/>
              <w:bottom w:w="0" w:type="dxa"/>
              <w:right w:w="120" w:type="dxa"/>
            </w:tcMar>
          </w:tcPr>
          <w:p w14:paraId="4A07026C" w14:textId="77777777" w:rsidR="0046004D" w:rsidRDefault="00000000">
            <w:r>
              <w:rPr>
                <w:b/>
                <w:bCs/>
                <w:color w:val="D69E2E"/>
                <w:sz w:val="20"/>
                <w:szCs w:val="20"/>
              </w:rPr>
              <w:t>Important Disambiguation</w:t>
            </w:r>
          </w:p>
        </w:tc>
      </w:tr>
      <w:tr w:rsidR="0046004D" w14:paraId="2BFDB489" w14:textId="77777777">
        <w:tblPrEx>
          <w:tblCellMar>
            <w:top w:w="0" w:type="dxa"/>
            <w:bottom w:w="0" w:type="dxa"/>
          </w:tblCellMar>
        </w:tblPrEx>
        <w:tc>
          <w:tcPr>
            <w:tcW w:w="9360" w:type="dxa"/>
            <w:tcBorders>
              <w:left w:val="single" w:sz="12" w:space="0" w:color="D69E2E"/>
            </w:tcBorders>
            <w:shd w:val="clear" w:color="auto" w:fill="FFFBEB"/>
            <w:tcMar>
              <w:top w:w="0" w:type="dxa"/>
              <w:left w:w="120" w:type="dxa"/>
              <w:bottom w:w="0" w:type="dxa"/>
              <w:right w:w="120" w:type="dxa"/>
            </w:tcMar>
          </w:tcPr>
          <w:p w14:paraId="0B969C7A" w14:textId="77777777" w:rsidR="0046004D" w:rsidRDefault="00000000">
            <w:pPr>
              <w:spacing w:after="60"/>
            </w:pPr>
            <w:r>
              <w:rPr>
                <w:color w:val="2D3748"/>
                <w:sz w:val="20"/>
                <w:szCs w:val="20"/>
              </w:rPr>
              <w:t>In closed-end funds, "close date" has three distinct meanings that are often conflated:</w:t>
            </w:r>
          </w:p>
        </w:tc>
      </w:tr>
      <w:tr w:rsidR="0046004D" w14:paraId="0CD53976" w14:textId="77777777">
        <w:tblPrEx>
          <w:tblCellMar>
            <w:top w:w="0" w:type="dxa"/>
            <w:bottom w:w="0" w:type="dxa"/>
          </w:tblCellMar>
        </w:tblPrEx>
        <w:tc>
          <w:tcPr>
            <w:tcW w:w="9360" w:type="dxa"/>
            <w:tcBorders>
              <w:left w:val="single" w:sz="12" w:space="0" w:color="D69E2E"/>
            </w:tcBorders>
            <w:shd w:val="clear" w:color="auto" w:fill="FFFBEB"/>
            <w:tcMar>
              <w:top w:w="0" w:type="dxa"/>
              <w:left w:w="120" w:type="dxa"/>
              <w:bottom w:w="0" w:type="dxa"/>
              <w:right w:w="120" w:type="dxa"/>
            </w:tcMar>
          </w:tcPr>
          <w:p w14:paraId="3F03B8CC" w14:textId="77777777" w:rsidR="0046004D" w:rsidRDefault="0046004D">
            <w:pPr>
              <w:spacing w:after="60"/>
            </w:pPr>
          </w:p>
        </w:tc>
      </w:tr>
      <w:tr w:rsidR="0046004D" w14:paraId="7F3C64F8" w14:textId="77777777">
        <w:tblPrEx>
          <w:tblCellMar>
            <w:top w:w="0" w:type="dxa"/>
            <w:bottom w:w="0" w:type="dxa"/>
          </w:tblCellMar>
        </w:tblPrEx>
        <w:tc>
          <w:tcPr>
            <w:tcW w:w="9360" w:type="dxa"/>
            <w:tcBorders>
              <w:left w:val="single" w:sz="12" w:space="0" w:color="D69E2E"/>
            </w:tcBorders>
            <w:shd w:val="clear" w:color="auto" w:fill="FFFBEB"/>
            <w:tcMar>
              <w:top w:w="0" w:type="dxa"/>
              <w:left w:w="120" w:type="dxa"/>
              <w:bottom w:w="0" w:type="dxa"/>
              <w:right w:w="120" w:type="dxa"/>
            </w:tcMar>
          </w:tcPr>
          <w:p w14:paraId="6B0A250D" w14:textId="77777777" w:rsidR="0046004D" w:rsidRDefault="00000000">
            <w:pPr>
              <w:spacing w:after="60"/>
            </w:pPr>
            <w:r>
              <w:rPr>
                <w:color w:val="2D3748"/>
                <w:sz w:val="20"/>
                <w:szCs w:val="20"/>
              </w:rPr>
              <w:t xml:space="preserve">1. Fund Close (subscription </w:t>
            </w:r>
            <w:proofErr w:type="gramStart"/>
            <w:r>
              <w:rPr>
                <w:color w:val="2D3748"/>
                <w:sz w:val="20"/>
                <w:szCs w:val="20"/>
              </w:rPr>
              <w:t>closing) —</w:t>
            </w:r>
            <w:proofErr w:type="gramEnd"/>
            <w:r>
              <w:rPr>
                <w:color w:val="2D3748"/>
                <w:sz w:val="20"/>
                <w:szCs w:val="20"/>
              </w:rPr>
              <w:t xml:space="preserve"> when a new batch of LPs is admitted to the fund</w:t>
            </w:r>
          </w:p>
        </w:tc>
      </w:tr>
      <w:tr w:rsidR="0046004D" w14:paraId="08B4A560" w14:textId="77777777">
        <w:tblPrEx>
          <w:tblCellMar>
            <w:top w:w="0" w:type="dxa"/>
            <w:bottom w:w="0" w:type="dxa"/>
          </w:tblCellMar>
        </w:tblPrEx>
        <w:tc>
          <w:tcPr>
            <w:tcW w:w="9360" w:type="dxa"/>
            <w:tcBorders>
              <w:left w:val="single" w:sz="12" w:space="0" w:color="D69E2E"/>
            </w:tcBorders>
            <w:shd w:val="clear" w:color="auto" w:fill="FFFBEB"/>
            <w:tcMar>
              <w:top w:w="0" w:type="dxa"/>
              <w:left w:w="120" w:type="dxa"/>
              <w:bottom w:w="0" w:type="dxa"/>
              <w:right w:w="120" w:type="dxa"/>
            </w:tcMar>
          </w:tcPr>
          <w:p w14:paraId="4AFA8B09" w14:textId="77777777" w:rsidR="0046004D" w:rsidRDefault="00000000">
            <w:pPr>
              <w:spacing w:after="60"/>
            </w:pPr>
            <w:r>
              <w:rPr>
                <w:color w:val="2D3748"/>
                <w:sz w:val="20"/>
                <w:szCs w:val="20"/>
              </w:rPr>
              <w:t>2. Feeder Close — the Feeder's own parallel admission event, typically 2–3 days ahead</w:t>
            </w:r>
          </w:p>
        </w:tc>
      </w:tr>
      <w:tr w:rsidR="0046004D" w14:paraId="4754BF72" w14:textId="77777777">
        <w:tblPrEx>
          <w:tblCellMar>
            <w:top w:w="0" w:type="dxa"/>
            <w:bottom w:w="0" w:type="dxa"/>
          </w:tblCellMar>
        </w:tblPrEx>
        <w:tc>
          <w:tcPr>
            <w:tcW w:w="9360" w:type="dxa"/>
            <w:tcBorders>
              <w:left w:val="single" w:sz="12" w:space="0" w:color="D69E2E"/>
              <w:bottom w:val="single" w:sz="4" w:space="0" w:color="D69E2E"/>
            </w:tcBorders>
            <w:shd w:val="clear" w:color="auto" w:fill="FFFBEB"/>
            <w:tcMar>
              <w:top w:w="0" w:type="dxa"/>
              <w:left w:w="120" w:type="dxa"/>
              <w:bottom w:w="80" w:type="dxa"/>
              <w:right w:w="120" w:type="dxa"/>
            </w:tcMar>
          </w:tcPr>
          <w:p w14:paraId="153903D5" w14:textId="77777777" w:rsidR="0046004D" w:rsidRDefault="00000000">
            <w:r>
              <w:rPr>
                <w:color w:val="2D3748"/>
                <w:sz w:val="20"/>
                <w:szCs w:val="20"/>
              </w:rPr>
              <w:t>3. Transaction/Investment Close — when a specific deal legally completes (entirely separate)</w:t>
            </w:r>
          </w:p>
        </w:tc>
      </w:tr>
    </w:tbl>
    <w:p w14:paraId="194153AE" w14:textId="77777777" w:rsidR="0046004D" w:rsidRDefault="0046004D">
      <w:pPr>
        <w:spacing w:after="160"/>
      </w:pPr>
    </w:p>
    <w:p w14:paraId="7A33F6D3" w14:textId="77777777" w:rsidR="0046004D" w:rsidRDefault="00000000">
      <w:pPr>
        <w:pStyle w:val="Heading2"/>
      </w:pPr>
      <w:bookmarkStart w:id="69" w:name="_Toc237337512"/>
      <w:proofErr w:type="gramStart"/>
      <w:r>
        <w:t>C.2  Fundraising</w:t>
      </w:r>
      <w:proofErr w:type="gramEnd"/>
      <w:r>
        <w:t xml:space="preserve"> Timeline — Three Closes over 18 Months</w:t>
      </w:r>
      <w:bookmarkEnd w:id="69"/>
    </w:p>
    <w:p w14:paraId="3690FAD5" w14:textId="77777777" w:rsidR="0046004D" w:rsidRDefault="00000000">
      <w:pPr>
        <w:spacing w:after="120"/>
      </w:pPr>
      <w:r>
        <w:t xml:space="preserve">Example: $500M Main Fund targeting final </w:t>
      </w:r>
      <w:proofErr w:type="gramStart"/>
      <w:r>
        <w:t>close</w:t>
      </w:r>
      <w:proofErr w:type="gramEnd"/>
      <w:r>
        <w:t xml:space="preserve"> at Month 18.</w:t>
      </w:r>
    </w:p>
    <w:p w14:paraId="72F392B8" w14:textId="77777777" w:rsidR="0046004D" w:rsidRDefault="0046004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000"/>
        <w:gridCol w:w="1800"/>
        <w:gridCol w:w="2800"/>
        <w:gridCol w:w="2360"/>
      </w:tblGrid>
      <w:tr w:rsidR="0046004D" w14:paraId="370ABA43" w14:textId="77777777">
        <w:tblPrEx>
          <w:tblCellMar>
            <w:top w:w="0" w:type="dxa"/>
            <w:bottom w:w="0" w:type="dxa"/>
          </w:tblCellMar>
        </w:tblPrEx>
        <w:tc>
          <w:tcPr>
            <w:tcW w:w="1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055098C7" w14:textId="77777777" w:rsidR="0046004D" w:rsidRDefault="00000000">
            <w:r>
              <w:rPr>
                <w:b/>
                <w:bCs/>
                <w:color w:val="FFFFFF"/>
                <w:sz w:val="20"/>
                <w:szCs w:val="20"/>
              </w:rPr>
              <w:t>Close</w:t>
            </w:r>
          </w:p>
        </w:tc>
        <w:tc>
          <w:tcPr>
            <w:tcW w:w="10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0001CE8F" w14:textId="77777777" w:rsidR="0046004D" w:rsidRDefault="00000000">
            <w:r>
              <w:rPr>
                <w:b/>
                <w:bCs/>
                <w:color w:val="FFFFFF"/>
                <w:sz w:val="20"/>
                <w:szCs w:val="20"/>
              </w:rPr>
              <w:t>Month</w:t>
            </w:r>
          </w:p>
        </w:tc>
        <w:tc>
          <w:tcPr>
            <w:tcW w:w="18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605DE345" w14:textId="77777777" w:rsidR="0046004D" w:rsidRDefault="00000000">
            <w:r>
              <w:rPr>
                <w:b/>
                <w:bCs/>
                <w:color w:val="FFFFFF"/>
                <w:sz w:val="20"/>
                <w:szCs w:val="20"/>
              </w:rPr>
              <w:t>Cumulative Raise</w:t>
            </w:r>
          </w:p>
        </w:tc>
        <w:tc>
          <w:tcPr>
            <w:tcW w:w="28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0CE4A510" w14:textId="77777777" w:rsidR="0046004D" w:rsidRDefault="00000000">
            <w:r>
              <w:rPr>
                <w:b/>
                <w:bCs/>
                <w:color w:val="FFFFFF"/>
                <w:sz w:val="20"/>
                <w:szCs w:val="20"/>
              </w:rPr>
              <w:t>Feeders Admitted</w:t>
            </w:r>
          </w:p>
        </w:tc>
        <w:tc>
          <w:tcPr>
            <w:tcW w:w="23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3A9D13BB" w14:textId="77777777" w:rsidR="0046004D" w:rsidRDefault="00000000">
            <w:r>
              <w:rPr>
                <w:b/>
                <w:bCs/>
                <w:color w:val="FFFFFF"/>
                <w:sz w:val="20"/>
                <w:szCs w:val="20"/>
              </w:rPr>
              <w:t>Equalization Required?</w:t>
            </w:r>
          </w:p>
        </w:tc>
      </w:tr>
      <w:tr w:rsidR="0046004D" w14:paraId="0FB5F7CA" w14:textId="77777777">
        <w:tblPrEx>
          <w:tblCellMar>
            <w:top w:w="0" w:type="dxa"/>
            <w:bottom w:w="0" w:type="dxa"/>
          </w:tblCellMar>
        </w:tblPrEx>
        <w:tc>
          <w:tcPr>
            <w:tcW w:w="1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1986133" w14:textId="77777777" w:rsidR="0046004D" w:rsidRDefault="00000000">
            <w:r>
              <w:rPr>
                <w:sz w:val="20"/>
                <w:szCs w:val="20"/>
              </w:rPr>
              <w:t>First Close</w:t>
            </w:r>
          </w:p>
        </w:tc>
        <w:tc>
          <w:tcPr>
            <w:tcW w:w="1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DD5B898" w14:textId="77777777" w:rsidR="0046004D" w:rsidRDefault="00000000">
            <w:r>
              <w:rPr>
                <w:sz w:val="20"/>
                <w:szCs w:val="20"/>
              </w:rPr>
              <w:t>Month 0</w:t>
            </w:r>
          </w:p>
        </w:tc>
        <w:tc>
          <w:tcPr>
            <w:tcW w:w="1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B177B9B" w14:textId="77777777" w:rsidR="0046004D" w:rsidRDefault="00000000">
            <w:r>
              <w:rPr>
                <w:sz w:val="20"/>
                <w:szCs w:val="20"/>
              </w:rPr>
              <w:t>$200M (40%)</w:t>
            </w:r>
          </w:p>
        </w:tc>
        <w:tc>
          <w:tcPr>
            <w:tcW w:w="2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EEDC1B9" w14:textId="77777777" w:rsidR="0046004D" w:rsidRDefault="00000000">
            <w:r>
              <w:rPr>
                <w:sz w:val="20"/>
                <w:szCs w:val="20"/>
              </w:rPr>
              <w:t>Feeder A (Domestic)</w:t>
            </w:r>
          </w:p>
        </w:tc>
        <w:tc>
          <w:tcPr>
            <w:tcW w:w="23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22DBCEF" w14:textId="77777777" w:rsidR="0046004D" w:rsidRDefault="00000000">
            <w:r>
              <w:rPr>
                <w:sz w:val="20"/>
                <w:szCs w:val="20"/>
              </w:rPr>
              <w:t>No — first closer</w:t>
            </w:r>
          </w:p>
        </w:tc>
      </w:tr>
      <w:tr w:rsidR="0046004D" w14:paraId="618B812A" w14:textId="77777777">
        <w:tblPrEx>
          <w:tblCellMar>
            <w:top w:w="0" w:type="dxa"/>
            <w:bottom w:w="0" w:type="dxa"/>
          </w:tblCellMar>
        </w:tblPrEx>
        <w:tc>
          <w:tcPr>
            <w:tcW w:w="1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2EFC77D" w14:textId="77777777" w:rsidR="0046004D" w:rsidRDefault="00000000">
            <w:r>
              <w:rPr>
                <w:sz w:val="20"/>
                <w:szCs w:val="20"/>
              </w:rPr>
              <w:t>Second Close</w:t>
            </w:r>
          </w:p>
        </w:tc>
        <w:tc>
          <w:tcPr>
            <w:tcW w:w="1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3C4EEB6" w14:textId="77777777" w:rsidR="0046004D" w:rsidRDefault="00000000">
            <w:r>
              <w:rPr>
                <w:sz w:val="20"/>
                <w:szCs w:val="20"/>
              </w:rPr>
              <w:t>Month 9</w:t>
            </w:r>
          </w:p>
        </w:tc>
        <w:tc>
          <w:tcPr>
            <w:tcW w:w="18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5068FF6" w14:textId="77777777" w:rsidR="0046004D" w:rsidRDefault="00000000">
            <w:r>
              <w:rPr>
                <w:sz w:val="20"/>
                <w:szCs w:val="20"/>
              </w:rPr>
              <w:t>$350M (70%)</w:t>
            </w:r>
          </w:p>
        </w:tc>
        <w:tc>
          <w:tcPr>
            <w:tcW w:w="28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27CDB406" w14:textId="77777777" w:rsidR="0046004D" w:rsidRDefault="00000000">
            <w:r>
              <w:rPr>
                <w:sz w:val="20"/>
                <w:szCs w:val="20"/>
              </w:rPr>
              <w:t>Feeder B (Tax-Exempt) + new Feeder C LPs</w:t>
            </w:r>
          </w:p>
        </w:tc>
        <w:tc>
          <w:tcPr>
            <w:tcW w:w="23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98013FD" w14:textId="77777777" w:rsidR="0046004D" w:rsidRDefault="00000000">
            <w:r>
              <w:rPr>
                <w:sz w:val="20"/>
                <w:szCs w:val="20"/>
              </w:rPr>
              <w:t>Yes — 6 months late on Call #1</w:t>
            </w:r>
          </w:p>
        </w:tc>
      </w:tr>
      <w:tr w:rsidR="0046004D" w14:paraId="0CF61F46" w14:textId="77777777">
        <w:tblPrEx>
          <w:tblCellMar>
            <w:top w:w="0" w:type="dxa"/>
            <w:bottom w:w="0" w:type="dxa"/>
          </w:tblCellMar>
        </w:tblPrEx>
        <w:tc>
          <w:tcPr>
            <w:tcW w:w="1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FE70133" w14:textId="77777777" w:rsidR="0046004D" w:rsidRDefault="00000000">
            <w:r>
              <w:rPr>
                <w:sz w:val="20"/>
                <w:szCs w:val="20"/>
              </w:rPr>
              <w:t>Final Close</w:t>
            </w:r>
          </w:p>
        </w:tc>
        <w:tc>
          <w:tcPr>
            <w:tcW w:w="1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C25CC4F" w14:textId="77777777" w:rsidR="0046004D" w:rsidRDefault="00000000">
            <w:r>
              <w:rPr>
                <w:sz w:val="20"/>
                <w:szCs w:val="20"/>
              </w:rPr>
              <w:t>Month 18</w:t>
            </w:r>
          </w:p>
        </w:tc>
        <w:tc>
          <w:tcPr>
            <w:tcW w:w="1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11BB0D0" w14:textId="77777777" w:rsidR="0046004D" w:rsidRDefault="00000000">
            <w:r>
              <w:rPr>
                <w:sz w:val="20"/>
                <w:szCs w:val="20"/>
              </w:rPr>
              <w:t>$500M (100%)</w:t>
            </w:r>
          </w:p>
        </w:tc>
        <w:tc>
          <w:tcPr>
            <w:tcW w:w="2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E5B0BA8" w14:textId="77777777" w:rsidR="0046004D" w:rsidRDefault="00000000">
            <w:r>
              <w:rPr>
                <w:sz w:val="20"/>
                <w:szCs w:val="20"/>
              </w:rPr>
              <w:t>Remaining Feeder C LPs</w:t>
            </w:r>
          </w:p>
        </w:tc>
        <w:tc>
          <w:tcPr>
            <w:tcW w:w="23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5DAFBAF" w14:textId="77777777" w:rsidR="0046004D" w:rsidRDefault="00000000">
            <w:r>
              <w:rPr>
                <w:sz w:val="20"/>
                <w:szCs w:val="20"/>
              </w:rPr>
              <w:t>Yes — 18 months late on Calls #1 and #2</w:t>
            </w:r>
          </w:p>
        </w:tc>
      </w:tr>
    </w:tbl>
    <w:p w14:paraId="591A8AD5" w14:textId="77777777" w:rsidR="0046004D" w:rsidRDefault="0046004D">
      <w:pPr>
        <w:spacing w:after="200"/>
      </w:pPr>
    </w:p>
    <w:p w14:paraId="6A4CF561" w14:textId="77777777" w:rsidR="0046004D" w:rsidRDefault="00000000">
      <w:pPr>
        <w:spacing w:after="120"/>
      </w:pPr>
      <w:r>
        <w:t xml:space="preserve">Between First and Second Close, the fund made one investment: Call #1 for $100M (Acme Corp, Month 3). Feeder B and new Feeder C LPs </w:t>
      </w:r>
      <w:proofErr w:type="gramStart"/>
      <w:r>
        <w:t>joining at</w:t>
      </w:r>
      <w:proofErr w:type="gramEnd"/>
      <w:r>
        <w:t xml:space="preserve"> the Second Close must pay as if they </w:t>
      </w:r>
      <w:proofErr w:type="gramStart"/>
      <w:r>
        <w:t>had been</w:t>
      </w:r>
      <w:proofErr w:type="gramEnd"/>
      <w:r>
        <w:t xml:space="preserve"> there from Call #1.</w:t>
      </w:r>
    </w:p>
    <w:p w14:paraId="256E6893" w14:textId="77777777" w:rsidR="0046004D" w:rsidRDefault="00000000">
      <w:pPr>
        <w:pStyle w:val="Heading2"/>
      </w:pPr>
      <w:bookmarkStart w:id="70" w:name="_Toc237337513"/>
      <w:proofErr w:type="gramStart"/>
      <w:r>
        <w:t>C.3  Feeder</w:t>
      </w:r>
      <w:proofErr w:type="gramEnd"/>
      <w:r>
        <w:t xml:space="preserve"> Close vs. Fund Close — Timing</w:t>
      </w:r>
      <w:bookmarkEnd w:id="7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400"/>
        <w:gridCol w:w="5560"/>
      </w:tblGrid>
      <w:tr w:rsidR="0046004D" w14:paraId="13EA892B" w14:textId="77777777">
        <w:tblPrEx>
          <w:tblCellMar>
            <w:top w:w="0" w:type="dxa"/>
            <w:bottom w:w="0" w:type="dxa"/>
          </w:tblCellMar>
        </w:tblPrEx>
        <w:tc>
          <w:tcPr>
            <w:tcW w:w="1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17AE9D2E" w14:textId="77777777" w:rsidR="0046004D" w:rsidRDefault="00000000">
            <w:r>
              <w:rPr>
                <w:b/>
                <w:bCs/>
                <w:color w:val="FFFFFF"/>
                <w:sz w:val="20"/>
                <w:szCs w:val="20"/>
              </w:rPr>
              <w:t>Day</w:t>
            </w:r>
          </w:p>
        </w:tc>
        <w:tc>
          <w:tcPr>
            <w:tcW w:w="2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20D0B605" w14:textId="77777777" w:rsidR="0046004D" w:rsidRDefault="00000000">
            <w:r>
              <w:rPr>
                <w:b/>
                <w:bCs/>
                <w:color w:val="FFFFFF"/>
                <w:sz w:val="20"/>
                <w:szCs w:val="20"/>
              </w:rPr>
              <w:t>Event</w:t>
            </w:r>
          </w:p>
        </w:tc>
        <w:tc>
          <w:tcPr>
            <w:tcW w:w="55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01E39C29" w14:textId="77777777" w:rsidR="0046004D" w:rsidRDefault="00000000">
            <w:r>
              <w:rPr>
                <w:b/>
                <w:bCs/>
                <w:color w:val="FFFFFF"/>
                <w:sz w:val="20"/>
                <w:szCs w:val="20"/>
              </w:rPr>
              <w:t>Detail</w:t>
            </w:r>
          </w:p>
        </w:tc>
      </w:tr>
      <w:tr w:rsidR="0046004D" w14:paraId="48136D4E" w14:textId="77777777">
        <w:tblPrEx>
          <w:tblCellMar>
            <w:top w:w="0" w:type="dxa"/>
            <w:bottom w:w="0" w:type="dxa"/>
          </w:tblCellMar>
        </w:tblPrEx>
        <w:tc>
          <w:tcPr>
            <w:tcW w:w="1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79CF9E9" w14:textId="77777777" w:rsidR="0046004D" w:rsidRDefault="00000000">
            <w:r>
              <w:rPr>
                <w:sz w:val="20"/>
                <w:szCs w:val="20"/>
              </w:rPr>
              <w:t>T − 3 days</w:t>
            </w:r>
          </w:p>
        </w:tc>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C2C2E78" w14:textId="77777777" w:rsidR="0046004D" w:rsidRDefault="00000000">
            <w:r>
              <w:rPr>
                <w:sz w:val="20"/>
                <w:szCs w:val="20"/>
              </w:rPr>
              <w:t>Feeder subscription deadline</w:t>
            </w:r>
          </w:p>
        </w:tc>
        <w:tc>
          <w:tcPr>
            <w:tcW w:w="55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5FF8EBB" w14:textId="77777777" w:rsidR="0046004D" w:rsidRDefault="00000000">
            <w:r>
              <w:rPr>
                <w:sz w:val="20"/>
                <w:szCs w:val="20"/>
              </w:rPr>
              <w:t xml:space="preserve">New LPs must submit subscriptions and wires to their Feeder. </w:t>
            </w:r>
            <w:proofErr w:type="gramStart"/>
            <w:r>
              <w:rPr>
                <w:sz w:val="20"/>
                <w:szCs w:val="20"/>
              </w:rPr>
              <w:t>Feeder aggregates</w:t>
            </w:r>
            <w:proofErr w:type="gramEnd"/>
            <w:r>
              <w:rPr>
                <w:sz w:val="20"/>
                <w:szCs w:val="20"/>
              </w:rPr>
              <w:t xml:space="preserve"> all incoming capital.</w:t>
            </w:r>
          </w:p>
        </w:tc>
      </w:tr>
      <w:tr w:rsidR="0046004D" w14:paraId="0B5B0EA7" w14:textId="77777777">
        <w:tblPrEx>
          <w:tblCellMar>
            <w:top w:w="0" w:type="dxa"/>
            <w:bottom w:w="0" w:type="dxa"/>
          </w:tblCellMar>
        </w:tblPrEx>
        <w:tc>
          <w:tcPr>
            <w:tcW w:w="1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2C552D38" w14:textId="77777777" w:rsidR="0046004D" w:rsidRDefault="00000000">
            <w:r>
              <w:rPr>
                <w:sz w:val="20"/>
                <w:szCs w:val="20"/>
              </w:rPr>
              <w:t>T − 1 day</w:t>
            </w:r>
          </w:p>
        </w:tc>
        <w:tc>
          <w:tcPr>
            <w:tcW w:w="2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AB475B0" w14:textId="77777777" w:rsidR="0046004D" w:rsidRDefault="00000000">
            <w:r>
              <w:rPr>
                <w:sz w:val="20"/>
                <w:szCs w:val="20"/>
              </w:rPr>
              <w:t>Feeder calculates equalization</w:t>
            </w:r>
          </w:p>
        </w:tc>
        <w:tc>
          <w:tcPr>
            <w:tcW w:w="55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813D18E" w14:textId="77777777" w:rsidR="0046004D" w:rsidRDefault="00000000">
            <w:r>
              <w:rPr>
                <w:sz w:val="20"/>
                <w:szCs w:val="20"/>
              </w:rPr>
              <w:t>Fund admin computes each new LP's catch-up principal and interest. Feeder issues equalization notices.</w:t>
            </w:r>
          </w:p>
        </w:tc>
      </w:tr>
      <w:tr w:rsidR="0046004D" w14:paraId="587B76CB" w14:textId="77777777">
        <w:tblPrEx>
          <w:tblCellMar>
            <w:top w:w="0" w:type="dxa"/>
            <w:bottom w:w="0" w:type="dxa"/>
          </w:tblCellMar>
        </w:tblPrEx>
        <w:tc>
          <w:tcPr>
            <w:tcW w:w="1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F4DDCE2" w14:textId="77777777" w:rsidR="0046004D" w:rsidRDefault="00000000">
            <w:r>
              <w:rPr>
                <w:sz w:val="20"/>
                <w:szCs w:val="20"/>
              </w:rPr>
              <w:t>T (Fund Close)</w:t>
            </w:r>
          </w:p>
        </w:tc>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91F9721" w14:textId="77777777" w:rsidR="0046004D" w:rsidRDefault="00000000">
            <w:r>
              <w:rPr>
                <w:sz w:val="20"/>
                <w:szCs w:val="20"/>
              </w:rPr>
              <w:t>Feeder wires to Main Fund</w:t>
            </w:r>
          </w:p>
        </w:tc>
        <w:tc>
          <w:tcPr>
            <w:tcW w:w="55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BF59C57" w14:textId="77777777" w:rsidR="0046004D" w:rsidRDefault="00000000">
            <w:r>
              <w:rPr>
                <w:sz w:val="20"/>
                <w:szCs w:val="20"/>
              </w:rPr>
              <w:t>Feeder wires: (a) new LP capital + (b) equalization amounts to Main Fund simultaneously.</w:t>
            </w:r>
          </w:p>
        </w:tc>
      </w:tr>
      <w:tr w:rsidR="0046004D" w14:paraId="6676805E" w14:textId="77777777">
        <w:tblPrEx>
          <w:tblCellMar>
            <w:top w:w="0" w:type="dxa"/>
            <w:bottom w:w="0" w:type="dxa"/>
          </w:tblCellMar>
        </w:tblPrEx>
        <w:tc>
          <w:tcPr>
            <w:tcW w:w="1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38924A3" w14:textId="77777777" w:rsidR="0046004D" w:rsidRDefault="00000000">
            <w:r>
              <w:rPr>
                <w:sz w:val="20"/>
                <w:szCs w:val="20"/>
              </w:rPr>
              <w:t>T + 1 day</w:t>
            </w:r>
          </w:p>
        </w:tc>
        <w:tc>
          <w:tcPr>
            <w:tcW w:w="2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F4F415B" w14:textId="77777777" w:rsidR="0046004D" w:rsidRDefault="00000000">
            <w:r>
              <w:rPr>
                <w:sz w:val="20"/>
                <w:szCs w:val="20"/>
              </w:rPr>
              <w:t>Main Fund redistributes interest</w:t>
            </w:r>
          </w:p>
        </w:tc>
        <w:tc>
          <w:tcPr>
            <w:tcW w:w="55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E8B061D" w14:textId="77777777" w:rsidR="0046004D" w:rsidRDefault="00000000">
            <w:r>
              <w:rPr>
                <w:sz w:val="20"/>
                <w:szCs w:val="20"/>
              </w:rPr>
              <w:t>Main Fund pays equalization interest to existing Feeders (Feeder A) pro-rata.</w:t>
            </w:r>
          </w:p>
        </w:tc>
      </w:tr>
      <w:tr w:rsidR="0046004D" w14:paraId="38A537C8" w14:textId="77777777">
        <w:tblPrEx>
          <w:tblCellMar>
            <w:top w:w="0" w:type="dxa"/>
            <w:bottom w:w="0" w:type="dxa"/>
          </w:tblCellMar>
        </w:tblPrEx>
        <w:tc>
          <w:tcPr>
            <w:tcW w:w="1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B277D79" w14:textId="77777777" w:rsidR="0046004D" w:rsidRDefault="00000000">
            <w:r>
              <w:rPr>
                <w:sz w:val="20"/>
                <w:szCs w:val="20"/>
              </w:rPr>
              <w:lastRenderedPageBreak/>
              <w:t>T + 2 days</w:t>
            </w:r>
          </w:p>
        </w:tc>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505774D" w14:textId="77777777" w:rsidR="0046004D" w:rsidRDefault="00000000">
            <w:r>
              <w:rPr>
                <w:sz w:val="20"/>
                <w:szCs w:val="20"/>
              </w:rPr>
              <w:t>Capital accounts equalized</w:t>
            </w:r>
          </w:p>
        </w:tc>
        <w:tc>
          <w:tcPr>
            <w:tcW w:w="55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DBEB7FD" w14:textId="77777777" w:rsidR="0046004D" w:rsidRDefault="00000000">
            <w:r>
              <w:rPr>
                <w:sz w:val="20"/>
                <w:szCs w:val="20"/>
              </w:rPr>
              <w:t>All Feeders treated as if in from day one. Ownership % recalculated.</w:t>
            </w:r>
          </w:p>
        </w:tc>
      </w:tr>
    </w:tbl>
    <w:p w14:paraId="3559C973" w14:textId="77777777" w:rsidR="0046004D" w:rsidRDefault="0046004D">
      <w:pPr>
        <w:spacing w:after="200"/>
      </w:pPr>
    </w:p>
    <w:p w14:paraId="509219CB" w14:textId="77777777" w:rsidR="0046004D" w:rsidRDefault="00000000">
      <w:pPr>
        <w:pStyle w:val="Heading2"/>
      </w:pPr>
      <w:bookmarkStart w:id="71" w:name="_Toc237337514"/>
      <w:proofErr w:type="gramStart"/>
      <w:r>
        <w:t>C.4  Equalization</w:t>
      </w:r>
      <w:proofErr w:type="gramEnd"/>
      <w:r>
        <w:t xml:space="preserve"> — Worked Example (Second Close, Month 9)</w:t>
      </w:r>
      <w:bookmarkEnd w:id="71"/>
    </w:p>
    <w:p w14:paraId="0FF4527F" w14:textId="77777777" w:rsidR="0046004D" w:rsidRDefault="00000000">
      <w:pPr>
        <w:spacing w:after="120"/>
      </w:pPr>
      <w:r>
        <w:t xml:space="preserve">Feeder B joins </w:t>
      </w:r>
      <w:proofErr w:type="gramStart"/>
      <w:r>
        <w:t>at</w:t>
      </w:r>
      <w:proofErr w:type="gramEnd"/>
      <w:r>
        <w:t xml:space="preserve"> Month 9 with $150M commitment. Fund has already </w:t>
      </w:r>
      <w:proofErr w:type="gramStart"/>
      <w:r>
        <w:t>called</w:t>
      </w:r>
      <w:proofErr w:type="gramEnd"/>
      <w:r>
        <w:t xml:space="preserve"> 20% ($100M, </w:t>
      </w:r>
      <w:proofErr w:type="gramStart"/>
      <w:r>
        <w:t>Call</w:t>
      </w:r>
      <w:proofErr w:type="gramEnd"/>
      <w:r>
        <w:t xml:space="preserve"> #1) and </w:t>
      </w:r>
      <w:proofErr w:type="gramStart"/>
      <w:r>
        <w:t>been</w:t>
      </w:r>
      <w:proofErr w:type="gramEnd"/>
      <w:r>
        <w:t xml:space="preserve"> invested for 6 months. LPA specifies 8% p.a. equalization rate.</w:t>
      </w:r>
    </w:p>
    <w:p w14:paraId="2B0D8C22" w14:textId="77777777" w:rsidR="0046004D" w:rsidRDefault="0046004D">
      <w:pPr>
        <w:spacing w:after="120"/>
      </w:pPr>
    </w:p>
    <w:p w14:paraId="41C5BE75" w14:textId="77777777" w:rsidR="0046004D" w:rsidRDefault="00000000">
      <w:pPr>
        <w:pStyle w:val="Heading3"/>
      </w:pPr>
      <w:bookmarkStart w:id="72" w:name="_Toc237337515"/>
      <w:r>
        <w:t>Step 1 — Calculate Pro-Rata Share of Prior Calls</w:t>
      </w:r>
      <w:bookmarkEnd w:id="72"/>
    </w:p>
    <w:p w14:paraId="5A285AA1" w14:textId="77777777" w:rsidR="0046004D" w:rsidRDefault="00000000">
      <w:pPr>
        <w:shd w:val="clear" w:color="auto" w:fill="F1F3F7"/>
        <w:ind w:left="360" w:right="360"/>
      </w:pPr>
      <w:r>
        <w:rPr>
          <w:rFonts w:ascii="Courier New" w:eastAsia="Courier New" w:hAnsi="Courier New" w:cs="Courier New"/>
          <w:color w:val="2D3748"/>
          <w:sz w:val="18"/>
          <w:szCs w:val="18"/>
        </w:rPr>
        <w:t>Feeder B commitment:      $150</w:t>
      </w:r>
      <w:proofErr w:type="gramStart"/>
      <w:r>
        <w:rPr>
          <w:rFonts w:ascii="Courier New" w:eastAsia="Courier New" w:hAnsi="Courier New" w:cs="Courier New"/>
          <w:color w:val="2D3748"/>
          <w:sz w:val="18"/>
          <w:szCs w:val="18"/>
        </w:rPr>
        <w:t>M  out</w:t>
      </w:r>
      <w:proofErr w:type="gramEnd"/>
      <w:r>
        <w:rPr>
          <w:rFonts w:ascii="Courier New" w:eastAsia="Courier New" w:hAnsi="Courier New" w:cs="Courier New"/>
          <w:color w:val="2D3748"/>
          <w:sz w:val="18"/>
          <w:szCs w:val="18"/>
        </w:rPr>
        <w:t xml:space="preserve"> of new total $500</w:t>
      </w:r>
      <w:proofErr w:type="gramStart"/>
      <w:r>
        <w:rPr>
          <w:rFonts w:ascii="Courier New" w:eastAsia="Courier New" w:hAnsi="Courier New" w:cs="Courier New"/>
          <w:color w:val="2D3748"/>
          <w:sz w:val="18"/>
          <w:szCs w:val="18"/>
        </w:rPr>
        <w:t>M  =</w:t>
      </w:r>
      <w:proofErr w:type="gramEnd"/>
      <w:r>
        <w:rPr>
          <w:rFonts w:ascii="Courier New" w:eastAsia="Courier New" w:hAnsi="Courier New" w:cs="Courier New"/>
          <w:color w:val="2D3748"/>
          <w:sz w:val="18"/>
          <w:szCs w:val="18"/>
        </w:rPr>
        <w:t xml:space="preserve">  30% ownership</w:t>
      </w:r>
    </w:p>
    <w:p w14:paraId="5929C14E" w14:textId="77777777" w:rsidR="0046004D" w:rsidRDefault="00000000">
      <w:pPr>
        <w:shd w:val="clear" w:color="auto" w:fill="F1F3F7"/>
        <w:ind w:left="360" w:right="360"/>
      </w:pPr>
      <w:r>
        <w:rPr>
          <w:rFonts w:ascii="Courier New" w:eastAsia="Courier New" w:hAnsi="Courier New" w:cs="Courier New"/>
          <w:color w:val="2D3748"/>
          <w:sz w:val="18"/>
          <w:szCs w:val="18"/>
        </w:rPr>
        <w:t>Prior Call #1 total:      $100M</w:t>
      </w:r>
    </w:p>
    <w:p w14:paraId="31E9BFFA" w14:textId="77777777" w:rsidR="0046004D" w:rsidRDefault="00000000">
      <w:pPr>
        <w:shd w:val="clear" w:color="auto" w:fill="F1F3F7"/>
        <w:ind w:left="360" w:right="360"/>
      </w:pPr>
      <w:r>
        <w:rPr>
          <w:rFonts w:ascii="Courier New" w:eastAsia="Courier New" w:hAnsi="Courier New" w:cs="Courier New"/>
          <w:color w:val="2D3748"/>
          <w:sz w:val="18"/>
          <w:szCs w:val="18"/>
        </w:rPr>
        <w:t>Feeder B catch-up:        $100M × 30</w:t>
      </w:r>
      <w:proofErr w:type="gramStart"/>
      <w:r>
        <w:rPr>
          <w:rFonts w:ascii="Courier New" w:eastAsia="Courier New" w:hAnsi="Courier New" w:cs="Courier New"/>
          <w:color w:val="2D3748"/>
          <w:sz w:val="18"/>
          <w:szCs w:val="18"/>
        </w:rPr>
        <w:t>%  =</w:t>
      </w:r>
      <w:proofErr w:type="gramEnd"/>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30,000,000  (</w:t>
      </w:r>
      <w:proofErr w:type="gramEnd"/>
      <w:r>
        <w:rPr>
          <w:rFonts w:ascii="Courier New" w:eastAsia="Courier New" w:hAnsi="Courier New" w:cs="Courier New"/>
          <w:color w:val="2D3748"/>
          <w:sz w:val="18"/>
          <w:szCs w:val="18"/>
        </w:rPr>
        <w:t>principal)</w:t>
      </w:r>
    </w:p>
    <w:p w14:paraId="6F76B036" w14:textId="77777777" w:rsidR="0046004D" w:rsidRDefault="0046004D">
      <w:pPr>
        <w:spacing w:after="160"/>
      </w:pPr>
    </w:p>
    <w:p w14:paraId="3752F204" w14:textId="77777777" w:rsidR="0046004D" w:rsidRDefault="00000000">
      <w:pPr>
        <w:pStyle w:val="Heading3"/>
      </w:pPr>
      <w:bookmarkStart w:id="73" w:name="_Toc237337516"/>
      <w:r>
        <w:t>Step 2 — Calculate Equalization Interest</w:t>
      </w:r>
      <w:bookmarkEnd w:id="73"/>
    </w:p>
    <w:p w14:paraId="041B5A99"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Months late:              </w:t>
      </w:r>
      <w:proofErr w:type="gramStart"/>
      <w:r>
        <w:rPr>
          <w:rFonts w:ascii="Courier New" w:eastAsia="Courier New" w:hAnsi="Courier New" w:cs="Courier New"/>
          <w:color w:val="2D3748"/>
          <w:sz w:val="18"/>
          <w:szCs w:val="18"/>
        </w:rPr>
        <w:t>6  (</w:t>
      </w:r>
      <w:proofErr w:type="gramEnd"/>
      <w:r>
        <w:rPr>
          <w:rFonts w:ascii="Courier New" w:eastAsia="Courier New" w:hAnsi="Courier New" w:cs="Courier New"/>
          <w:color w:val="2D3748"/>
          <w:sz w:val="18"/>
          <w:szCs w:val="18"/>
        </w:rPr>
        <w:t>Month 3 call → Month 9 second close)</w:t>
      </w:r>
    </w:p>
    <w:p w14:paraId="286F5C93" w14:textId="77777777" w:rsidR="0046004D" w:rsidRDefault="00000000">
      <w:pPr>
        <w:shd w:val="clear" w:color="auto" w:fill="F1F3F7"/>
        <w:ind w:left="360" w:right="360"/>
      </w:pPr>
      <w:r>
        <w:rPr>
          <w:rFonts w:ascii="Courier New" w:eastAsia="Courier New" w:hAnsi="Courier New" w:cs="Courier New"/>
          <w:color w:val="2D3748"/>
          <w:sz w:val="18"/>
          <w:szCs w:val="18"/>
        </w:rPr>
        <w:t>Interest:                 $30,000,000 × 8% × (6 / 12</w:t>
      </w:r>
      <w:proofErr w:type="gramStart"/>
      <w:r>
        <w:rPr>
          <w:rFonts w:ascii="Courier New" w:eastAsia="Courier New" w:hAnsi="Courier New" w:cs="Courier New"/>
          <w:color w:val="2D3748"/>
          <w:sz w:val="18"/>
          <w:szCs w:val="18"/>
        </w:rPr>
        <w:t>)  =</w:t>
      </w:r>
      <w:proofErr w:type="gramEnd"/>
      <w:r>
        <w:rPr>
          <w:rFonts w:ascii="Courier New" w:eastAsia="Courier New" w:hAnsi="Courier New" w:cs="Courier New"/>
          <w:color w:val="2D3748"/>
          <w:sz w:val="18"/>
          <w:szCs w:val="18"/>
        </w:rPr>
        <w:t xml:space="preserve">  $1,200,000</w:t>
      </w:r>
    </w:p>
    <w:p w14:paraId="533F47B2" w14:textId="77777777" w:rsidR="0046004D" w:rsidRDefault="0046004D">
      <w:pPr>
        <w:spacing w:after="160"/>
      </w:pPr>
    </w:p>
    <w:p w14:paraId="3DAE5EC4" w14:textId="77777777" w:rsidR="0046004D" w:rsidRDefault="00000000">
      <w:pPr>
        <w:pStyle w:val="Heading3"/>
      </w:pPr>
      <w:bookmarkStart w:id="74" w:name="_Toc237337517"/>
      <w:r>
        <w:t>Step 3 — Total Wire from Feeder B to Main Fund</w:t>
      </w:r>
      <w:bookmarkEnd w:id="74"/>
    </w:p>
    <w:p w14:paraId="65765CA4" w14:textId="77777777" w:rsidR="0046004D" w:rsidRDefault="00000000">
      <w:pPr>
        <w:shd w:val="clear" w:color="auto" w:fill="F1F3F7"/>
        <w:ind w:left="360" w:right="360"/>
      </w:pPr>
      <w:r>
        <w:rPr>
          <w:rFonts w:ascii="Courier New" w:eastAsia="Courier New" w:hAnsi="Courier New" w:cs="Courier New"/>
          <w:color w:val="2D3748"/>
          <w:sz w:val="18"/>
          <w:szCs w:val="18"/>
        </w:rPr>
        <w:t>Catch-up principal:       $30,000,000</w:t>
      </w:r>
    </w:p>
    <w:p w14:paraId="08CCFECF" w14:textId="77777777" w:rsidR="0046004D" w:rsidRDefault="00000000">
      <w:pPr>
        <w:shd w:val="clear" w:color="auto" w:fill="F1F3F7"/>
        <w:ind w:left="360" w:right="360"/>
      </w:pPr>
      <w:r>
        <w:rPr>
          <w:rFonts w:ascii="Courier New" w:eastAsia="Courier New" w:hAnsi="Courier New" w:cs="Courier New"/>
          <w:color w:val="2D3748"/>
          <w:sz w:val="18"/>
          <w:szCs w:val="18"/>
        </w:rPr>
        <w:t>Equalization interest:     $1,200,000</w:t>
      </w:r>
    </w:p>
    <w:p w14:paraId="3B580F03" w14:textId="77777777" w:rsidR="0046004D" w:rsidRDefault="00000000">
      <w:pPr>
        <w:shd w:val="clear" w:color="auto" w:fill="F1F3F7"/>
        <w:ind w:left="360" w:right="360"/>
      </w:pPr>
      <w:r>
        <w:rPr>
          <w:rFonts w:ascii="Courier New" w:eastAsia="Courier New" w:hAnsi="Courier New" w:cs="Courier New"/>
          <w:color w:val="2D3748"/>
          <w:sz w:val="18"/>
          <w:szCs w:val="18"/>
        </w:rPr>
        <w:t>──────────────────────────────────────</w:t>
      </w:r>
    </w:p>
    <w:p w14:paraId="3C44A854" w14:textId="77777777" w:rsidR="0046004D" w:rsidRDefault="00000000">
      <w:pPr>
        <w:shd w:val="clear" w:color="auto" w:fill="F1F3F7"/>
        <w:ind w:left="360" w:right="360"/>
      </w:pPr>
      <w:r>
        <w:rPr>
          <w:rFonts w:ascii="Courier New" w:eastAsia="Courier New" w:hAnsi="Courier New" w:cs="Courier New"/>
          <w:color w:val="2D3748"/>
          <w:sz w:val="18"/>
          <w:szCs w:val="18"/>
        </w:rPr>
        <w:t>Total Feeder B wire:      $31,200,000</w:t>
      </w:r>
    </w:p>
    <w:p w14:paraId="30FA67DF" w14:textId="77777777" w:rsidR="0046004D" w:rsidRDefault="0046004D">
      <w:pPr>
        <w:spacing w:after="160"/>
      </w:pPr>
    </w:p>
    <w:p w14:paraId="116FA92F" w14:textId="77777777" w:rsidR="0046004D" w:rsidRDefault="00000000">
      <w:pPr>
        <w:pStyle w:val="Heading3"/>
      </w:pPr>
      <w:bookmarkStart w:id="75" w:name="_Toc237337518"/>
      <w:r>
        <w:t>Step 4 — Main Fund Redistributes Interest to Feeder A</w:t>
      </w:r>
      <w:bookmarkEnd w:id="75"/>
    </w:p>
    <w:p w14:paraId="03BA3B62" w14:textId="77777777" w:rsidR="0046004D" w:rsidRDefault="00000000">
      <w:pPr>
        <w:shd w:val="clear" w:color="auto" w:fill="F1F3F7"/>
        <w:ind w:left="360" w:right="360"/>
      </w:pPr>
      <w:r>
        <w:rPr>
          <w:rFonts w:ascii="Courier New" w:eastAsia="Courier New" w:hAnsi="Courier New" w:cs="Courier New"/>
          <w:color w:val="2D3748"/>
          <w:sz w:val="18"/>
          <w:szCs w:val="18"/>
        </w:rPr>
        <w:t>Feeder A receives:         $</w:t>
      </w:r>
      <w:proofErr w:type="gramStart"/>
      <w:r>
        <w:rPr>
          <w:rFonts w:ascii="Courier New" w:eastAsia="Courier New" w:hAnsi="Courier New" w:cs="Courier New"/>
          <w:color w:val="2D3748"/>
          <w:sz w:val="18"/>
          <w:szCs w:val="18"/>
        </w:rPr>
        <w:t>1,200,000  (100% —</w:t>
      </w:r>
      <w:proofErr w:type="gramEnd"/>
      <w:r>
        <w:rPr>
          <w:rFonts w:ascii="Courier New" w:eastAsia="Courier New" w:hAnsi="Courier New" w:cs="Courier New"/>
          <w:color w:val="2D3748"/>
          <w:sz w:val="18"/>
          <w:szCs w:val="18"/>
        </w:rPr>
        <w:t xml:space="preserve"> only early closer at this date)</w:t>
      </w:r>
    </w:p>
    <w:p w14:paraId="1A84C0C5" w14:textId="77777777" w:rsidR="0046004D" w:rsidRDefault="00000000">
      <w:pPr>
        <w:shd w:val="clear" w:color="auto" w:fill="F1F3F7"/>
        <w:ind w:left="360" w:right="360"/>
      </w:pPr>
      <w:r>
        <w:rPr>
          <w:rFonts w:ascii="Courier New" w:eastAsia="Courier New" w:hAnsi="Courier New" w:cs="Courier New"/>
          <w:color w:val="2D3748"/>
          <w:sz w:val="18"/>
          <w:szCs w:val="18"/>
        </w:rPr>
        <w:t>Feeder A books:  Dr Cash $1.2</w:t>
      </w:r>
      <w:proofErr w:type="gramStart"/>
      <w:r>
        <w:rPr>
          <w:rFonts w:ascii="Courier New" w:eastAsia="Courier New" w:hAnsi="Courier New" w:cs="Courier New"/>
          <w:color w:val="2D3748"/>
          <w:sz w:val="18"/>
          <w:szCs w:val="18"/>
        </w:rPr>
        <w:t>M  /</w:t>
      </w:r>
      <w:proofErr w:type="gramEnd"/>
      <w:r>
        <w:rPr>
          <w:rFonts w:ascii="Courier New" w:eastAsia="Courier New" w:hAnsi="Courier New" w:cs="Courier New"/>
          <w:color w:val="2D3748"/>
          <w:sz w:val="18"/>
          <w:szCs w:val="18"/>
        </w:rPr>
        <w:t xml:space="preserve">  Cr Equalization Interest Income $1.2M</w:t>
      </w:r>
    </w:p>
    <w:p w14:paraId="71E418CF" w14:textId="77777777" w:rsidR="0046004D" w:rsidRDefault="0046004D">
      <w:pPr>
        <w:spacing w:after="160"/>
      </w:pPr>
    </w:p>
    <w:p w14:paraId="5698B5D5" w14:textId="77777777" w:rsidR="0046004D" w:rsidRDefault="00000000">
      <w:pPr>
        <w:pStyle w:val="Heading3"/>
      </w:pPr>
      <w:bookmarkStart w:id="76" w:name="_Toc237337519"/>
      <w:r>
        <w:t>Step 5 — Journal Entries</w:t>
      </w:r>
      <w:bookmarkEnd w:id="76"/>
    </w:p>
    <w:p w14:paraId="3B84974D" w14:textId="77777777" w:rsidR="0046004D" w:rsidRDefault="00000000">
      <w:pPr>
        <w:spacing w:after="120"/>
      </w:pPr>
      <w:r>
        <w:t>Feeder B — receives wire from its LPs and pays equalization:</w:t>
      </w:r>
    </w:p>
    <w:p w14:paraId="68AD4687" w14:textId="77777777" w:rsidR="0046004D" w:rsidRDefault="00000000">
      <w:pPr>
        <w:shd w:val="clear" w:color="auto" w:fill="F1F3F7"/>
        <w:ind w:left="360" w:right="360"/>
      </w:pPr>
      <w:proofErr w:type="gramStart"/>
      <w:r>
        <w:rPr>
          <w:rFonts w:ascii="Courier New" w:eastAsia="Courier New" w:hAnsi="Courier New" w:cs="Courier New"/>
          <w:color w:val="2D3748"/>
          <w:sz w:val="18"/>
          <w:szCs w:val="18"/>
        </w:rPr>
        <w:t>Dr  Cash</w:t>
      </w:r>
      <w:proofErr w:type="gramEnd"/>
      <w:r>
        <w:rPr>
          <w:rFonts w:ascii="Courier New" w:eastAsia="Courier New" w:hAnsi="Courier New" w:cs="Courier New"/>
          <w:color w:val="2D3748"/>
          <w:sz w:val="18"/>
          <w:szCs w:val="18"/>
        </w:rPr>
        <w:t xml:space="preserve">                             $31,200,000</w:t>
      </w:r>
    </w:p>
    <w:p w14:paraId="5A7795EA"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Partners</w:t>
      </w:r>
      <w:proofErr w:type="gramEnd"/>
      <w:r>
        <w:rPr>
          <w:rFonts w:ascii="Courier New" w:eastAsia="Courier New" w:hAnsi="Courier New" w:cs="Courier New"/>
          <w:color w:val="2D3748"/>
          <w:sz w:val="18"/>
          <w:szCs w:val="18"/>
        </w:rPr>
        <w:t xml:space="preserve">' Capital (LP </w:t>
      </w:r>
      <w:proofErr w:type="spellStart"/>
      <w:proofErr w:type="gramStart"/>
      <w:r>
        <w:rPr>
          <w:rFonts w:ascii="Courier New" w:eastAsia="Courier New" w:hAnsi="Courier New" w:cs="Courier New"/>
          <w:color w:val="2D3748"/>
          <w:sz w:val="18"/>
          <w:szCs w:val="18"/>
        </w:rPr>
        <w:t>contribs</w:t>
      </w:r>
      <w:proofErr w:type="spellEnd"/>
      <w:r>
        <w:rPr>
          <w:rFonts w:ascii="Courier New" w:eastAsia="Courier New" w:hAnsi="Courier New" w:cs="Courier New"/>
          <w:color w:val="2D3748"/>
          <w:sz w:val="18"/>
          <w:szCs w:val="18"/>
        </w:rPr>
        <w:t xml:space="preserve">)   </w:t>
      </w:r>
      <w:proofErr w:type="gramEnd"/>
      <w:r>
        <w:rPr>
          <w:rFonts w:ascii="Courier New" w:eastAsia="Courier New" w:hAnsi="Courier New" w:cs="Courier New"/>
          <w:color w:val="2D3748"/>
          <w:sz w:val="18"/>
          <w:szCs w:val="18"/>
        </w:rPr>
        <w:t xml:space="preserve">        $30,000,000</w:t>
      </w:r>
    </w:p>
    <w:p w14:paraId="38BF08ED"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Equalization</w:t>
      </w:r>
      <w:proofErr w:type="gramEnd"/>
      <w:r>
        <w:rPr>
          <w:rFonts w:ascii="Courier New" w:eastAsia="Courier New" w:hAnsi="Courier New" w:cs="Courier New"/>
          <w:color w:val="2D3748"/>
          <w:sz w:val="18"/>
          <w:szCs w:val="18"/>
        </w:rPr>
        <w:t xml:space="preserve"> Interest Payable               $1,200,000</w:t>
      </w:r>
    </w:p>
    <w:p w14:paraId="13C63A8D"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
    <w:p w14:paraId="36C0ED85" w14:textId="77777777" w:rsidR="0046004D" w:rsidRDefault="00000000">
      <w:pPr>
        <w:shd w:val="clear" w:color="auto" w:fill="F1F3F7"/>
        <w:ind w:left="360" w:right="360"/>
      </w:pPr>
      <w:proofErr w:type="gramStart"/>
      <w:r>
        <w:rPr>
          <w:rFonts w:ascii="Courier New" w:eastAsia="Courier New" w:hAnsi="Courier New" w:cs="Courier New"/>
          <w:color w:val="2D3748"/>
          <w:sz w:val="18"/>
          <w:szCs w:val="18"/>
        </w:rPr>
        <w:t>Dr  Investment</w:t>
      </w:r>
      <w:proofErr w:type="gramEnd"/>
      <w:r>
        <w:rPr>
          <w:rFonts w:ascii="Courier New" w:eastAsia="Courier New" w:hAnsi="Courier New" w:cs="Courier New"/>
          <w:color w:val="2D3748"/>
          <w:sz w:val="18"/>
          <w:szCs w:val="18"/>
        </w:rPr>
        <w:t xml:space="preserve"> in Main Fund          $30,000,000</w:t>
      </w:r>
    </w:p>
    <w:p w14:paraId="2264C6EF" w14:textId="77777777" w:rsidR="0046004D" w:rsidRDefault="00000000">
      <w:pPr>
        <w:shd w:val="clear" w:color="auto" w:fill="F1F3F7"/>
        <w:ind w:left="360" w:right="360"/>
      </w:pPr>
      <w:proofErr w:type="gramStart"/>
      <w:r>
        <w:rPr>
          <w:rFonts w:ascii="Courier New" w:eastAsia="Courier New" w:hAnsi="Courier New" w:cs="Courier New"/>
          <w:color w:val="2D3748"/>
          <w:sz w:val="18"/>
          <w:szCs w:val="18"/>
        </w:rPr>
        <w:t>Dr  Equalization</w:t>
      </w:r>
      <w:proofErr w:type="gramEnd"/>
      <w:r>
        <w:rPr>
          <w:rFonts w:ascii="Courier New" w:eastAsia="Courier New" w:hAnsi="Courier New" w:cs="Courier New"/>
          <w:color w:val="2D3748"/>
          <w:sz w:val="18"/>
          <w:szCs w:val="18"/>
        </w:rPr>
        <w:t xml:space="preserve"> Interest Expense     $1,200,000</w:t>
      </w:r>
    </w:p>
    <w:p w14:paraId="0F307A78"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Cash</w:t>
      </w:r>
      <w:proofErr w:type="gramEnd"/>
      <w:r>
        <w:rPr>
          <w:rFonts w:ascii="Courier New" w:eastAsia="Courier New" w:hAnsi="Courier New" w:cs="Courier New"/>
          <w:color w:val="2D3748"/>
          <w:sz w:val="18"/>
          <w:szCs w:val="18"/>
        </w:rPr>
        <w:t xml:space="preserve">                                       $31,200,000</w:t>
      </w:r>
    </w:p>
    <w:p w14:paraId="51D7178C" w14:textId="77777777" w:rsidR="0046004D" w:rsidRDefault="0046004D">
      <w:pPr>
        <w:spacing w:after="160"/>
      </w:pPr>
    </w:p>
    <w:p w14:paraId="43AF3A6A" w14:textId="77777777" w:rsidR="0046004D" w:rsidRDefault="00000000">
      <w:pPr>
        <w:spacing w:after="120"/>
      </w:pPr>
      <w:r>
        <w:t>Main Fund — receives wire, records Feeder B capital, accrues interest to Feeder A:</w:t>
      </w:r>
    </w:p>
    <w:p w14:paraId="3460C535" w14:textId="77777777" w:rsidR="0046004D" w:rsidRDefault="00000000">
      <w:pPr>
        <w:shd w:val="clear" w:color="auto" w:fill="F1F3F7"/>
        <w:ind w:left="360" w:right="360"/>
      </w:pPr>
      <w:proofErr w:type="gramStart"/>
      <w:r>
        <w:rPr>
          <w:rFonts w:ascii="Courier New" w:eastAsia="Courier New" w:hAnsi="Courier New" w:cs="Courier New"/>
          <w:color w:val="2D3748"/>
          <w:sz w:val="18"/>
          <w:szCs w:val="18"/>
        </w:rPr>
        <w:t>Dr  Cash</w:t>
      </w:r>
      <w:proofErr w:type="gramEnd"/>
      <w:r>
        <w:rPr>
          <w:rFonts w:ascii="Courier New" w:eastAsia="Courier New" w:hAnsi="Courier New" w:cs="Courier New"/>
          <w:color w:val="2D3748"/>
          <w:sz w:val="18"/>
          <w:szCs w:val="18"/>
        </w:rPr>
        <w:t xml:space="preserve">                             $31,200,000</w:t>
      </w:r>
    </w:p>
    <w:p w14:paraId="7F7A4DC7"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Partners</w:t>
      </w:r>
      <w:proofErr w:type="gramEnd"/>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Capital — Feeder</w:t>
      </w:r>
      <w:proofErr w:type="gramEnd"/>
      <w:r>
        <w:rPr>
          <w:rFonts w:ascii="Courier New" w:eastAsia="Courier New" w:hAnsi="Courier New" w:cs="Courier New"/>
          <w:color w:val="2D3748"/>
          <w:sz w:val="18"/>
          <w:szCs w:val="18"/>
        </w:rPr>
        <w:t xml:space="preserve"> B              $30,000,000</w:t>
      </w:r>
    </w:p>
    <w:p w14:paraId="1206CF18"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Equalization</w:t>
      </w:r>
      <w:proofErr w:type="gramEnd"/>
      <w:r>
        <w:rPr>
          <w:rFonts w:ascii="Courier New" w:eastAsia="Courier New" w:hAnsi="Courier New" w:cs="Courier New"/>
          <w:color w:val="2D3748"/>
          <w:sz w:val="18"/>
          <w:szCs w:val="18"/>
        </w:rPr>
        <w:t xml:space="preserve"> Interest Payable — Feeder A    $1,200,000</w:t>
      </w:r>
    </w:p>
    <w:p w14:paraId="2A4392AD"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
    <w:p w14:paraId="7D5ED135" w14:textId="77777777" w:rsidR="0046004D" w:rsidRDefault="00000000">
      <w:pPr>
        <w:shd w:val="clear" w:color="auto" w:fill="F1F3F7"/>
        <w:ind w:left="360" w:right="360"/>
      </w:pPr>
      <w:proofErr w:type="gramStart"/>
      <w:r>
        <w:rPr>
          <w:rFonts w:ascii="Courier New" w:eastAsia="Courier New" w:hAnsi="Courier New" w:cs="Courier New"/>
          <w:color w:val="2D3748"/>
          <w:sz w:val="18"/>
          <w:szCs w:val="18"/>
        </w:rPr>
        <w:t>Dr  Equalization</w:t>
      </w:r>
      <w:proofErr w:type="gramEnd"/>
      <w:r>
        <w:rPr>
          <w:rFonts w:ascii="Courier New" w:eastAsia="Courier New" w:hAnsi="Courier New" w:cs="Courier New"/>
          <w:color w:val="2D3748"/>
          <w:sz w:val="18"/>
          <w:szCs w:val="18"/>
        </w:rPr>
        <w:t xml:space="preserve"> Interest Payable — Feeder </w:t>
      </w:r>
      <w:proofErr w:type="gramStart"/>
      <w:r>
        <w:rPr>
          <w:rFonts w:ascii="Courier New" w:eastAsia="Courier New" w:hAnsi="Courier New" w:cs="Courier New"/>
          <w:color w:val="2D3748"/>
          <w:sz w:val="18"/>
          <w:szCs w:val="18"/>
        </w:rPr>
        <w:t>A  $</w:t>
      </w:r>
      <w:proofErr w:type="gramEnd"/>
      <w:r>
        <w:rPr>
          <w:rFonts w:ascii="Courier New" w:eastAsia="Courier New" w:hAnsi="Courier New" w:cs="Courier New"/>
          <w:color w:val="2D3748"/>
          <w:sz w:val="18"/>
          <w:szCs w:val="18"/>
        </w:rPr>
        <w:t>1,200,000</w:t>
      </w:r>
    </w:p>
    <w:p w14:paraId="398CE0B4"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Cash</w:t>
      </w:r>
      <w:proofErr w:type="gramEnd"/>
      <w:r>
        <w:rPr>
          <w:rFonts w:ascii="Courier New" w:eastAsia="Courier New" w:hAnsi="Courier New" w:cs="Courier New"/>
          <w:color w:val="2D3748"/>
          <w:sz w:val="18"/>
          <w:szCs w:val="18"/>
        </w:rPr>
        <w:t xml:space="preserve">                                        $1,200,000</w:t>
      </w:r>
    </w:p>
    <w:p w14:paraId="6C953C5E" w14:textId="77777777" w:rsidR="0046004D" w:rsidRDefault="0046004D">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004D" w14:paraId="2B5FCBDC" w14:textId="77777777">
        <w:tblPrEx>
          <w:tblCellMar>
            <w:top w:w="0" w:type="dxa"/>
            <w:bottom w:w="0" w:type="dxa"/>
          </w:tblCellMar>
        </w:tblPrEx>
        <w:tc>
          <w:tcPr>
            <w:tcW w:w="9360" w:type="dxa"/>
            <w:tcBorders>
              <w:top w:val="single" w:sz="12" w:space="0" w:color="38A169"/>
              <w:left w:val="single" w:sz="12" w:space="0" w:color="38A169"/>
            </w:tcBorders>
            <w:shd w:val="clear" w:color="auto" w:fill="F0FFF4"/>
            <w:tcMar>
              <w:top w:w="80" w:type="dxa"/>
              <w:left w:w="120" w:type="dxa"/>
              <w:bottom w:w="0" w:type="dxa"/>
              <w:right w:w="120" w:type="dxa"/>
            </w:tcMar>
          </w:tcPr>
          <w:p w14:paraId="3439E054" w14:textId="77777777" w:rsidR="0046004D" w:rsidRDefault="00000000">
            <w:r>
              <w:rPr>
                <w:b/>
                <w:bCs/>
                <w:color w:val="38A169"/>
                <w:sz w:val="20"/>
                <w:szCs w:val="20"/>
              </w:rPr>
              <w:t>After Equalization</w:t>
            </w:r>
          </w:p>
        </w:tc>
      </w:tr>
      <w:tr w:rsidR="0046004D" w14:paraId="034681E3" w14:textId="77777777">
        <w:tblPrEx>
          <w:tblCellMar>
            <w:top w:w="0" w:type="dxa"/>
            <w:bottom w:w="0" w:type="dxa"/>
          </w:tblCellMar>
        </w:tblPrEx>
        <w:tc>
          <w:tcPr>
            <w:tcW w:w="9360" w:type="dxa"/>
            <w:tcBorders>
              <w:left w:val="single" w:sz="12" w:space="0" w:color="38A169"/>
            </w:tcBorders>
            <w:shd w:val="clear" w:color="auto" w:fill="F0FFF4"/>
            <w:tcMar>
              <w:top w:w="0" w:type="dxa"/>
              <w:left w:w="120" w:type="dxa"/>
              <w:bottom w:w="0" w:type="dxa"/>
              <w:right w:w="120" w:type="dxa"/>
            </w:tcMar>
          </w:tcPr>
          <w:p w14:paraId="151C8C7E" w14:textId="77777777" w:rsidR="0046004D" w:rsidRDefault="00000000">
            <w:pPr>
              <w:spacing w:after="60"/>
            </w:pPr>
            <w:r>
              <w:rPr>
                <w:color w:val="2D3748"/>
                <w:sz w:val="20"/>
                <w:szCs w:val="20"/>
              </w:rPr>
              <w:t>All three Feeders are now treated as if they had been in the fund since Day 1 of Call #1.</w:t>
            </w:r>
          </w:p>
        </w:tc>
      </w:tr>
      <w:tr w:rsidR="0046004D" w14:paraId="498F8BDA" w14:textId="77777777">
        <w:tblPrEx>
          <w:tblCellMar>
            <w:top w:w="0" w:type="dxa"/>
            <w:bottom w:w="0" w:type="dxa"/>
          </w:tblCellMar>
        </w:tblPrEx>
        <w:tc>
          <w:tcPr>
            <w:tcW w:w="9360" w:type="dxa"/>
            <w:tcBorders>
              <w:left w:val="single" w:sz="12" w:space="0" w:color="38A169"/>
            </w:tcBorders>
            <w:shd w:val="clear" w:color="auto" w:fill="F0FFF4"/>
            <w:tcMar>
              <w:top w:w="0" w:type="dxa"/>
              <w:left w:w="120" w:type="dxa"/>
              <w:bottom w:w="0" w:type="dxa"/>
              <w:right w:w="120" w:type="dxa"/>
            </w:tcMar>
          </w:tcPr>
          <w:p w14:paraId="42F19936" w14:textId="77777777" w:rsidR="0046004D" w:rsidRDefault="00000000">
            <w:pPr>
              <w:spacing w:after="60"/>
            </w:pPr>
            <w:r>
              <w:rPr>
                <w:color w:val="2D3748"/>
                <w:sz w:val="20"/>
                <w:szCs w:val="20"/>
              </w:rPr>
              <w:t>Feeder A is compensated for having had capital at risk for 6 months before Feeder B arrived.</w:t>
            </w:r>
          </w:p>
        </w:tc>
      </w:tr>
      <w:tr w:rsidR="0046004D" w14:paraId="2F54C02A" w14:textId="77777777">
        <w:tblPrEx>
          <w:tblCellMar>
            <w:top w:w="0" w:type="dxa"/>
            <w:bottom w:w="0" w:type="dxa"/>
          </w:tblCellMar>
        </w:tblPrEx>
        <w:tc>
          <w:tcPr>
            <w:tcW w:w="9360" w:type="dxa"/>
            <w:tcBorders>
              <w:left w:val="single" w:sz="12" w:space="0" w:color="38A169"/>
            </w:tcBorders>
            <w:shd w:val="clear" w:color="auto" w:fill="F0FFF4"/>
            <w:tcMar>
              <w:top w:w="0" w:type="dxa"/>
              <w:left w:w="120" w:type="dxa"/>
              <w:bottom w:w="0" w:type="dxa"/>
              <w:right w:w="120" w:type="dxa"/>
            </w:tcMar>
          </w:tcPr>
          <w:p w14:paraId="22F515DF" w14:textId="77777777" w:rsidR="0046004D" w:rsidRDefault="00000000">
            <w:pPr>
              <w:spacing w:after="60"/>
            </w:pPr>
            <w:r>
              <w:rPr>
                <w:color w:val="2D3748"/>
                <w:sz w:val="20"/>
                <w:szCs w:val="20"/>
              </w:rPr>
              <w:t>Ownership % is based on committed capital — the equalization makes the economics equivalent,</w:t>
            </w:r>
          </w:p>
        </w:tc>
      </w:tr>
      <w:tr w:rsidR="0046004D" w14:paraId="407AE809" w14:textId="77777777">
        <w:tblPrEx>
          <w:tblCellMar>
            <w:top w:w="0" w:type="dxa"/>
            <w:bottom w:w="0" w:type="dxa"/>
          </w:tblCellMar>
        </w:tblPrEx>
        <w:tc>
          <w:tcPr>
            <w:tcW w:w="9360" w:type="dxa"/>
            <w:tcBorders>
              <w:left w:val="single" w:sz="12" w:space="0" w:color="38A169"/>
              <w:bottom w:val="single" w:sz="4" w:space="0" w:color="38A169"/>
            </w:tcBorders>
            <w:shd w:val="clear" w:color="auto" w:fill="F0FFF4"/>
            <w:tcMar>
              <w:top w:w="0" w:type="dxa"/>
              <w:left w:w="120" w:type="dxa"/>
              <w:bottom w:w="80" w:type="dxa"/>
              <w:right w:w="120" w:type="dxa"/>
            </w:tcMar>
          </w:tcPr>
          <w:p w14:paraId="615CCEEB" w14:textId="77777777" w:rsidR="0046004D" w:rsidRDefault="00000000">
            <w:r>
              <w:rPr>
                <w:color w:val="2D3748"/>
                <w:sz w:val="20"/>
                <w:szCs w:val="20"/>
              </w:rPr>
              <w:t>not the ownership percentage.</w:t>
            </w:r>
          </w:p>
        </w:tc>
      </w:tr>
    </w:tbl>
    <w:p w14:paraId="462472DE" w14:textId="77777777" w:rsidR="0046004D" w:rsidRDefault="0046004D">
      <w:pPr>
        <w:spacing w:after="160"/>
      </w:pPr>
    </w:p>
    <w:p w14:paraId="7F578111" w14:textId="77777777" w:rsidR="0046004D" w:rsidRDefault="00000000">
      <w:pPr>
        <w:pStyle w:val="Heading2"/>
      </w:pPr>
      <w:bookmarkStart w:id="77" w:name="_Toc237337520"/>
      <w:proofErr w:type="gramStart"/>
      <w:r>
        <w:t>C.5  Ownership</w:t>
      </w:r>
      <w:proofErr w:type="gramEnd"/>
      <w:r>
        <w:t xml:space="preserve"> % Shift Across Closes</w:t>
      </w:r>
      <w:bookmarkEnd w:id="7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800"/>
        <w:gridCol w:w="1800"/>
        <w:gridCol w:w="1760"/>
      </w:tblGrid>
      <w:tr w:rsidR="0046004D" w14:paraId="2CD07488"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5AFF61E2" w14:textId="77777777" w:rsidR="0046004D" w:rsidRDefault="00000000">
            <w:r>
              <w:rPr>
                <w:b/>
                <w:bCs/>
                <w:color w:val="FFFFFF"/>
                <w:sz w:val="20"/>
                <w:szCs w:val="20"/>
              </w:rPr>
              <w:t>Feeder</w:t>
            </w:r>
          </w:p>
        </w:tc>
        <w:tc>
          <w:tcPr>
            <w:tcW w:w="18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125B0CEC" w14:textId="77777777" w:rsidR="0046004D" w:rsidRDefault="00000000">
            <w:r>
              <w:rPr>
                <w:b/>
                <w:bCs/>
                <w:color w:val="FFFFFF"/>
                <w:sz w:val="20"/>
                <w:szCs w:val="20"/>
              </w:rPr>
              <w:t>After First Close</w:t>
            </w:r>
          </w:p>
        </w:tc>
        <w:tc>
          <w:tcPr>
            <w:tcW w:w="18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4A0B69D7" w14:textId="77777777" w:rsidR="0046004D" w:rsidRDefault="00000000">
            <w:r>
              <w:rPr>
                <w:b/>
                <w:bCs/>
                <w:color w:val="FFFFFF"/>
                <w:sz w:val="20"/>
                <w:szCs w:val="20"/>
              </w:rPr>
              <w:t>After Second Close</w:t>
            </w:r>
          </w:p>
        </w:tc>
        <w:tc>
          <w:tcPr>
            <w:tcW w:w="18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32E8281C" w14:textId="77777777" w:rsidR="0046004D" w:rsidRDefault="00000000">
            <w:r>
              <w:rPr>
                <w:b/>
                <w:bCs/>
                <w:color w:val="FFFFFF"/>
                <w:sz w:val="20"/>
                <w:szCs w:val="20"/>
              </w:rPr>
              <w:t>After Final Close</w:t>
            </w:r>
          </w:p>
        </w:tc>
        <w:tc>
          <w:tcPr>
            <w:tcW w:w="17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0F578D32" w14:textId="77777777" w:rsidR="0046004D" w:rsidRDefault="00000000">
            <w:r>
              <w:rPr>
                <w:b/>
                <w:bCs/>
                <w:color w:val="FFFFFF"/>
                <w:sz w:val="20"/>
                <w:szCs w:val="20"/>
              </w:rPr>
              <w:t>Equalization?</w:t>
            </w:r>
          </w:p>
        </w:tc>
      </w:tr>
      <w:tr w:rsidR="0046004D" w14:paraId="70B9C6A6" w14:textId="77777777">
        <w:tblPrEx>
          <w:tblCellMar>
            <w:top w:w="0" w:type="dxa"/>
            <w:bottom w:w="0" w:type="dxa"/>
          </w:tblCellMar>
        </w:tblPrEx>
        <w:tc>
          <w:tcPr>
            <w:tcW w:w="22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413562E" w14:textId="77777777" w:rsidR="0046004D" w:rsidRDefault="00000000">
            <w:r>
              <w:rPr>
                <w:sz w:val="20"/>
                <w:szCs w:val="20"/>
              </w:rPr>
              <w:t>Feeder A (Domestic)</w:t>
            </w:r>
          </w:p>
        </w:tc>
        <w:tc>
          <w:tcPr>
            <w:tcW w:w="1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04DDF536" w14:textId="77777777" w:rsidR="0046004D" w:rsidRDefault="00000000">
            <w:r>
              <w:rPr>
                <w:sz w:val="20"/>
                <w:szCs w:val="20"/>
              </w:rPr>
              <w:t>100%</w:t>
            </w:r>
          </w:p>
        </w:tc>
        <w:tc>
          <w:tcPr>
            <w:tcW w:w="1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214CB91" w14:textId="77777777" w:rsidR="0046004D" w:rsidRDefault="00000000">
            <w:r>
              <w:rPr>
                <w:sz w:val="20"/>
                <w:szCs w:val="20"/>
              </w:rPr>
              <w:t>57.1%</w:t>
            </w:r>
          </w:p>
        </w:tc>
        <w:tc>
          <w:tcPr>
            <w:tcW w:w="1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02D2674D" w14:textId="77777777" w:rsidR="0046004D" w:rsidRDefault="00000000">
            <w:r>
              <w:rPr>
                <w:sz w:val="20"/>
                <w:szCs w:val="20"/>
              </w:rPr>
              <w:t>40%</w:t>
            </w:r>
          </w:p>
        </w:tc>
        <w:tc>
          <w:tcPr>
            <w:tcW w:w="17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CD19E7B" w14:textId="77777777" w:rsidR="0046004D" w:rsidRDefault="00000000">
            <w:r>
              <w:rPr>
                <w:sz w:val="20"/>
                <w:szCs w:val="20"/>
              </w:rPr>
              <w:t>None — first closer</w:t>
            </w:r>
          </w:p>
        </w:tc>
      </w:tr>
      <w:tr w:rsidR="0046004D" w14:paraId="05498C80" w14:textId="77777777">
        <w:tblPrEx>
          <w:tblCellMar>
            <w:top w:w="0" w:type="dxa"/>
            <w:bottom w:w="0" w:type="dxa"/>
          </w:tblCellMar>
        </w:tblPrEx>
        <w:tc>
          <w:tcPr>
            <w:tcW w:w="2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2206C9B7" w14:textId="77777777" w:rsidR="0046004D" w:rsidRDefault="00000000">
            <w:r>
              <w:rPr>
                <w:sz w:val="20"/>
                <w:szCs w:val="20"/>
              </w:rPr>
              <w:t>Feeder B (Tax-Exempt)</w:t>
            </w:r>
          </w:p>
        </w:tc>
        <w:tc>
          <w:tcPr>
            <w:tcW w:w="18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9752B3F" w14:textId="77777777" w:rsidR="0046004D" w:rsidRDefault="00000000">
            <w:r>
              <w:rPr>
                <w:sz w:val="20"/>
                <w:szCs w:val="20"/>
              </w:rPr>
              <w:t>—</w:t>
            </w:r>
          </w:p>
        </w:tc>
        <w:tc>
          <w:tcPr>
            <w:tcW w:w="18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F0911D1" w14:textId="77777777" w:rsidR="0046004D" w:rsidRDefault="00000000">
            <w:r>
              <w:rPr>
                <w:sz w:val="20"/>
                <w:szCs w:val="20"/>
              </w:rPr>
              <w:t>30%</w:t>
            </w:r>
          </w:p>
        </w:tc>
        <w:tc>
          <w:tcPr>
            <w:tcW w:w="18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39FD3134" w14:textId="77777777" w:rsidR="0046004D" w:rsidRDefault="00000000">
            <w:r>
              <w:rPr>
                <w:sz w:val="20"/>
                <w:szCs w:val="20"/>
              </w:rPr>
              <w:t>30%</w:t>
            </w:r>
          </w:p>
        </w:tc>
        <w:tc>
          <w:tcPr>
            <w:tcW w:w="17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1556D29" w14:textId="77777777" w:rsidR="0046004D" w:rsidRDefault="00000000">
            <w:r>
              <w:rPr>
                <w:sz w:val="20"/>
                <w:szCs w:val="20"/>
              </w:rPr>
              <w:t>Yes — 6 months late on Call #1</w:t>
            </w:r>
          </w:p>
        </w:tc>
      </w:tr>
      <w:tr w:rsidR="0046004D" w14:paraId="051B52A5" w14:textId="77777777">
        <w:tblPrEx>
          <w:tblCellMar>
            <w:top w:w="0" w:type="dxa"/>
            <w:bottom w:w="0" w:type="dxa"/>
          </w:tblCellMar>
        </w:tblPrEx>
        <w:tc>
          <w:tcPr>
            <w:tcW w:w="22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19FAC5D" w14:textId="77777777" w:rsidR="0046004D" w:rsidRDefault="00000000">
            <w:r>
              <w:rPr>
                <w:sz w:val="20"/>
                <w:szCs w:val="20"/>
              </w:rPr>
              <w:t>Feeder C (Offshore)</w:t>
            </w:r>
          </w:p>
        </w:tc>
        <w:tc>
          <w:tcPr>
            <w:tcW w:w="1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5A46FE3" w14:textId="77777777" w:rsidR="0046004D" w:rsidRDefault="00000000">
            <w:r>
              <w:rPr>
                <w:sz w:val="20"/>
                <w:szCs w:val="20"/>
              </w:rPr>
              <w:t>—</w:t>
            </w:r>
          </w:p>
        </w:tc>
        <w:tc>
          <w:tcPr>
            <w:tcW w:w="1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06513EE" w14:textId="77777777" w:rsidR="0046004D" w:rsidRDefault="00000000">
            <w:r>
              <w:rPr>
                <w:sz w:val="20"/>
                <w:szCs w:val="20"/>
              </w:rPr>
              <w:t>—</w:t>
            </w:r>
          </w:p>
        </w:tc>
        <w:tc>
          <w:tcPr>
            <w:tcW w:w="1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0BA81B5" w14:textId="77777777" w:rsidR="0046004D" w:rsidRDefault="00000000">
            <w:r>
              <w:rPr>
                <w:sz w:val="20"/>
                <w:szCs w:val="20"/>
              </w:rPr>
              <w:t>30%</w:t>
            </w:r>
          </w:p>
        </w:tc>
        <w:tc>
          <w:tcPr>
            <w:tcW w:w="17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E0EB3FA" w14:textId="77777777" w:rsidR="0046004D" w:rsidRDefault="00000000">
            <w:r>
              <w:rPr>
                <w:sz w:val="20"/>
                <w:szCs w:val="20"/>
              </w:rPr>
              <w:t>Yes — 18 months late on Calls #1 and #2</w:t>
            </w:r>
          </w:p>
        </w:tc>
      </w:tr>
    </w:tbl>
    <w:p w14:paraId="043E28BC" w14:textId="77777777" w:rsidR="0046004D" w:rsidRDefault="0046004D">
      <w:pPr>
        <w:spacing w:after="200"/>
      </w:pPr>
    </w:p>
    <w:p w14:paraId="5FAD6EE4" w14:textId="77777777" w:rsidR="0046004D" w:rsidRDefault="00000000">
      <w:pPr>
        <w:spacing w:after="120"/>
      </w:pPr>
      <w:r>
        <w:t xml:space="preserve">The model implication from Section 8.1: </w:t>
      </w:r>
      <w:proofErr w:type="spellStart"/>
      <w:proofErr w:type="gramStart"/>
      <w:r>
        <w:t>pe:FundClose</w:t>
      </w:r>
      <w:proofErr w:type="spellEnd"/>
      <w:proofErr w:type="gramEnd"/>
      <w:r>
        <w:t xml:space="preserve"> must be reified with sequence, date, type, and amount raised. </w:t>
      </w:r>
      <w:proofErr w:type="spellStart"/>
      <w:proofErr w:type="gramStart"/>
      <w:r>
        <w:t>pe:admittedAt</w:t>
      </w:r>
      <w:proofErr w:type="spellEnd"/>
      <w:proofErr w:type="gramEnd"/>
      <w:r>
        <w:t xml:space="preserve"> on the Commitment records which close admitted each LP. Without the full close series, equalization is not computable.</w:t>
      </w:r>
    </w:p>
    <w:p w14:paraId="1B83FC51" w14:textId="77777777" w:rsidR="0046004D" w:rsidRDefault="00000000">
      <w:r>
        <w:br w:type="page"/>
      </w:r>
    </w:p>
    <w:p w14:paraId="317380F3" w14:textId="77777777" w:rsidR="0046004D" w:rsidRDefault="00000000">
      <w:pPr>
        <w:pStyle w:val="Heading1"/>
        <w:pBdr>
          <w:bottom w:val="single" w:sz="8" w:space="0" w:color="C8952A"/>
        </w:pBdr>
      </w:pPr>
      <w:bookmarkStart w:id="78" w:name="_Toc237337521"/>
      <w:r>
        <w:lastRenderedPageBreak/>
        <w:t xml:space="preserve">Appendix </w:t>
      </w:r>
      <w:proofErr w:type="gramStart"/>
      <w:r>
        <w:t>D  SMA</w:t>
      </w:r>
      <w:proofErr w:type="gramEnd"/>
      <w:r>
        <w:t xml:space="preserve"> vs. Co-Investment: Operational and Model Comparison</w:t>
      </w:r>
      <w:bookmarkEnd w:id="78"/>
    </w:p>
    <w:p w14:paraId="3726B5BB" w14:textId="77777777" w:rsidR="0046004D" w:rsidRDefault="00000000">
      <w:pPr>
        <w:spacing w:after="120"/>
      </w:pPr>
      <w:r>
        <w:t xml:space="preserve">Section 9.1 establishes that co-investment and separately managed </w:t>
      </w:r>
      <w:proofErr w:type="gramStart"/>
      <w:r>
        <w:t>account</w:t>
      </w:r>
      <w:proofErr w:type="gramEnd"/>
      <w:r>
        <w:t xml:space="preserve"> are model opposites. This appendix expands that into operational detail, covering how each structure works in practice and the specific data model constraints each one triggers.</w:t>
      </w:r>
    </w:p>
    <w:p w14:paraId="63169D66" w14:textId="77777777" w:rsidR="0046004D" w:rsidRDefault="00000000">
      <w:pPr>
        <w:pStyle w:val="Heading2"/>
      </w:pPr>
      <w:bookmarkStart w:id="79" w:name="_Toc237337522"/>
      <w:proofErr w:type="gramStart"/>
      <w:r>
        <w:t>D.1  What</w:t>
      </w:r>
      <w:proofErr w:type="gramEnd"/>
      <w:r>
        <w:t xml:space="preserve"> Each Structure Is</w:t>
      </w:r>
      <w:bookmarkEnd w:id="79"/>
    </w:p>
    <w:p w14:paraId="75A1436B" w14:textId="77777777" w:rsidR="0046004D" w:rsidRDefault="00000000">
      <w:pPr>
        <w:pStyle w:val="Heading3"/>
      </w:pPr>
      <w:bookmarkStart w:id="80" w:name="_Toc237337523"/>
      <w:r>
        <w:t>Separately Managed Account (SMA)</w:t>
      </w:r>
      <w:bookmarkEnd w:id="80"/>
    </w:p>
    <w:p w14:paraId="46A45941" w14:textId="77777777" w:rsidR="0046004D" w:rsidRDefault="00000000">
      <w:pPr>
        <w:spacing w:after="120"/>
      </w:pPr>
      <w:r>
        <w:t>An SMA is a dedicated, customized fund vehicle set up for a single large investor — typically a pension fund, sovereign wealth fund, or large endowment. The GP manages capital exclusively for that one LP under a bespoke mandate.</w:t>
      </w:r>
    </w:p>
    <w:p w14:paraId="2A00F658" w14:textId="77777777" w:rsidR="0046004D" w:rsidRDefault="00000000">
      <w:pPr>
        <w:pStyle w:val="ListParagraph"/>
        <w:numPr>
          <w:ilvl w:val="0"/>
          <w:numId w:val="1"/>
        </w:numPr>
        <w:spacing w:after="80"/>
      </w:pPr>
      <w:r>
        <w:t>The LP has its own legal entity — capital is never commingled with other LPs</w:t>
      </w:r>
    </w:p>
    <w:p w14:paraId="01F75EBF" w14:textId="77777777" w:rsidR="0046004D" w:rsidRDefault="00000000">
      <w:pPr>
        <w:pStyle w:val="ListParagraph"/>
        <w:numPr>
          <w:ilvl w:val="0"/>
          <w:numId w:val="1"/>
        </w:numPr>
        <w:spacing w:after="80"/>
      </w:pPr>
      <w:r>
        <w:t>The LP negotiates custom terms: fee discounts (often 50–75% of standard), tailored investment guidelines, sector/geography constraints, specific reporting requirements, and sometimes veto rights on deals</w:t>
      </w:r>
    </w:p>
    <w:p w14:paraId="09FA7186" w14:textId="77777777" w:rsidR="0046004D" w:rsidRDefault="00000000">
      <w:pPr>
        <w:pStyle w:val="ListParagraph"/>
        <w:numPr>
          <w:ilvl w:val="0"/>
          <w:numId w:val="1"/>
        </w:numPr>
        <w:spacing w:after="80"/>
      </w:pPr>
      <w:r>
        <w:t>The GP deploys capital into deals on behalf of that LP — sometimes into the same deals as the main fund, sometimes into deals the main fund doesn't pursue</w:t>
      </w:r>
    </w:p>
    <w:p w14:paraId="67E1D4A2" w14:textId="77777777" w:rsidR="0046004D" w:rsidRDefault="00000000">
      <w:pPr>
        <w:pStyle w:val="ListParagraph"/>
        <w:numPr>
          <w:ilvl w:val="0"/>
          <w:numId w:val="1"/>
        </w:numPr>
        <w:spacing w:after="80"/>
      </w:pPr>
      <w:r>
        <w:t>Typical SMA investors: CalPERS, CPPIB, Temasek, GIC — institutions with $500M+ to deploy with a single GP</w:t>
      </w:r>
    </w:p>
    <w:p w14:paraId="5DA7291A" w14:textId="77777777" w:rsidR="0046004D" w:rsidRDefault="0046004D">
      <w:pPr>
        <w:spacing w:after="80"/>
      </w:pPr>
    </w:p>
    <w:p w14:paraId="70E0A854" w14:textId="77777777" w:rsidR="0046004D" w:rsidRDefault="00000000">
      <w:pPr>
        <w:pStyle w:val="Heading3"/>
      </w:pPr>
      <w:bookmarkStart w:id="81" w:name="_Toc237337524"/>
      <w:r>
        <w:t>Co-Investment</w:t>
      </w:r>
      <w:bookmarkEnd w:id="81"/>
    </w:p>
    <w:p w14:paraId="75A68F34" w14:textId="77777777" w:rsidR="0046004D" w:rsidRDefault="00000000">
      <w:pPr>
        <w:spacing w:after="120"/>
      </w:pPr>
      <w:r>
        <w:t>A co-investment is a deal-by-deal right for an LP to invest directly alongside the main fund in a specific transaction, without going through the fund structure.</w:t>
      </w:r>
    </w:p>
    <w:p w14:paraId="11D0C54A" w14:textId="77777777" w:rsidR="0046004D" w:rsidRDefault="00000000">
      <w:pPr>
        <w:pStyle w:val="ListParagraph"/>
        <w:numPr>
          <w:ilvl w:val="0"/>
          <w:numId w:val="1"/>
        </w:numPr>
        <w:spacing w:after="80"/>
      </w:pPr>
      <w:r>
        <w:t>No ongoing commitment — the LP decides on each deal separately</w:t>
      </w:r>
    </w:p>
    <w:p w14:paraId="112D640E" w14:textId="77777777" w:rsidR="0046004D" w:rsidRDefault="00000000">
      <w:pPr>
        <w:pStyle w:val="ListParagraph"/>
        <w:numPr>
          <w:ilvl w:val="0"/>
          <w:numId w:val="1"/>
        </w:numPr>
        <w:spacing w:after="80"/>
      </w:pPr>
      <w:r>
        <w:t xml:space="preserve">Typically offered at low or no fees and no </w:t>
      </w:r>
      <w:proofErr w:type="gramStart"/>
      <w:r>
        <w:t>carry</w:t>
      </w:r>
      <w:proofErr w:type="gramEnd"/>
      <w:r>
        <w:t xml:space="preserve"> (the primary attraction for LPs)</w:t>
      </w:r>
    </w:p>
    <w:p w14:paraId="15641B18" w14:textId="77777777" w:rsidR="0046004D" w:rsidRDefault="00000000">
      <w:pPr>
        <w:pStyle w:val="ListParagraph"/>
        <w:numPr>
          <w:ilvl w:val="0"/>
          <w:numId w:val="1"/>
        </w:numPr>
        <w:spacing w:after="80"/>
      </w:pPr>
      <w:r>
        <w:t>The LP is passive — the GP drives the deal, the co-investor writes a check</w:t>
      </w:r>
    </w:p>
    <w:p w14:paraId="3C702F6D" w14:textId="77777777" w:rsidR="0046004D" w:rsidRDefault="00000000">
      <w:pPr>
        <w:pStyle w:val="ListParagraph"/>
        <w:numPr>
          <w:ilvl w:val="0"/>
          <w:numId w:val="1"/>
        </w:numPr>
        <w:spacing w:after="80"/>
      </w:pPr>
      <w:r>
        <w:t>Co-invest rights are usually negotiated into the main fund LPA as a preferred right for larger LPs</w:t>
      </w:r>
    </w:p>
    <w:p w14:paraId="36D83BEB" w14:textId="77777777" w:rsidR="0046004D" w:rsidRDefault="00000000">
      <w:pPr>
        <w:pStyle w:val="ListParagraph"/>
        <w:numPr>
          <w:ilvl w:val="0"/>
          <w:numId w:val="1"/>
        </w:numPr>
        <w:spacing w:after="80"/>
      </w:pPr>
      <w:r>
        <w:t>Capital is deployed into a single portfolio company, not a diversified portfolio</w:t>
      </w:r>
    </w:p>
    <w:p w14:paraId="207F7F9D" w14:textId="77777777" w:rsidR="0046004D" w:rsidRDefault="00000000">
      <w:pPr>
        <w:pStyle w:val="Heading2"/>
      </w:pPr>
      <w:bookmarkStart w:id="82" w:name="_Toc237337525"/>
      <w:proofErr w:type="gramStart"/>
      <w:r>
        <w:t>D.2  Side</w:t>
      </w:r>
      <w:proofErr w:type="gramEnd"/>
      <w:r>
        <w:t>-by-Side Comparison</w:t>
      </w:r>
      <w:bookmarkEnd w:id="8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46004D" w14:paraId="71BAF9D4" w14:textId="77777777">
        <w:tblPrEx>
          <w:tblCellMar>
            <w:top w:w="0" w:type="dxa"/>
            <w:bottom w:w="0" w:type="dxa"/>
          </w:tblCellMar>
        </w:tblPrEx>
        <w:tc>
          <w:tcPr>
            <w:tcW w:w="2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564F6A53" w14:textId="77777777" w:rsidR="0046004D" w:rsidRDefault="00000000">
            <w:r>
              <w:rPr>
                <w:b/>
                <w:bCs/>
                <w:color w:val="FFFFFF"/>
                <w:sz w:val="20"/>
                <w:szCs w:val="20"/>
              </w:rPr>
              <w:t>Dimension</w:t>
            </w:r>
          </w:p>
        </w:tc>
        <w:tc>
          <w:tcPr>
            <w:tcW w:w="348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3FAEC626" w14:textId="77777777" w:rsidR="0046004D" w:rsidRDefault="00000000">
            <w:r>
              <w:rPr>
                <w:b/>
                <w:bCs/>
                <w:color w:val="FFFFFF"/>
                <w:sz w:val="20"/>
                <w:szCs w:val="20"/>
              </w:rPr>
              <w:t>SMA</w:t>
            </w:r>
          </w:p>
        </w:tc>
        <w:tc>
          <w:tcPr>
            <w:tcW w:w="348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2EF46B09" w14:textId="77777777" w:rsidR="0046004D" w:rsidRDefault="00000000">
            <w:r>
              <w:rPr>
                <w:b/>
                <w:bCs/>
                <w:color w:val="FFFFFF"/>
                <w:sz w:val="20"/>
                <w:szCs w:val="20"/>
              </w:rPr>
              <w:t>Co-Investment</w:t>
            </w:r>
          </w:p>
        </w:tc>
      </w:tr>
      <w:tr w:rsidR="0046004D" w14:paraId="28D39BC9"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D0F37BF" w14:textId="77777777" w:rsidR="0046004D" w:rsidRDefault="00000000">
            <w:r>
              <w:rPr>
                <w:sz w:val="20"/>
                <w:szCs w:val="20"/>
              </w:rPr>
              <w:t>Structure</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BDA6C6F" w14:textId="77777777" w:rsidR="0046004D" w:rsidRDefault="00000000">
            <w:r>
              <w:rPr>
                <w:sz w:val="20"/>
                <w:szCs w:val="20"/>
              </w:rPr>
              <w:t>Dedicated fund vehicle (its own LP entity)</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57EB431" w14:textId="77777777" w:rsidR="0046004D" w:rsidRDefault="00000000">
            <w:r>
              <w:rPr>
                <w:sz w:val="20"/>
                <w:szCs w:val="20"/>
              </w:rPr>
              <w:t>Deal-specific SPV</w:t>
            </w:r>
          </w:p>
        </w:tc>
      </w:tr>
      <w:tr w:rsidR="0046004D" w14:paraId="1C4B71D9"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90C3BA5" w14:textId="77777777" w:rsidR="0046004D" w:rsidRDefault="00000000">
            <w:r>
              <w:rPr>
                <w:sz w:val="20"/>
                <w:szCs w:val="20"/>
              </w:rPr>
              <w:t>Capital commitment</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55909AD" w14:textId="77777777" w:rsidR="0046004D" w:rsidRDefault="00000000">
            <w:r>
              <w:rPr>
                <w:sz w:val="20"/>
                <w:szCs w:val="20"/>
              </w:rPr>
              <w:t>Ongoing / pre-committed mandate</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3D4F86F" w14:textId="77777777" w:rsidR="0046004D" w:rsidRDefault="00000000">
            <w:r>
              <w:rPr>
                <w:sz w:val="20"/>
                <w:szCs w:val="20"/>
              </w:rPr>
              <w:t>Deal-by-deal, optional per transaction</w:t>
            </w:r>
          </w:p>
        </w:tc>
      </w:tr>
      <w:tr w:rsidR="0046004D" w14:paraId="5123DC23"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55B5C2A" w14:textId="77777777" w:rsidR="0046004D" w:rsidRDefault="00000000">
            <w:r>
              <w:rPr>
                <w:sz w:val="20"/>
                <w:szCs w:val="20"/>
              </w:rPr>
              <w:t>Diversification</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CEB71ED" w14:textId="77777777" w:rsidR="0046004D" w:rsidRDefault="00000000">
            <w:r>
              <w:rPr>
                <w:sz w:val="20"/>
                <w:szCs w:val="20"/>
              </w:rPr>
              <w:t>Portfolio of deals over fund life</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F7E738E" w14:textId="77777777" w:rsidR="0046004D" w:rsidRDefault="00000000">
            <w:r>
              <w:rPr>
                <w:sz w:val="20"/>
                <w:szCs w:val="20"/>
              </w:rPr>
              <w:t>Single portfolio company</w:t>
            </w:r>
          </w:p>
        </w:tc>
      </w:tr>
      <w:tr w:rsidR="0046004D" w14:paraId="0E3EF22D"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7C1047A" w14:textId="77777777" w:rsidR="0046004D" w:rsidRDefault="00000000">
            <w:r>
              <w:rPr>
                <w:sz w:val="20"/>
                <w:szCs w:val="20"/>
              </w:rPr>
              <w:t>Fee structure</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2D5AD62" w14:textId="77777777" w:rsidR="0046004D" w:rsidRDefault="00000000">
            <w:r>
              <w:rPr>
                <w:sz w:val="20"/>
                <w:szCs w:val="20"/>
              </w:rPr>
              <w:t>Reduced (negotiated</w:t>
            </w:r>
            <w:proofErr w:type="gramStart"/>
            <w:r>
              <w:rPr>
                <w:sz w:val="20"/>
                <w:szCs w:val="20"/>
              </w:rPr>
              <w:t>) — often 50–75</w:t>
            </w:r>
            <w:proofErr w:type="gramEnd"/>
            <w:r>
              <w:rPr>
                <w:sz w:val="20"/>
                <w:szCs w:val="20"/>
              </w:rPr>
              <w:t>% of headline</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A698C7B" w14:textId="77777777" w:rsidR="0046004D" w:rsidRDefault="00000000">
            <w:proofErr w:type="gramStart"/>
            <w:r>
              <w:rPr>
                <w:sz w:val="20"/>
                <w:szCs w:val="20"/>
              </w:rPr>
              <w:t>Typically</w:t>
            </w:r>
            <w:proofErr w:type="gramEnd"/>
            <w:r>
              <w:rPr>
                <w:sz w:val="20"/>
                <w:szCs w:val="20"/>
              </w:rPr>
              <w:t xml:space="preserve"> 0 management fee, 0 carry</w:t>
            </w:r>
          </w:p>
        </w:tc>
      </w:tr>
      <w:tr w:rsidR="0046004D" w14:paraId="271DB222"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FDD5143" w14:textId="77777777" w:rsidR="0046004D" w:rsidRDefault="00000000">
            <w:r>
              <w:rPr>
                <w:sz w:val="20"/>
                <w:szCs w:val="20"/>
              </w:rPr>
              <w:lastRenderedPageBreak/>
              <w:t>LP control</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08833190" w14:textId="77777777" w:rsidR="0046004D" w:rsidRDefault="00000000">
            <w:r>
              <w:rPr>
                <w:sz w:val="20"/>
                <w:szCs w:val="20"/>
              </w:rPr>
              <w:t>High — bespoke mandate, possible veto rights</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C1119F6" w14:textId="77777777" w:rsidR="0046004D" w:rsidRDefault="00000000">
            <w:r>
              <w:rPr>
                <w:sz w:val="20"/>
                <w:szCs w:val="20"/>
              </w:rPr>
              <w:t>Low — purely passive</w:t>
            </w:r>
          </w:p>
        </w:tc>
      </w:tr>
      <w:tr w:rsidR="0046004D" w14:paraId="234C948F"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39478BEF" w14:textId="77777777" w:rsidR="0046004D" w:rsidRDefault="00000000">
            <w:r>
              <w:rPr>
                <w:sz w:val="20"/>
                <w:szCs w:val="20"/>
              </w:rPr>
              <w:t>Who initiates</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8D0118A" w14:textId="77777777" w:rsidR="0046004D" w:rsidRDefault="00000000">
            <w:r>
              <w:rPr>
                <w:sz w:val="20"/>
                <w:szCs w:val="20"/>
              </w:rPr>
              <w:t>LP-led: LP hires the GP</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313D9A13" w14:textId="77777777" w:rsidR="0046004D" w:rsidRDefault="00000000">
            <w:r>
              <w:rPr>
                <w:sz w:val="20"/>
                <w:szCs w:val="20"/>
              </w:rPr>
              <w:t>GP-led: GP calls LP about a found deal</w:t>
            </w:r>
          </w:p>
        </w:tc>
      </w:tr>
      <w:tr w:rsidR="0046004D" w14:paraId="7739881C"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BEBFAA1" w14:textId="77777777" w:rsidR="0046004D" w:rsidRDefault="00000000">
            <w:r>
              <w:rPr>
                <w:sz w:val="20"/>
                <w:szCs w:val="20"/>
              </w:rPr>
              <w:t>Asset at inception</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6FAD3AC" w14:textId="77777777" w:rsidR="0046004D" w:rsidRDefault="00000000">
            <w:r>
              <w:rPr>
                <w:sz w:val="20"/>
                <w:szCs w:val="20"/>
              </w:rPr>
              <w:t>None — purchasing forward discretion</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F973783" w14:textId="77777777" w:rsidR="0046004D" w:rsidRDefault="00000000">
            <w:r>
              <w:rPr>
                <w:sz w:val="20"/>
                <w:szCs w:val="20"/>
              </w:rPr>
              <w:t>Named and found asset required</w:t>
            </w:r>
          </w:p>
        </w:tc>
      </w:tr>
      <w:tr w:rsidR="0046004D" w14:paraId="627A7F3C"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5278D1C" w14:textId="77777777" w:rsidR="0046004D" w:rsidRDefault="00000000">
            <w:r>
              <w:rPr>
                <w:sz w:val="20"/>
                <w:szCs w:val="20"/>
              </w:rPr>
              <w:t>Number of investors</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95D5D97" w14:textId="77777777" w:rsidR="0046004D" w:rsidRDefault="00000000">
            <w:r>
              <w:rPr>
                <w:sz w:val="20"/>
                <w:szCs w:val="20"/>
              </w:rPr>
              <w:t>Exactly one (by definition)</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DDC2B6B" w14:textId="77777777" w:rsidR="0046004D" w:rsidRDefault="00000000">
            <w:r>
              <w:rPr>
                <w:sz w:val="20"/>
                <w:szCs w:val="20"/>
              </w:rPr>
              <w:t>One or a small group</w:t>
            </w:r>
          </w:p>
        </w:tc>
      </w:tr>
      <w:tr w:rsidR="0046004D" w14:paraId="178CAB1C"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070190F" w14:textId="77777777" w:rsidR="0046004D" w:rsidRDefault="00000000">
            <w:r>
              <w:rPr>
                <w:sz w:val="20"/>
                <w:szCs w:val="20"/>
              </w:rPr>
              <w:t>GP operational burden</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77E1C62" w14:textId="77777777" w:rsidR="0046004D" w:rsidRDefault="00000000">
            <w:r>
              <w:rPr>
                <w:sz w:val="20"/>
                <w:szCs w:val="20"/>
              </w:rPr>
              <w:t>High — bespoke reporting, separate mandate</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C139D76" w14:textId="77777777" w:rsidR="0046004D" w:rsidRDefault="00000000">
            <w:r>
              <w:rPr>
                <w:sz w:val="20"/>
                <w:szCs w:val="20"/>
              </w:rPr>
              <w:t>Low — single transaction, no mandate</w:t>
            </w:r>
          </w:p>
        </w:tc>
      </w:tr>
      <w:tr w:rsidR="0046004D" w14:paraId="3F6CE8F6"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A8D12BD" w14:textId="77777777" w:rsidR="0046004D" w:rsidRDefault="00000000">
            <w:r>
              <w:rPr>
                <w:sz w:val="20"/>
                <w:szCs w:val="20"/>
              </w:rPr>
              <w:t>Typical minimum</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1148DA9" w14:textId="77777777" w:rsidR="0046004D" w:rsidRDefault="00000000">
            <w:r>
              <w:rPr>
                <w:sz w:val="20"/>
                <w:szCs w:val="20"/>
              </w:rPr>
              <w:t>$100M+ commitment</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C8B84A7" w14:textId="77777777" w:rsidR="0046004D" w:rsidRDefault="00000000">
            <w:r>
              <w:rPr>
                <w:sz w:val="20"/>
                <w:szCs w:val="20"/>
              </w:rPr>
              <w:t>$10M–50M per deal</w:t>
            </w:r>
          </w:p>
        </w:tc>
      </w:tr>
      <w:tr w:rsidR="0046004D" w14:paraId="4473C691"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0320D97" w14:textId="77777777" w:rsidR="0046004D" w:rsidRDefault="00000000">
            <w:r>
              <w:rPr>
                <w:sz w:val="20"/>
                <w:szCs w:val="20"/>
              </w:rPr>
              <w:t>Median close (ref.)</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B404D19" w14:textId="77777777" w:rsidR="0046004D" w:rsidRDefault="00000000">
            <w:r>
              <w:rPr>
                <w:sz w:val="20"/>
                <w:szCs w:val="20"/>
              </w:rPr>
              <w:t>47 days</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CDA797E" w14:textId="77777777" w:rsidR="0046004D" w:rsidRDefault="00000000">
            <w:r>
              <w:rPr>
                <w:sz w:val="20"/>
                <w:szCs w:val="20"/>
              </w:rPr>
              <w:t>12 days</w:t>
            </w:r>
          </w:p>
        </w:tc>
      </w:tr>
      <w:tr w:rsidR="0046004D" w14:paraId="3F0D28FD"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289582D1" w14:textId="77777777" w:rsidR="0046004D" w:rsidRDefault="00000000">
            <w:r>
              <w:rPr>
                <w:sz w:val="20"/>
                <w:szCs w:val="20"/>
              </w:rPr>
              <w:t>Who uses it</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AC8531C" w14:textId="77777777" w:rsidR="0046004D" w:rsidRDefault="00000000">
            <w:r>
              <w:rPr>
                <w:sz w:val="20"/>
                <w:szCs w:val="20"/>
              </w:rPr>
              <w:t>Sovereign wealth, large pension funds</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2292214" w14:textId="77777777" w:rsidR="0046004D" w:rsidRDefault="00000000">
            <w:r>
              <w:rPr>
                <w:sz w:val="20"/>
                <w:szCs w:val="20"/>
              </w:rPr>
              <w:t>Mid-to-large LPs in main fund</w:t>
            </w:r>
          </w:p>
        </w:tc>
      </w:tr>
    </w:tbl>
    <w:p w14:paraId="76EA55F0" w14:textId="77777777" w:rsidR="0046004D" w:rsidRDefault="0046004D">
      <w:pPr>
        <w:spacing w:after="200"/>
      </w:pPr>
    </w:p>
    <w:p w14:paraId="16EFC4D6" w14:textId="77777777" w:rsidR="0046004D" w:rsidRDefault="00000000">
      <w:pPr>
        <w:pStyle w:val="Heading2"/>
      </w:pPr>
      <w:bookmarkStart w:id="83" w:name="_Toc237337526"/>
      <w:proofErr w:type="gramStart"/>
      <w:r>
        <w:t>D.3  The</w:t>
      </w:r>
      <w:proofErr w:type="gramEnd"/>
      <w:r>
        <w:t xml:space="preserve"> Model Constraints Each One Triggers</w:t>
      </w:r>
      <w:bookmarkEnd w:id="83"/>
    </w:p>
    <w:p w14:paraId="075F07E8" w14:textId="77777777" w:rsidR="0046004D" w:rsidRDefault="00000000">
      <w:pPr>
        <w:spacing w:after="120"/>
      </w:pPr>
      <w:r>
        <w:t xml:space="preserve">From Section 9.1: three facts </w:t>
      </w:r>
      <w:proofErr w:type="gramStart"/>
      <w:r>
        <w:t>discriminate</w:t>
      </w:r>
      <w:proofErr w:type="gramEnd"/>
      <w:r>
        <w:t xml:space="preserve"> them, and each is constrained because each is what makes the other structure wrong.</w:t>
      </w:r>
    </w:p>
    <w:p w14:paraId="63BF11AA" w14:textId="77777777" w:rsidR="0046004D" w:rsidRDefault="0046004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2000"/>
        <w:gridCol w:w="3160"/>
      </w:tblGrid>
      <w:tr w:rsidR="0046004D" w14:paraId="6491FD23"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3415A46A" w14:textId="77777777" w:rsidR="0046004D" w:rsidRDefault="00000000">
            <w:r>
              <w:rPr>
                <w:b/>
                <w:bCs/>
                <w:color w:val="FFFFFF"/>
                <w:sz w:val="20"/>
                <w:szCs w:val="20"/>
              </w:rPr>
              <w:t>Constraint</w:t>
            </w:r>
          </w:p>
        </w:tc>
        <w:tc>
          <w:tcPr>
            <w:tcW w:w="20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3D514170" w14:textId="77777777" w:rsidR="0046004D" w:rsidRDefault="00000000">
            <w:r>
              <w:rPr>
                <w:b/>
                <w:bCs/>
                <w:color w:val="FFFFFF"/>
                <w:sz w:val="20"/>
                <w:szCs w:val="20"/>
              </w:rPr>
              <w:t>Co-Investment</w:t>
            </w:r>
          </w:p>
        </w:tc>
        <w:tc>
          <w:tcPr>
            <w:tcW w:w="20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714831BD" w14:textId="77777777" w:rsidR="0046004D" w:rsidRDefault="00000000">
            <w:r>
              <w:rPr>
                <w:b/>
                <w:bCs/>
                <w:color w:val="FFFFFF"/>
                <w:sz w:val="20"/>
                <w:szCs w:val="20"/>
              </w:rPr>
              <w:t>SMA</w:t>
            </w:r>
          </w:p>
        </w:tc>
        <w:tc>
          <w:tcPr>
            <w:tcW w:w="31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79A90782" w14:textId="77777777" w:rsidR="0046004D" w:rsidRDefault="00000000">
            <w:r>
              <w:rPr>
                <w:b/>
                <w:bCs/>
                <w:color w:val="FFFFFF"/>
                <w:sz w:val="20"/>
                <w:szCs w:val="20"/>
              </w:rPr>
              <w:t>Why It Matters</w:t>
            </w:r>
          </w:p>
        </w:tc>
      </w:tr>
      <w:tr w:rsidR="0046004D" w14:paraId="77211FCF" w14:textId="77777777">
        <w:tblPrEx>
          <w:tblCellMar>
            <w:top w:w="0" w:type="dxa"/>
            <w:bottom w:w="0" w:type="dxa"/>
          </w:tblCellMar>
        </w:tblPrEx>
        <w:tc>
          <w:tcPr>
            <w:tcW w:w="22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FA90BBE" w14:textId="77777777" w:rsidR="0046004D" w:rsidRDefault="00000000">
            <w:proofErr w:type="spellStart"/>
            <w:proofErr w:type="gramStart"/>
            <w:r>
              <w:rPr>
                <w:sz w:val="20"/>
                <w:szCs w:val="20"/>
              </w:rPr>
              <w:t>pe:fundInitiatedBy</w:t>
            </w:r>
            <w:proofErr w:type="spellEnd"/>
            <w:proofErr w:type="gramEnd"/>
          </w:p>
        </w:tc>
        <w:tc>
          <w:tcPr>
            <w:tcW w:w="2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33464AC" w14:textId="77777777" w:rsidR="0046004D" w:rsidRDefault="00000000">
            <w:r>
              <w:rPr>
                <w:sz w:val="20"/>
                <w:szCs w:val="20"/>
              </w:rPr>
              <w:t>GP (mandatory)</w:t>
            </w:r>
          </w:p>
        </w:tc>
        <w:tc>
          <w:tcPr>
            <w:tcW w:w="2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C06DC7F" w14:textId="77777777" w:rsidR="0046004D" w:rsidRDefault="00000000">
            <w:r>
              <w:rPr>
                <w:sz w:val="20"/>
                <w:szCs w:val="20"/>
              </w:rPr>
              <w:t>LP (mandatory)</w:t>
            </w:r>
          </w:p>
        </w:tc>
        <w:tc>
          <w:tcPr>
            <w:tcW w:w="31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E45CEF4" w14:textId="77777777" w:rsidR="0046004D" w:rsidRDefault="00000000">
            <w:r>
              <w:rPr>
                <w:sz w:val="20"/>
                <w:szCs w:val="20"/>
              </w:rPr>
              <w:t>Asserting both values simultaneously is a violation — one LP cannot initiate a co-invest</w:t>
            </w:r>
          </w:p>
        </w:tc>
      </w:tr>
      <w:tr w:rsidR="0046004D" w14:paraId="5987A826" w14:textId="77777777">
        <w:tblPrEx>
          <w:tblCellMar>
            <w:top w:w="0" w:type="dxa"/>
            <w:bottom w:w="0" w:type="dxa"/>
          </w:tblCellMar>
        </w:tblPrEx>
        <w:tc>
          <w:tcPr>
            <w:tcW w:w="2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CCE38BE" w14:textId="77777777" w:rsidR="0046004D" w:rsidRDefault="00000000">
            <w:proofErr w:type="spellStart"/>
            <w:proofErr w:type="gramStart"/>
            <w:r>
              <w:rPr>
                <w:sz w:val="20"/>
                <w:szCs w:val="20"/>
              </w:rPr>
              <w:t>pe:coInvestsIn</w:t>
            </w:r>
            <w:proofErr w:type="spellEnd"/>
            <w:proofErr w:type="gramEnd"/>
          </w:p>
        </w:tc>
        <w:tc>
          <w:tcPr>
            <w:tcW w:w="2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E63A445" w14:textId="77777777" w:rsidR="0046004D" w:rsidRDefault="00000000">
            <w:r>
              <w:rPr>
                <w:sz w:val="20"/>
                <w:szCs w:val="20"/>
              </w:rPr>
              <w:t>Required — names the asset</w:t>
            </w:r>
          </w:p>
        </w:tc>
        <w:tc>
          <w:tcPr>
            <w:tcW w:w="2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FA1BD56" w14:textId="77777777" w:rsidR="0046004D" w:rsidRDefault="00000000">
            <w:proofErr w:type="gramStart"/>
            <w:r>
              <w:rPr>
                <w:sz w:val="20"/>
                <w:szCs w:val="20"/>
              </w:rPr>
              <w:t>Forbidden —</w:t>
            </w:r>
            <w:proofErr w:type="gramEnd"/>
            <w:r>
              <w:rPr>
                <w:sz w:val="20"/>
                <w:szCs w:val="20"/>
              </w:rPr>
              <w:t xml:space="preserve"> nothing bought yet</w:t>
            </w:r>
          </w:p>
        </w:tc>
        <w:tc>
          <w:tcPr>
            <w:tcW w:w="31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2AE97704" w14:textId="77777777" w:rsidR="0046004D" w:rsidRDefault="00000000">
            <w:r>
              <w:rPr>
                <w:sz w:val="20"/>
                <w:szCs w:val="20"/>
              </w:rPr>
              <w:t>An SMA with a named asset at inception is not an SMA; it is a co-invest with wrong governance</w:t>
            </w:r>
          </w:p>
        </w:tc>
      </w:tr>
      <w:tr w:rsidR="0046004D" w14:paraId="3535B5DA" w14:textId="77777777">
        <w:tblPrEx>
          <w:tblCellMar>
            <w:top w:w="0" w:type="dxa"/>
            <w:bottom w:w="0" w:type="dxa"/>
          </w:tblCellMar>
        </w:tblPrEx>
        <w:tc>
          <w:tcPr>
            <w:tcW w:w="22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44A8F86" w14:textId="77777777" w:rsidR="0046004D" w:rsidRDefault="00000000">
            <w:proofErr w:type="spellStart"/>
            <w:r>
              <w:rPr>
                <w:sz w:val="20"/>
                <w:szCs w:val="20"/>
              </w:rPr>
              <w:t>maxInvestorCount</w:t>
            </w:r>
            <w:proofErr w:type="spellEnd"/>
          </w:p>
        </w:tc>
        <w:tc>
          <w:tcPr>
            <w:tcW w:w="2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B70D9B9" w14:textId="77777777" w:rsidR="0046004D" w:rsidRDefault="00000000">
            <w:r>
              <w:rPr>
                <w:sz w:val="20"/>
                <w:szCs w:val="20"/>
              </w:rPr>
              <w:t>No upper limit</w:t>
            </w:r>
          </w:p>
        </w:tc>
        <w:tc>
          <w:tcPr>
            <w:tcW w:w="2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35D8A70" w14:textId="77777777" w:rsidR="0046004D" w:rsidRDefault="00000000">
            <w:r>
              <w:rPr>
                <w:sz w:val="20"/>
                <w:szCs w:val="20"/>
              </w:rPr>
              <w:t>Exactly 1</w:t>
            </w:r>
          </w:p>
        </w:tc>
        <w:tc>
          <w:tcPr>
            <w:tcW w:w="31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694CAD3" w14:textId="77777777" w:rsidR="0046004D" w:rsidRDefault="00000000">
            <w:r>
              <w:rPr>
                <w:sz w:val="20"/>
                <w:szCs w:val="20"/>
              </w:rPr>
              <w:t>A second investor makes it a commingled fund with the wrong fee schedule</w:t>
            </w:r>
          </w:p>
        </w:tc>
      </w:tr>
      <w:tr w:rsidR="0046004D" w14:paraId="60F9F667" w14:textId="77777777">
        <w:tblPrEx>
          <w:tblCellMar>
            <w:top w:w="0" w:type="dxa"/>
            <w:bottom w:w="0" w:type="dxa"/>
          </w:tblCellMar>
        </w:tblPrEx>
        <w:tc>
          <w:tcPr>
            <w:tcW w:w="2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88E44AF" w14:textId="77777777" w:rsidR="0046004D" w:rsidRDefault="00000000">
            <w:r>
              <w:rPr>
                <w:sz w:val="20"/>
                <w:szCs w:val="20"/>
              </w:rPr>
              <w:t>Asset cross-check</w:t>
            </w:r>
          </w:p>
        </w:tc>
        <w:tc>
          <w:tcPr>
            <w:tcW w:w="2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34EDDB45" w14:textId="77777777" w:rsidR="0046004D" w:rsidRDefault="00000000">
            <w:proofErr w:type="gramStart"/>
            <w:r>
              <w:rPr>
                <w:sz w:val="20"/>
                <w:szCs w:val="20"/>
              </w:rPr>
              <w:t>Asset</w:t>
            </w:r>
            <w:proofErr w:type="gramEnd"/>
            <w:r>
              <w:rPr>
                <w:sz w:val="20"/>
                <w:szCs w:val="20"/>
              </w:rPr>
              <w:t xml:space="preserve"> must be held by the alongside fund</w:t>
            </w:r>
          </w:p>
        </w:tc>
        <w:tc>
          <w:tcPr>
            <w:tcW w:w="2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2401BCE9" w14:textId="77777777" w:rsidR="0046004D" w:rsidRDefault="00000000">
            <w:r>
              <w:rPr>
                <w:sz w:val="20"/>
                <w:szCs w:val="20"/>
              </w:rPr>
              <w:t>N/A</w:t>
            </w:r>
          </w:p>
        </w:tc>
        <w:tc>
          <w:tcPr>
            <w:tcW w:w="31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1B8FE20" w14:textId="77777777" w:rsidR="0046004D" w:rsidRDefault="00000000">
            <w:r>
              <w:rPr>
                <w:sz w:val="20"/>
                <w:szCs w:val="20"/>
              </w:rPr>
              <w:t>A co-invest naming an asset the main fund doesn't hold is not co-investing — it's a standalone fund</w:t>
            </w:r>
          </w:p>
        </w:tc>
      </w:tr>
    </w:tbl>
    <w:p w14:paraId="706EB318" w14:textId="77777777" w:rsidR="0046004D" w:rsidRDefault="0046004D">
      <w:pPr>
        <w:spacing w:after="200"/>
      </w:pPr>
    </w:p>
    <w:p w14:paraId="61D98C37" w14:textId="77777777" w:rsidR="0046004D" w:rsidRDefault="00000000">
      <w:pPr>
        <w:pStyle w:val="Heading2"/>
      </w:pPr>
      <w:bookmarkStart w:id="84" w:name="_Toc237337527"/>
      <w:proofErr w:type="gramStart"/>
      <w:r>
        <w:t>D.4  Where</w:t>
      </w:r>
      <w:proofErr w:type="gramEnd"/>
      <w:r>
        <w:t xml:space="preserve"> They Overlap</w:t>
      </w:r>
      <w:bookmarkEnd w:id="84"/>
    </w:p>
    <w:p w14:paraId="71E4F46B" w14:textId="77777777" w:rsidR="0046004D" w:rsidRDefault="00000000">
      <w:pPr>
        <w:spacing w:after="120"/>
      </w:pPr>
      <w:r>
        <w:t xml:space="preserve">An SMA can include co-investment rights as part of its terms — so a large SMA investor might also get </w:t>
      </w:r>
      <w:proofErr w:type="gramStart"/>
      <w:r>
        <w:t>a right</w:t>
      </w:r>
      <w:proofErr w:type="gramEnd"/>
      <w:r>
        <w:t xml:space="preserve"> of first offer on co-investments alongside the main fund. This is why the two structures are sometimes conflated operationally.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004D" w14:paraId="407B5608" w14:textId="77777777">
        <w:tblPrEx>
          <w:tblCellMar>
            <w:top w:w="0" w:type="dxa"/>
            <w:bottom w:w="0" w:type="dxa"/>
          </w:tblCellMar>
        </w:tblPrEx>
        <w:tc>
          <w:tcPr>
            <w:tcW w:w="9360" w:type="dxa"/>
            <w:tcBorders>
              <w:top w:val="single" w:sz="12" w:space="0" w:color="805AD5"/>
              <w:left w:val="single" w:sz="12" w:space="0" w:color="805AD5"/>
            </w:tcBorders>
            <w:shd w:val="clear" w:color="auto" w:fill="FAF5FF"/>
            <w:tcMar>
              <w:top w:w="80" w:type="dxa"/>
              <w:left w:w="120" w:type="dxa"/>
              <w:bottom w:w="0" w:type="dxa"/>
              <w:right w:w="120" w:type="dxa"/>
            </w:tcMar>
          </w:tcPr>
          <w:p w14:paraId="77818FEC" w14:textId="77777777" w:rsidR="0046004D" w:rsidRDefault="00000000">
            <w:r>
              <w:rPr>
                <w:b/>
                <w:bCs/>
                <w:color w:val="805AD5"/>
                <w:sz w:val="20"/>
                <w:szCs w:val="20"/>
              </w:rPr>
              <w:t>Mental Model</w:t>
            </w:r>
          </w:p>
        </w:tc>
      </w:tr>
      <w:tr w:rsidR="0046004D" w14:paraId="5F2F49BF" w14:textId="77777777">
        <w:tblPrEx>
          <w:tblCellMar>
            <w:top w:w="0" w:type="dxa"/>
            <w:bottom w:w="0" w:type="dxa"/>
          </w:tblCellMar>
        </w:tblPrEx>
        <w:tc>
          <w:tcPr>
            <w:tcW w:w="9360" w:type="dxa"/>
            <w:tcBorders>
              <w:left w:val="single" w:sz="12" w:space="0" w:color="805AD5"/>
            </w:tcBorders>
            <w:shd w:val="clear" w:color="auto" w:fill="FAF5FF"/>
            <w:tcMar>
              <w:top w:w="0" w:type="dxa"/>
              <w:left w:w="120" w:type="dxa"/>
              <w:bottom w:w="0" w:type="dxa"/>
              <w:right w:w="120" w:type="dxa"/>
            </w:tcMar>
          </w:tcPr>
          <w:p w14:paraId="56A05024" w14:textId="77777777" w:rsidR="0046004D" w:rsidRDefault="00000000">
            <w:pPr>
              <w:spacing w:after="60"/>
            </w:pPr>
            <w:r>
              <w:rPr>
                <w:color w:val="2D3748"/>
                <w:sz w:val="20"/>
                <w:szCs w:val="20"/>
              </w:rPr>
              <w:t xml:space="preserve">SMA = hiring the GP to run a </w:t>
            </w:r>
            <w:proofErr w:type="gramStart"/>
            <w:r>
              <w:rPr>
                <w:color w:val="2D3748"/>
                <w:sz w:val="20"/>
                <w:szCs w:val="20"/>
              </w:rPr>
              <w:t>mini-fund</w:t>
            </w:r>
            <w:proofErr w:type="gramEnd"/>
            <w:r>
              <w:rPr>
                <w:color w:val="2D3748"/>
                <w:sz w:val="20"/>
                <w:szCs w:val="20"/>
              </w:rPr>
              <w:t xml:space="preserve"> just for you.</w:t>
            </w:r>
          </w:p>
        </w:tc>
      </w:tr>
      <w:tr w:rsidR="0046004D" w14:paraId="3E9777EE" w14:textId="77777777">
        <w:tblPrEx>
          <w:tblCellMar>
            <w:top w:w="0" w:type="dxa"/>
            <w:bottom w:w="0" w:type="dxa"/>
          </w:tblCellMar>
        </w:tblPrEx>
        <w:tc>
          <w:tcPr>
            <w:tcW w:w="9360" w:type="dxa"/>
            <w:tcBorders>
              <w:left w:val="single" w:sz="12" w:space="0" w:color="805AD5"/>
            </w:tcBorders>
            <w:shd w:val="clear" w:color="auto" w:fill="FAF5FF"/>
            <w:tcMar>
              <w:top w:w="0" w:type="dxa"/>
              <w:left w:w="120" w:type="dxa"/>
              <w:bottom w:w="0" w:type="dxa"/>
              <w:right w:w="120" w:type="dxa"/>
            </w:tcMar>
          </w:tcPr>
          <w:p w14:paraId="342D07F8" w14:textId="77777777" w:rsidR="0046004D" w:rsidRDefault="00000000">
            <w:pPr>
              <w:spacing w:after="60"/>
            </w:pPr>
            <w:r>
              <w:rPr>
                <w:color w:val="2D3748"/>
                <w:sz w:val="20"/>
                <w:szCs w:val="20"/>
              </w:rPr>
              <w:t xml:space="preserve">       → You set the mandate. The GP executes. Capital deployed over time.</w:t>
            </w:r>
          </w:p>
        </w:tc>
      </w:tr>
      <w:tr w:rsidR="0046004D" w14:paraId="703A3D17" w14:textId="77777777">
        <w:tblPrEx>
          <w:tblCellMar>
            <w:top w:w="0" w:type="dxa"/>
            <w:bottom w:w="0" w:type="dxa"/>
          </w:tblCellMar>
        </w:tblPrEx>
        <w:tc>
          <w:tcPr>
            <w:tcW w:w="9360" w:type="dxa"/>
            <w:tcBorders>
              <w:left w:val="single" w:sz="12" w:space="0" w:color="805AD5"/>
            </w:tcBorders>
            <w:shd w:val="clear" w:color="auto" w:fill="FAF5FF"/>
            <w:tcMar>
              <w:top w:w="0" w:type="dxa"/>
              <w:left w:w="120" w:type="dxa"/>
              <w:bottom w:w="0" w:type="dxa"/>
              <w:right w:w="120" w:type="dxa"/>
            </w:tcMar>
          </w:tcPr>
          <w:p w14:paraId="53E0C033" w14:textId="77777777" w:rsidR="0046004D" w:rsidRDefault="0046004D">
            <w:pPr>
              <w:spacing w:after="60"/>
            </w:pPr>
          </w:p>
        </w:tc>
      </w:tr>
      <w:tr w:rsidR="0046004D" w14:paraId="7F0FE29C" w14:textId="77777777">
        <w:tblPrEx>
          <w:tblCellMar>
            <w:top w:w="0" w:type="dxa"/>
            <w:bottom w:w="0" w:type="dxa"/>
          </w:tblCellMar>
        </w:tblPrEx>
        <w:tc>
          <w:tcPr>
            <w:tcW w:w="9360" w:type="dxa"/>
            <w:tcBorders>
              <w:left w:val="single" w:sz="12" w:space="0" w:color="805AD5"/>
            </w:tcBorders>
            <w:shd w:val="clear" w:color="auto" w:fill="FAF5FF"/>
            <w:tcMar>
              <w:top w:w="0" w:type="dxa"/>
              <w:left w:w="120" w:type="dxa"/>
              <w:bottom w:w="0" w:type="dxa"/>
              <w:right w:w="120" w:type="dxa"/>
            </w:tcMar>
          </w:tcPr>
          <w:p w14:paraId="05469006" w14:textId="77777777" w:rsidR="0046004D" w:rsidRDefault="00000000">
            <w:pPr>
              <w:spacing w:after="60"/>
            </w:pPr>
            <w:r>
              <w:rPr>
                <w:color w:val="2D3748"/>
                <w:sz w:val="20"/>
                <w:szCs w:val="20"/>
              </w:rPr>
              <w:t xml:space="preserve">Co-Investment = the GP calling you and </w:t>
            </w:r>
            <w:proofErr w:type="gramStart"/>
            <w:r>
              <w:rPr>
                <w:color w:val="2D3748"/>
                <w:sz w:val="20"/>
                <w:szCs w:val="20"/>
              </w:rPr>
              <w:t>saying</w:t>
            </w:r>
            <w:proofErr w:type="gramEnd"/>
            <w:r>
              <w:rPr>
                <w:color w:val="2D3748"/>
                <w:sz w:val="20"/>
                <w:szCs w:val="20"/>
              </w:rPr>
              <w:t xml:space="preserve"> "</w:t>
            </w:r>
            <w:proofErr w:type="gramStart"/>
            <w:r>
              <w:rPr>
                <w:color w:val="2D3748"/>
                <w:sz w:val="20"/>
                <w:szCs w:val="20"/>
              </w:rPr>
              <w:t>we're</w:t>
            </w:r>
            <w:proofErr w:type="gramEnd"/>
            <w:r>
              <w:rPr>
                <w:color w:val="2D3748"/>
                <w:sz w:val="20"/>
                <w:szCs w:val="20"/>
              </w:rPr>
              <w:t xml:space="preserve"> doing a deal, want to put in $50M directly?"</w:t>
            </w:r>
          </w:p>
        </w:tc>
      </w:tr>
      <w:tr w:rsidR="0046004D" w14:paraId="7751280E" w14:textId="77777777">
        <w:tblPrEx>
          <w:tblCellMar>
            <w:top w:w="0" w:type="dxa"/>
            <w:bottom w:w="0" w:type="dxa"/>
          </w:tblCellMar>
        </w:tblPrEx>
        <w:tc>
          <w:tcPr>
            <w:tcW w:w="9360" w:type="dxa"/>
            <w:tcBorders>
              <w:left w:val="single" w:sz="12" w:space="0" w:color="805AD5"/>
            </w:tcBorders>
            <w:shd w:val="clear" w:color="auto" w:fill="FAF5FF"/>
            <w:tcMar>
              <w:top w:w="0" w:type="dxa"/>
              <w:left w:w="120" w:type="dxa"/>
              <w:bottom w:w="0" w:type="dxa"/>
              <w:right w:w="120" w:type="dxa"/>
            </w:tcMar>
          </w:tcPr>
          <w:p w14:paraId="1F756FDD" w14:textId="77777777" w:rsidR="0046004D" w:rsidRDefault="00000000">
            <w:pPr>
              <w:spacing w:after="60"/>
            </w:pPr>
            <w:r>
              <w:rPr>
                <w:color w:val="2D3748"/>
                <w:sz w:val="20"/>
                <w:szCs w:val="20"/>
              </w:rPr>
              <w:lastRenderedPageBreak/>
              <w:t xml:space="preserve">       → GP found the deal. You decide deal-by-deal. One check, one company.</w:t>
            </w:r>
          </w:p>
        </w:tc>
      </w:tr>
      <w:tr w:rsidR="0046004D" w14:paraId="1D459452" w14:textId="77777777">
        <w:tblPrEx>
          <w:tblCellMar>
            <w:top w:w="0" w:type="dxa"/>
            <w:bottom w:w="0" w:type="dxa"/>
          </w:tblCellMar>
        </w:tblPrEx>
        <w:tc>
          <w:tcPr>
            <w:tcW w:w="9360" w:type="dxa"/>
            <w:tcBorders>
              <w:left w:val="single" w:sz="12" w:space="0" w:color="805AD5"/>
            </w:tcBorders>
            <w:shd w:val="clear" w:color="auto" w:fill="FAF5FF"/>
            <w:tcMar>
              <w:top w:w="0" w:type="dxa"/>
              <w:left w:w="120" w:type="dxa"/>
              <w:bottom w:w="0" w:type="dxa"/>
              <w:right w:w="120" w:type="dxa"/>
            </w:tcMar>
          </w:tcPr>
          <w:p w14:paraId="7F7A98D1" w14:textId="77777777" w:rsidR="0046004D" w:rsidRDefault="0046004D">
            <w:pPr>
              <w:spacing w:after="60"/>
            </w:pPr>
          </w:p>
        </w:tc>
      </w:tr>
      <w:tr w:rsidR="0046004D" w14:paraId="71727EC8" w14:textId="77777777">
        <w:tblPrEx>
          <w:tblCellMar>
            <w:top w:w="0" w:type="dxa"/>
            <w:bottom w:w="0" w:type="dxa"/>
          </w:tblCellMar>
        </w:tblPrEx>
        <w:tc>
          <w:tcPr>
            <w:tcW w:w="9360" w:type="dxa"/>
            <w:tcBorders>
              <w:left w:val="single" w:sz="12" w:space="0" w:color="805AD5"/>
            </w:tcBorders>
            <w:shd w:val="clear" w:color="auto" w:fill="FAF5FF"/>
            <w:tcMar>
              <w:top w:w="0" w:type="dxa"/>
              <w:left w:w="120" w:type="dxa"/>
              <w:bottom w:w="0" w:type="dxa"/>
              <w:right w:w="120" w:type="dxa"/>
            </w:tcMar>
          </w:tcPr>
          <w:p w14:paraId="1157D426" w14:textId="77777777" w:rsidR="0046004D" w:rsidRDefault="00000000">
            <w:pPr>
              <w:spacing w:after="60"/>
            </w:pPr>
            <w:r>
              <w:rPr>
                <w:color w:val="2D3748"/>
                <w:sz w:val="20"/>
                <w:szCs w:val="20"/>
              </w:rPr>
              <w:t xml:space="preserve">The data model encodes this in </w:t>
            </w:r>
            <w:proofErr w:type="spellStart"/>
            <w:proofErr w:type="gramStart"/>
            <w:r>
              <w:rPr>
                <w:color w:val="2D3748"/>
                <w:sz w:val="20"/>
                <w:szCs w:val="20"/>
              </w:rPr>
              <w:t>pe:fundInitiatedBy</w:t>
            </w:r>
            <w:proofErr w:type="spellEnd"/>
            <w:proofErr w:type="gramEnd"/>
            <w:r>
              <w:rPr>
                <w:color w:val="2D3748"/>
                <w:sz w:val="20"/>
                <w:szCs w:val="20"/>
              </w:rPr>
              <w:t xml:space="preserve"> and </w:t>
            </w:r>
            <w:proofErr w:type="spellStart"/>
            <w:proofErr w:type="gramStart"/>
            <w:r>
              <w:rPr>
                <w:color w:val="2D3748"/>
                <w:sz w:val="20"/>
                <w:szCs w:val="20"/>
              </w:rPr>
              <w:t>pe:coInvestsIn</w:t>
            </w:r>
            <w:proofErr w:type="spellEnd"/>
            <w:proofErr w:type="gramEnd"/>
            <w:r>
              <w:rPr>
                <w:color w:val="2D3748"/>
                <w:sz w:val="20"/>
                <w:szCs w:val="20"/>
              </w:rPr>
              <w:t>.</w:t>
            </w:r>
          </w:p>
        </w:tc>
      </w:tr>
      <w:tr w:rsidR="0046004D" w14:paraId="760C1519" w14:textId="77777777">
        <w:tblPrEx>
          <w:tblCellMar>
            <w:top w:w="0" w:type="dxa"/>
            <w:bottom w:w="0" w:type="dxa"/>
          </w:tblCellMar>
        </w:tblPrEx>
        <w:tc>
          <w:tcPr>
            <w:tcW w:w="9360" w:type="dxa"/>
            <w:tcBorders>
              <w:left w:val="single" w:sz="12" w:space="0" w:color="805AD5"/>
              <w:bottom w:val="single" w:sz="4" w:space="0" w:color="805AD5"/>
            </w:tcBorders>
            <w:shd w:val="clear" w:color="auto" w:fill="FAF5FF"/>
            <w:tcMar>
              <w:top w:w="0" w:type="dxa"/>
              <w:left w:w="120" w:type="dxa"/>
              <w:bottom w:w="80" w:type="dxa"/>
              <w:right w:w="120" w:type="dxa"/>
            </w:tcMar>
          </w:tcPr>
          <w:p w14:paraId="5076BBB6" w14:textId="77777777" w:rsidR="0046004D" w:rsidRDefault="00000000">
            <w:r>
              <w:rPr>
                <w:color w:val="2D3748"/>
                <w:sz w:val="20"/>
                <w:szCs w:val="20"/>
              </w:rPr>
              <w:t>The two structures are model opposites: every fact that is required on one is forbidden on the other.</w:t>
            </w:r>
          </w:p>
        </w:tc>
      </w:tr>
    </w:tbl>
    <w:p w14:paraId="48925412" w14:textId="77777777" w:rsidR="0046004D" w:rsidRDefault="0046004D">
      <w:pPr>
        <w:spacing w:after="160"/>
      </w:pPr>
    </w:p>
    <w:p w14:paraId="30B01746" w14:textId="77777777" w:rsidR="0046004D" w:rsidRDefault="00000000">
      <w:pPr>
        <w:pStyle w:val="Heading2"/>
      </w:pPr>
      <w:bookmarkStart w:id="85" w:name="_Toc237337528"/>
      <w:proofErr w:type="gramStart"/>
      <w:r>
        <w:t>D.5  Pipeline</w:t>
      </w:r>
      <w:proofErr w:type="gramEnd"/>
      <w:r>
        <w:t xml:space="preserve"> View — How Each Route Appears in the Opportunity Model</w:t>
      </w:r>
      <w:bookmarkEnd w:id="85"/>
    </w:p>
    <w:p w14:paraId="6E799F02" w14:textId="77777777" w:rsidR="0046004D" w:rsidRDefault="00000000">
      <w:pPr>
        <w:spacing w:after="120"/>
      </w:pPr>
      <w:r>
        <w:t>From Section 9 (Routes B and C): both mint a new Fund as a sibling under the same Product, but the pipeline object looks different at the point of conversion: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46004D" w14:paraId="7256D016" w14:textId="77777777">
        <w:tblPrEx>
          <w:tblCellMar>
            <w:top w:w="0" w:type="dxa"/>
            <w:bottom w:w="0" w:type="dxa"/>
          </w:tblCellMar>
        </w:tblPrEx>
        <w:tc>
          <w:tcPr>
            <w:tcW w:w="2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4AD613FA" w14:textId="77777777" w:rsidR="0046004D" w:rsidRDefault="00000000">
            <w:r>
              <w:rPr>
                <w:b/>
                <w:bCs/>
                <w:color w:val="FFFFFF"/>
                <w:sz w:val="20"/>
                <w:szCs w:val="20"/>
              </w:rPr>
              <w:t>Pipeline Signal</w:t>
            </w:r>
          </w:p>
        </w:tc>
        <w:tc>
          <w:tcPr>
            <w:tcW w:w="348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11C9283A" w14:textId="77777777" w:rsidR="0046004D" w:rsidRDefault="00000000">
            <w:r>
              <w:rPr>
                <w:b/>
                <w:bCs/>
                <w:color w:val="FFFFFF"/>
                <w:sz w:val="20"/>
                <w:szCs w:val="20"/>
              </w:rPr>
              <w:t>Co-Investment</w:t>
            </w:r>
          </w:p>
        </w:tc>
        <w:tc>
          <w:tcPr>
            <w:tcW w:w="348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6D18FAB4" w14:textId="77777777" w:rsidR="0046004D" w:rsidRDefault="00000000">
            <w:r>
              <w:rPr>
                <w:b/>
                <w:bCs/>
                <w:color w:val="FFFFFF"/>
                <w:sz w:val="20"/>
                <w:szCs w:val="20"/>
              </w:rPr>
              <w:t>SMA</w:t>
            </w:r>
          </w:p>
        </w:tc>
      </w:tr>
      <w:tr w:rsidR="0046004D" w14:paraId="635FE206"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0779D036" w14:textId="77777777" w:rsidR="0046004D" w:rsidRDefault="00000000">
            <w:r>
              <w:rPr>
                <w:sz w:val="20"/>
                <w:szCs w:val="20"/>
              </w:rPr>
              <w:t>Opportunity type</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735509A" w14:textId="77777777" w:rsidR="0046004D" w:rsidRDefault="00000000">
            <w:r>
              <w:rPr>
                <w:sz w:val="20"/>
                <w:szCs w:val="20"/>
              </w:rPr>
              <w:t>Deal allocation — offered against a signed LOI</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03620B80" w14:textId="77777777" w:rsidR="0046004D" w:rsidRDefault="00000000">
            <w:r>
              <w:rPr>
                <w:sz w:val="20"/>
                <w:szCs w:val="20"/>
              </w:rPr>
              <w:t>Mandate negotiation — no deal yet</w:t>
            </w:r>
          </w:p>
        </w:tc>
      </w:tr>
      <w:tr w:rsidR="0046004D" w14:paraId="3E2E37D6"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06EE6AE" w14:textId="77777777" w:rsidR="0046004D" w:rsidRDefault="00000000">
            <w:r>
              <w:rPr>
                <w:sz w:val="20"/>
                <w:szCs w:val="20"/>
              </w:rPr>
              <w:t>Lapses if not taken</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9948DA1" w14:textId="77777777" w:rsidR="0046004D" w:rsidRDefault="00000000">
            <w:r>
              <w:rPr>
                <w:sz w:val="20"/>
                <w:szCs w:val="20"/>
              </w:rPr>
              <w:t>Yes — election window, typically 5–10 days</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30A5367" w14:textId="77777777" w:rsidR="0046004D" w:rsidRDefault="00000000">
            <w:r>
              <w:rPr>
                <w:sz w:val="20"/>
                <w:szCs w:val="20"/>
              </w:rPr>
              <w:t>No — negotiation can extend indefinitely</w:t>
            </w:r>
          </w:p>
        </w:tc>
      </w:tr>
      <w:tr w:rsidR="0046004D" w14:paraId="2C000229"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0E20E709" w14:textId="77777777" w:rsidR="0046004D" w:rsidRDefault="00000000">
            <w:r>
              <w:rPr>
                <w:sz w:val="20"/>
                <w:szCs w:val="20"/>
              </w:rPr>
              <w:t>Conversion trigger</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F4C0A08" w14:textId="77777777" w:rsidR="0046004D" w:rsidRDefault="00000000">
            <w:r>
              <w:rPr>
                <w:sz w:val="20"/>
                <w:szCs w:val="20"/>
              </w:rPr>
              <w:t>GP issues co-invest allocation notice</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3298C81" w14:textId="77777777" w:rsidR="0046004D" w:rsidRDefault="00000000">
            <w:r>
              <w:rPr>
                <w:sz w:val="20"/>
                <w:szCs w:val="20"/>
              </w:rPr>
              <w:t>LP issues RFP or mandate term sheet</w:t>
            </w:r>
          </w:p>
        </w:tc>
      </w:tr>
      <w:tr w:rsidR="0046004D" w14:paraId="2D8B8F96"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75FBBCF" w14:textId="77777777" w:rsidR="0046004D" w:rsidRDefault="00000000">
            <w:r>
              <w:rPr>
                <w:sz w:val="20"/>
                <w:szCs w:val="20"/>
              </w:rPr>
              <w:t>What gets created</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EB4B0AA" w14:textId="77777777" w:rsidR="0046004D" w:rsidRDefault="00000000">
            <w:r>
              <w:rPr>
                <w:sz w:val="20"/>
                <w:szCs w:val="20"/>
              </w:rPr>
              <w:t>Fund → Vehicle → Offering → Commitment (fast)</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4EA5A01" w14:textId="77777777" w:rsidR="0046004D" w:rsidRDefault="00000000">
            <w:r>
              <w:rPr>
                <w:sz w:val="20"/>
                <w:szCs w:val="20"/>
              </w:rPr>
              <w:t>Fund → Vehicle → Offering → Commitment (slow — mandate must be agreed first)</w:t>
            </w:r>
          </w:p>
        </w:tc>
      </w:tr>
    </w:tbl>
    <w:p w14:paraId="5E10424F" w14:textId="77777777" w:rsidR="0046004D" w:rsidRDefault="0046004D">
      <w:pPr>
        <w:spacing w:after="200"/>
      </w:pPr>
    </w:p>
    <w:p w14:paraId="30CCC238" w14:textId="77777777" w:rsidR="0046004D" w:rsidRDefault="0046004D">
      <w:pPr>
        <w:spacing w:after="240"/>
      </w:pPr>
    </w:p>
    <w:p w14:paraId="3A4398F0" w14:textId="77777777" w:rsidR="0046004D" w:rsidRDefault="0046004D">
      <w:pPr>
        <w:pBdr>
          <w:bottom w:val="single" w:sz="6" w:space="0" w:color="D1D9E6"/>
        </w:pBdr>
        <w:spacing w:after="160"/>
      </w:pPr>
    </w:p>
    <w:p w14:paraId="4E4F0AAD" w14:textId="77777777" w:rsidR="0046004D" w:rsidRDefault="00000000">
      <w:pPr>
        <w:spacing w:before="160"/>
        <w:jc w:val="center"/>
      </w:pPr>
      <w:r>
        <w:rPr>
          <w:i/>
          <w:iCs/>
          <w:color w:val="94A3B8"/>
          <w:sz w:val="18"/>
          <w:szCs w:val="18"/>
        </w:rPr>
        <w:t xml:space="preserve">Appendices B, C, D added from session discussion — August 2026 · </w:t>
      </w:r>
      <w:proofErr w:type="spellStart"/>
      <w:r>
        <w:rPr>
          <w:i/>
          <w:iCs/>
          <w:color w:val="94A3B8"/>
          <w:sz w:val="18"/>
          <w:szCs w:val="18"/>
        </w:rPr>
        <w:t>Ontollogix</w:t>
      </w:r>
      <w:proofErr w:type="spellEnd"/>
    </w:p>
    <w:p>
      <w:r>
        <w:br w:type="page"/>
      </w:r>
    </w:p>
    <w:p>
      <w:pPr>
        <w:pStyle w:val="Heading1"/>
        <w:spacing w:after="160" w:before="480"/>
      </w:pPr>
      <w:r>
        <w:t xml:space="preserve">Appendix E  —  Opportunity Pipeline and Fund Assignment</w:t>
      </w:r>
    </w:p>
    <w:p>
      <w:pPr>
        <w:spacing w:after="120" w:before="0"/>
      </w:pPr>
      <w:r>
        <w:rPr>
          <w:rFonts w:ascii="Calibri" w:cs="Calibri" w:eastAsia="Calibri" w:hAnsi="Calibri"/>
          <w:color w:val="4A5568"/>
          <w:sz w:val="22"/>
          <w:szCs w:val="22"/>
        </w:rPr>
        <w:t xml:space="preserve">This appendix documents the full lifecycle of a fundraising opportunity: from initial prospect identification through the pipeline state machine, to the three conversion routes that admit an investor into the fund hierarchy as a committed LP. It covers data model properties and the SHACL constraints that make the pipeline auditable and attribution-safe.</w:t>
      </w:r>
    </w:p>
    <w:p>
      <w:pPr>
        <w:spacing w:after="120" w:before="0"/>
      </w:pPr>
    </w:p>
    <w:p>
      <w:pPr>
        <w:pStyle w:val="Heading2"/>
        <w:spacing w:after="120" w:before="320"/>
      </w:pPr>
      <w:r>
        <w:t xml:space="preserve">E.1  What Is an Opportunity?</w:t>
      </w:r>
    </w:p>
    <w:p>
      <w:pPr>
        <w:spacing w:after="120" w:before="0"/>
      </w:pPr>
      <w:r>
        <w:rPr>
          <w:rFonts w:ascii="Calibri" w:cs="Calibri" w:eastAsia="Calibri" w:hAnsi="Calibri"/>
          <w:color w:val="4A5568"/>
          <w:sz w:val="22"/>
          <w:szCs w:val="22"/>
        </w:rPr>
        <w:t xml:space="preserve">An Opportunity is a pipeline object — an investor, an indicative amount, and a target strategy. It sits beside the Product→Fund hierarchy rather than inside it. Because it is pre-award, it must create nothing in the fund data model until the investor is formally admitted at a FundClose. If Opportunities were permitted to create Vehicles or Offerings, every abandoned prospect would leave a permanent stub in the hierarchy.</w:t>
      </w:r>
    </w:p>
    <w:p>
      <w:pPr>
        <w:spacing w:after="80" w:before="0"/>
      </w:pPr>
    </w:p>
    <w:tbl>
      <w:tblPr>
        <w:tblW w:type="dxa" w:w="9200"/>
        <w:tblBorders>
          <w:top w:val="single" w:color="2B6CB0" w:sz="4"/>
          <w:left w:val="single" w:color="2B6CB0" w:sz="20"/>
          <w:bottom w:val="single" w:color="2B6CB0" w:sz="4"/>
          <w:right w:val="single" w:color="2B6CB0" w:sz="4"/>
          <w:insideH w:val="single" w:color="auto" w:sz="4"/>
          <w:insideV w:val="single" w:color="auto" w:sz="4"/>
        </w:tblBorders>
      </w:tblPr>
      <w:tblGrid>
        <w:gridCol w:w="100"/>
      </w:tblGrid>
      <w:tr>
        <w:tc>
          <w:tcPr>
            <w:shd w:fill="EBF8FF" w:color="auto" w:val="clear"/>
            <w:tcMar>
              <w:top w:type="dxa" w:w="80"/>
              <w:left w:type="dxa" w:w="200"/>
              <w:bottom w:type="dxa" w:w="80"/>
              <w:right w:type="dxa" w:w="200"/>
            </w:tcMar>
          </w:tcPr>
          <w:p>
            <w:pPr>
              <w:spacing w:after="40" w:before="0"/>
            </w:pPr>
            <w:r>
              <w:rPr>
                <w:rFonts w:ascii="Calibri" w:cs="Calibri" w:eastAsia="Calibri" w:hAnsi="Calibri"/>
                <w:b/>
                <w:bCs/>
                <w:color w:val="2B6CB0"/>
                <w:sz w:val="22"/>
                <w:szCs w:val="22"/>
              </w:rPr>
              <w:t xml:space="preserve">Key Principle — Beside the Hierarchy, Not Inside It</w:t>
            </w:r>
          </w:p>
          <w:p>
            <w:pPr>
              <w:spacing w:after="0" w:before="0"/>
            </w:pPr>
            <w:r>
              <w:rPr>
                <w:rFonts w:ascii="Calibri" w:cs="Calibri" w:eastAsia="Calibri" w:hAnsi="Calibri"/>
                <w:color w:val="4A5568"/>
                <w:sz w:val="22"/>
                <w:szCs w:val="22"/>
              </w:rPr>
              <w:t xml:space="preserve">Opportunities reference the hierarchy through typed links (pe:targetProduct, pe:targetFund, pe:targetOffering, pe:targetClose). They never own or contain hierarchy objects. Creation of new hierarchy objects happens only on Routes B and C, and only when the mandate or co-invest allocation is formally approved.</w:t>
            </w:r>
          </w:p>
        </w:tc>
      </w:tr>
    </w:tbl>
    <w:p>
      <w:pPr>
        <w:spacing w:after="200" w:before="0"/>
      </w:pPr>
    </w:p>
    <w:p>
      <w:pPr>
        <w:pStyle w:val="Heading2"/>
        <w:spacing w:after="120" w:before="320"/>
      </w:pPr>
      <w:r>
        <w:t xml:space="preserve">E.2  Opportunity State Machine</w:t>
      </w:r>
    </w:p>
    <w:p>
      <w:pPr>
        <w:spacing w:after="120" w:before="0"/>
      </w:pPr>
      <w:r>
        <w:rPr>
          <w:rFonts w:ascii="Calibri" w:cs="Calibri" w:eastAsia="Calibri" w:hAnsi="Calibri"/>
          <w:color w:val="4A5568"/>
          <w:sz w:val="22"/>
          <w:szCs w:val="22"/>
        </w:rPr>
        <w:t xml:space="preserve">Every Opportunity moves through a defined state machine. States are mutually exclusive and represent distinct operational gates.</w:t>
      </w:r>
    </w:p>
    <w:p>
      <w:pPr>
        <w:spacing w:after="80" w:before="0"/>
      </w:pPr>
    </w:p>
    <w:tbl>
      <w:tblPr>
        <w:tblW w:type="dxa" w:w="8200"/>
        <w:tblBorders>
          <w:top w:val="single" w:color="CBD5E0" w:sz="4"/>
          <w:left w:val="single" w:color="CBD5E0" w:sz="4"/>
          <w:bottom w:val="single" w:color="CBD5E0" w:sz="4"/>
          <w:right w:val="single" w:color="CBD5E0" w:sz="4"/>
          <w:insideH w:val="single" w:color="auto" w:sz="4"/>
          <w:insideV w:val="single" w:color="auto" w:sz="4"/>
        </w:tblBorders>
      </w:tblPr>
      <w:tblGrid>
        <w:gridCol w:w="1200"/>
        <w:gridCol w:w="1400"/>
        <w:gridCol w:w="3000"/>
        <w:gridCol w:w="2600"/>
      </w:tblGrid>
      <w:tr>
        <w:trPr>
          <w:tblHeader/>
        </w:trPr>
        <w:tc>
          <w:tcPr>
            <w:tcW w:type="dxa" w:w="12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State</w:t>
            </w:r>
          </w:p>
        </w:tc>
        <w:tc>
          <w:tcPr>
            <w:tcW w:type="dxa" w:w="14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pe:opportunityStatus</w:t>
            </w:r>
          </w:p>
        </w:tc>
        <w:tc>
          <w:tcPr>
            <w:tcW w:type="dxa" w:w="30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Operational meaning</w:t>
            </w:r>
          </w:p>
        </w:tc>
        <w:tc>
          <w:tcPr>
            <w:tcW w:type="dxa" w:w="26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Key gate</w:t>
            </w:r>
          </w:p>
        </w:tc>
      </w:tr>
      <w:tr>
        <w:tc>
          <w:tcPr>
            <w:tcW w:type="dxa" w:w="12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Prospect</w:t>
            </w:r>
          </w:p>
        </w:tc>
        <w:tc>
          <w:tcPr>
            <w:tcW w:type="dxa" w:w="14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ref:Prospect</w:t>
            </w:r>
          </w:p>
        </w:tc>
        <w:tc>
          <w:tcPr>
            <w:tcW w:type="dxa" w:w="3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Investor identified. No written indication.</w:t>
            </w:r>
          </w:p>
        </w:tc>
        <w:tc>
          <w:tcPr>
            <w:tcW w:type="dxa" w:w="26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Coverage assignment confirmed</w:t>
            </w:r>
          </w:p>
        </w:tc>
      </w:tr>
      <w:tr>
        <w:tc>
          <w:tcPr>
            <w:tcW w:type="dxa" w:w="12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Soft circle</w:t>
            </w:r>
          </w:p>
        </w:tc>
        <w:tc>
          <w:tcPr>
            <w:tcW w:type="dxa" w:w="14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ref:SoftCircle</w:t>
            </w:r>
          </w:p>
        </w:tc>
        <w:tc>
          <w:tcPr>
            <w:tcW w:type="dxa" w:w="3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Verbal indication of interest. Amount tentative.</w:t>
            </w:r>
          </w:p>
        </w:tc>
        <w:tc>
          <w:tcPr>
            <w:tcW w:type="dxa" w:w="26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RM records verbal confirmation</w:t>
            </w:r>
          </w:p>
        </w:tc>
      </w:tr>
      <w:tr>
        <w:tc>
          <w:tcPr>
            <w:tcW w:type="dxa" w:w="12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Indicated</w:t>
            </w:r>
          </w:p>
        </w:tc>
        <w:tc>
          <w:tcPr>
            <w:tcW w:type="dxa" w:w="14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ref:Indicated</w:t>
            </w:r>
          </w:p>
        </w:tc>
        <w:tc>
          <w:tcPr>
            <w:tcW w:type="dxa" w:w="3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Written IOI received. Amount confirmed. KYC started.</w:t>
            </w:r>
          </w:p>
        </w:tc>
        <w:tc>
          <w:tcPr>
            <w:tcW w:type="dxa" w:w="26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Written IOI on file; route A/B/C determined</w:t>
            </w:r>
          </w:p>
        </w:tc>
      </w:tr>
      <w:tr>
        <w:tc>
          <w:tcPr>
            <w:tcW w:type="dxa" w:w="12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Docs out</w:t>
            </w:r>
          </w:p>
        </w:tc>
        <w:tc>
          <w:tcPr>
            <w:tcW w:type="dxa" w:w="14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ref:DocsOut</w:t>
            </w:r>
          </w:p>
        </w:tc>
        <w:tc>
          <w:tcPr>
            <w:tcW w:type="dxa" w:w="3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Subscription documents issued. LP reviewing.</w:t>
            </w:r>
          </w:p>
        </w:tc>
        <w:tc>
          <w:tcPr>
            <w:tcW w:type="dxa" w:w="26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Offering and target FundClose locked</w:t>
            </w:r>
          </w:p>
        </w:tc>
      </w:tr>
      <w:tr>
        <w:tc>
          <w:tcPr>
            <w:tcW w:type="dxa" w:w="12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Signed</w:t>
            </w:r>
          </w:p>
        </w:tc>
        <w:tc>
          <w:tcPr>
            <w:tcW w:type="dxa" w:w="14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ref:Signed</w:t>
            </w:r>
          </w:p>
        </w:tc>
        <w:tc>
          <w:tcPr>
            <w:tcW w:type="dxa" w:w="3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Sub docs signed by LP. Awaiting admission at FundClose.</w:t>
            </w:r>
          </w:p>
        </w:tc>
        <w:tc>
          <w:tcPr>
            <w:tcW w:type="dxa" w:w="26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Executed sub docs on file</w:t>
            </w:r>
          </w:p>
        </w:tc>
      </w:tr>
      <w:tr>
        <w:tc>
          <w:tcPr>
            <w:tcW w:type="dxa" w:w="12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Won</w:t>
            </w:r>
          </w:p>
        </w:tc>
        <w:tc>
          <w:tcPr>
            <w:tcW w:type="dxa" w:w="14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ref:Won</w:t>
            </w:r>
          </w:p>
        </w:tc>
        <w:tc>
          <w:tcPr>
            <w:tcW w:type="dxa" w:w="3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LP admitted at a FundClose. pe:Commitment created.</w:t>
            </w:r>
          </w:p>
        </w:tc>
        <w:tc>
          <w:tcPr>
            <w:tcW w:type="dxa" w:w="26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commitmentDate = FundClose.closeDate</w:t>
            </w:r>
          </w:p>
        </w:tc>
      </w:tr>
      <w:tr>
        <w:tc>
          <w:tcPr>
            <w:tcW w:type="dxa" w:w="12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Withdrawn</w:t>
            </w:r>
          </w:p>
        </w:tc>
        <w:tc>
          <w:tcPr>
            <w:tcW w:type="dxa" w:w="14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ref:Withdrawn</w:t>
            </w:r>
          </w:p>
        </w:tc>
        <w:tc>
          <w:tcPr>
            <w:tcW w:type="dxa" w:w="3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LP withdrew before admission.</w:t>
            </w:r>
          </w:p>
        </w:tc>
        <w:tc>
          <w:tcPr>
            <w:tcW w:type="dxa" w:w="26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Terminal state — record retained</w:t>
            </w:r>
          </w:p>
        </w:tc>
      </w:tr>
      <w:tr>
        <w:tc>
          <w:tcPr>
            <w:tcW w:type="dxa" w:w="12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Declined</w:t>
            </w:r>
          </w:p>
        </w:tc>
        <w:tc>
          <w:tcPr>
            <w:tcW w:type="dxa" w:w="14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ref:Declined</w:t>
            </w:r>
          </w:p>
        </w:tc>
        <w:tc>
          <w:tcPr>
            <w:tcW w:type="dxa" w:w="3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Process terminated; LP or GP declined.</w:t>
            </w:r>
          </w:p>
        </w:tc>
        <w:tc>
          <w:tcPr>
            <w:tcW w:type="dxa" w:w="26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Terminal state — record retained</w:t>
            </w:r>
          </w:p>
        </w:tc>
      </w:tr>
      <w:tr>
        <w:tc>
          <w:tcPr>
            <w:tcW w:type="dxa" w:w="12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On hold</w:t>
            </w:r>
          </w:p>
        </w:tc>
        <w:tc>
          <w:tcPr>
            <w:tcW w:type="dxa" w:w="14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ref:OnHold</w:t>
            </w:r>
          </w:p>
        </w:tc>
        <w:tc>
          <w:tcPr>
            <w:tcW w:type="dxa" w:w="3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Process paused. Not terminal.</w:t>
            </w:r>
          </w:p>
        </w:tc>
        <w:tc>
          <w:tcPr>
            <w:tcW w:type="dxa" w:w="26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Resume date recorded</w:t>
            </w:r>
          </w:p>
        </w:tc>
      </w:tr>
    </w:tbl>
    <w:p>
      <w:pPr>
        <w:spacing w:after="80" w:before="0"/>
      </w:pPr>
    </w:p>
    <w:tbl>
      <w:tblPr>
        <w:tblW w:type="dxa" w:w="9200"/>
        <w:tblBorders>
          <w:top w:val="single" w:color="C05621" w:sz="4"/>
          <w:left w:val="single" w:color="C05621" w:sz="20"/>
          <w:bottom w:val="single" w:color="C05621" w:sz="4"/>
          <w:right w:val="single" w:color="C05621" w:sz="4"/>
          <w:insideH w:val="single" w:color="auto" w:sz="4"/>
          <w:insideV w:val="single" w:color="auto" w:sz="4"/>
        </w:tblBorders>
      </w:tblPr>
      <w:tblGrid>
        <w:gridCol w:w="100"/>
      </w:tblGrid>
      <w:tr>
        <w:tc>
          <w:tcPr>
            <w:shd w:fill="FFFAF0" w:color="auto" w:val="clear"/>
            <w:tcMar>
              <w:top w:type="dxa" w:w="80"/>
              <w:left w:type="dxa" w:w="200"/>
              <w:bottom w:type="dxa" w:w="80"/>
              <w:right w:type="dxa" w:w="200"/>
            </w:tcMar>
          </w:tcPr>
          <w:p>
            <w:pPr>
              <w:spacing w:after="40" w:before="0"/>
            </w:pPr>
            <w:r>
              <w:rPr>
                <w:rFonts w:ascii="Calibri" w:cs="Calibri" w:eastAsia="Calibri" w:hAnsi="Calibri"/>
                <w:b/>
                <w:bCs/>
                <w:color w:val="C05621"/>
                <w:sz w:val="22"/>
                <w:szCs w:val="22"/>
              </w:rPr>
              <w:t xml:space="preserve">Warning — Signed ≠ Committed</w:t>
            </w:r>
          </w:p>
          <w:p>
            <w:pPr>
              <w:spacing w:after="0" w:before="0"/>
            </w:pPr>
            <w:r>
              <w:rPr>
                <w:rFonts w:ascii="Calibri" w:cs="Calibri" w:eastAsia="Calibri" w:hAnsi="Calibri"/>
                <w:color w:val="4A5568"/>
                <w:sz w:val="22"/>
                <w:szCs w:val="22"/>
              </w:rPr>
              <w:t xml:space="preserve">A signed subscription document does not create a Commitment. Nothing exists in the fund data until the investor is admitted at a FundClose. pe:subscriptionDate is the signature date; pe:commitmentDate is the admission date. These are routinely 2–6 weeks apart. Conflating them causes capital accounts and close records to reflect different moments in time.</w:t>
            </w:r>
          </w:p>
        </w:tc>
      </w:tr>
    </w:tbl>
    <w:p>
      <w:pPr>
        <w:spacing w:after="200" w:before="0"/>
      </w:pPr>
    </w:p>
    <w:p>
      <w:pPr>
        <w:pStyle w:val="Heading2"/>
        <w:spacing w:after="120" w:before="320"/>
      </w:pPr>
      <w:r>
        <w:t xml:space="preserve">E.3  Three Conversion Routes</w:t>
      </w:r>
    </w:p>
    <w:p>
      <w:pPr>
        <w:spacing w:after="120" w:before="0"/>
      </w:pPr>
      <w:r>
        <w:rPr>
          <w:rFonts w:ascii="Calibri" w:cs="Calibri" w:eastAsia="Calibri" w:hAnsi="Calibri"/>
          <w:color w:val="4A5568"/>
          <w:sz w:val="22"/>
          <w:szCs w:val="22"/>
        </w:rPr>
        <w:t xml:space="preserve">All Opportunities convert to Commitments through one of three routes. The route is determined at the Indicated stage and governs how much of the hierarchy must be built before subscription documents can be issued.</w:t>
      </w:r>
    </w:p>
    <w:p>
      <w:pPr>
        <w:spacing w:after="120" w:before="0"/>
      </w:pPr>
    </w:p>
    <w:p>
      <w:pPr>
        <w:spacing w:after="80" w:before="200"/>
      </w:pPr>
      <w:r>
        <w:rPr>
          <w:rFonts w:ascii="Calibri" w:cs="Calibri" w:eastAsia="Calibri" w:hAnsi="Calibri"/>
          <w:b/>
          <w:bCs/>
          <w:color w:val="1B2A4A"/>
          <w:sz w:val="24"/>
          <w:szCs w:val="24"/>
        </w:rPr>
        <w:t xml:space="preserve">Route A — Reuse (subscribe into an existing share class)</w:t>
      </w:r>
    </w:p>
    <w:p>
      <w:pPr>
        <w:spacing w:after="120" w:before="0"/>
      </w:pPr>
      <w:r>
        <w:rPr>
          <w:rFonts w:ascii="Calibri" w:cs="Calibri" w:eastAsia="Calibri" w:hAnsi="Calibri"/>
          <w:color w:val="4A5568"/>
          <w:sz w:val="22"/>
          <w:szCs w:val="22"/>
        </w:rPr>
        <w:t xml:space="preserve">Applicable when the LP subscribes to an Offering that already exists on an existing Vehicle of an existing Fund. No new hierarchy objects are created. Fastest path — typical elapsed time from Docs Out to admission is 10–14 days.</w:t>
      </w:r>
    </w:p>
    <w:p>
      <w:pPr>
        <w:pStyle w:val="ListParagraph"/>
        <w:numPr>
          <w:ilvl w:val="0"/>
          <w:numId w:val="1"/>
        </w:numPr>
        <w:spacing w:after="80" w:before="0"/>
      </w:pPr>
      <w:r>
        <w:rPr>
          <w:rFonts w:ascii="Calibri" w:cs="Calibri" w:eastAsia="Calibri" w:hAnsi="Calibri"/>
          <w:color w:val="4A5568"/>
          <w:sz w:val="22"/>
          <w:szCs w:val="22"/>
        </w:rPr>
        <w:t xml:space="preserve">pe:targetProduct, pe:targetFund, pe:targetOffering all already exist in the model</w:t>
      </w:r>
    </w:p>
    <w:p>
      <w:pPr>
        <w:pStyle w:val="ListParagraph"/>
        <w:numPr>
          <w:ilvl w:val="0"/>
          <w:numId w:val="1"/>
        </w:numPr>
        <w:spacing w:after="80" w:before="0"/>
      </w:pPr>
      <w:r>
        <w:rPr>
          <w:rFonts w:ascii="Calibri" w:cs="Calibri" w:eastAsia="Calibri" w:hAnsi="Calibri"/>
          <w:color w:val="4A5568"/>
          <w:sz w:val="22"/>
          <w:szCs w:val="22"/>
        </w:rPr>
        <w:t xml:space="preserve">Sub docs issued referencing the exact existing Offering</w:t>
      </w:r>
    </w:p>
    <w:p>
      <w:pPr>
        <w:pStyle w:val="ListParagraph"/>
        <w:numPr>
          <w:ilvl w:val="0"/>
          <w:numId w:val="1"/>
        </w:numPr>
        <w:spacing w:after="80" w:before="0"/>
      </w:pPr>
      <w:r>
        <w:rPr>
          <w:rFonts w:ascii="Calibri" w:cs="Calibri" w:eastAsia="Calibri" w:hAnsi="Calibri"/>
          <w:color w:val="4A5568"/>
          <w:sz w:val="22"/>
          <w:szCs w:val="22"/>
        </w:rPr>
        <w:t xml:space="preserve">LP signs → awaits next FundClose → admitted → pe:Commitment created</w:t>
      </w:r>
    </w:p>
    <w:p>
      <w:pPr>
        <w:spacing w:after="120" w:before="0"/>
      </w:pPr>
    </w:p>
    <w:p>
      <w:pPr>
        <w:spacing w:after="80" w:before="200"/>
      </w:pPr>
      <w:r>
        <w:rPr>
          <w:rFonts w:ascii="Calibri" w:cs="Calibri" w:eastAsia="Calibri" w:hAnsi="Calibri"/>
          <w:b/>
          <w:bCs/>
          <w:color w:val="1B2A4A"/>
          <w:sz w:val="24"/>
          <w:szCs w:val="24"/>
        </w:rPr>
        <w:t xml:space="preserve">Route B — Mint (new co-investment vehicle)</w:t>
      </w:r>
    </w:p>
    <w:p>
      <w:pPr>
        <w:spacing w:after="120" w:before="0"/>
      </w:pPr>
      <w:r>
        <w:rPr>
          <w:rFonts w:ascii="Calibri" w:cs="Calibri" w:eastAsia="Calibri" w:hAnsi="Calibri"/>
          <w:color w:val="4A5568"/>
          <w:sz w:val="22"/>
          <w:szCs w:val="22"/>
        </w:rPr>
        <w:t xml:space="preserve">Applicable when the GP offers LP(s) co-investment alongside the main fund. A new CoInvestmentFund is created as a sibling under the same Product. Median elapsed time from Indicated to admission: ~12 days.</w:t>
      </w:r>
    </w:p>
    <w:p>
      <w:pPr>
        <w:pStyle w:val="ListParagraph"/>
        <w:numPr>
          <w:ilvl w:val="0"/>
          <w:numId w:val="1"/>
        </w:numPr>
        <w:spacing w:after="80" w:before="0"/>
      </w:pPr>
      <w:r>
        <w:rPr>
          <w:rFonts w:ascii="Calibri" w:cs="Calibri" w:eastAsia="Calibri" w:hAnsi="Calibri"/>
          <w:color w:val="4A5568"/>
          <w:sz w:val="22"/>
          <w:szCs w:val="22"/>
        </w:rPr>
        <w:t xml:space="preserve">New Fund + Vehicle + Offering minted before sub docs can be issued</w:t>
      </w:r>
    </w:p>
    <w:p>
      <w:pPr>
        <w:pStyle w:val="ListParagraph"/>
        <w:numPr>
          <w:ilvl w:val="0"/>
          <w:numId w:val="1"/>
        </w:numPr>
        <w:spacing w:after="80" w:before="0"/>
      </w:pPr>
      <w:r>
        <w:rPr>
          <w:rFonts w:ascii="Calibri" w:cs="Calibri" w:eastAsia="Calibri" w:hAnsi="Calibri"/>
          <w:color w:val="4A5568"/>
          <w:sz w:val="22"/>
          <w:szCs w:val="22"/>
        </w:rPr>
        <w:t xml:space="preserve">pe:coInvestsIn links the new Fund to the named PortfolioCompany asset</w:t>
      </w:r>
    </w:p>
    <w:p>
      <w:pPr>
        <w:pStyle w:val="ListParagraph"/>
        <w:numPr>
          <w:ilvl w:val="0"/>
          <w:numId w:val="1"/>
        </w:numPr>
        <w:spacing w:after="80" w:before="0"/>
      </w:pPr>
      <w:r>
        <w:rPr>
          <w:rFonts w:ascii="Calibri" w:cs="Calibri" w:eastAsia="Calibri" w:hAnsi="Calibri"/>
          <w:color w:val="4A5568"/>
          <w:sz w:val="22"/>
          <w:szCs w:val="22"/>
        </w:rPr>
        <w:t xml:space="preserve">pe:coInvestsAlongside links the new Fund to the main Fund</w:t>
      </w:r>
    </w:p>
    <w:p>
      <w:pPr>
        <w:pStyle w:val="ListParagraph"/>
        <w:numPr>
          <w:ilvl w:val="0"/>
          <w:numId w:val="1"/>
        </w:numPr>
        <w:spacing w:after="80" w:before="0"/>
      </w:pPr>
      <w:r>
        <w:rPr>
          <w:rFonts w:ascii="Calibri" w:cs="Calibri" w:eastAsia="Calibri" w:hAnsi="Calibri"/>
          <w:color w:val="4A5568"/>
          <w:sz w:val="22"/>
          <w:szCs w:val="22"/>
        </w:rPr>
        <w:t xml:space="preserve">Election window typically 5–10 business days; lapses are irrevocable</w:t>
      </w:r>
    </w:p>
    <w:p>
      <w:pPr>
        <w:spacing w:after="80" w:before="0"/>
      </w:pPr>
    </w:p>
    <w:tbl>
      <w:tblPr>
        <w:tblW w:type="dxa" w:w="9200"/>
        <w:tblBorders>
          <w:top w:val="single" w:color="C53030" w:sz="4"/>
          <w:left w:val="single" w:color="C53030" w:sz="20"/>
          <w:bottom w:val="single" w:color="C53030" w:sz="4"/>
          <w:right w:val="single" w:color="C53030" w:sz="4"/>
          <w:insideH w:val="single" w:color="auto" w:sz="4"/>
          <w:insideV w:val="single" w:color="auto" w:sz="4"/>
        </w:tblBorders>
      </w:tblPr>
      <w:tblGrid>
        <w:gridCol w:w="100"/>
      </w:tblGrid>
      <w:tr>
        <w:tc>
          <w:tcPr>
            <w:shd w:fill="FFF5F5" w:color="auto" w:val="clear"/>
            <w:tcMar>
              <w:top w:type="dxa" w:w="80"/>
              <w:left w:type="dxa" w:w="200"/>
              <w:bottom w:type="dxa" w:w="80"/>
              <w:right w:type="dxa" w:w="200"/>
            </w:tcMar>
          </w:tcPr>
          <w:p>
            <w:pPr>
              <w:spacing w:after="40" w:before="0"/>
            </w:pPr>
            <w:r>
              <w:rPr>
                <w:rFonts w:ascii="Calibri" w:cs="Calibri" w:eastAsia="Calibri" w:hAnsi="Calibri"/>
                <w:b/>
                <w:bCs/>
                <w:color w:val="C53030"/>
                <w:sz w:val="22"/>
                <w:szCs w:val="22"/>
              </w:rPr>
              <w:t xml:space="preserve">Route B Load-Bearing Constraint</w:t>
            </w:r>
          </w:p>
          <w:p>
            <w:pPr>
              <w:spacing w:after="0" w:before="0"/>
            </w:pPr>
            <w:r>
              <w:rPr>
                <w:rFonts w:ascii="Calibri" w:cs="Calibri" w:eastAsia="Calibri" w:hAnsi="Calibri"/>
                <w:color w:val="4A5568"/>
                <w:sz w:val="22"/>
                <w:szCs w:val="22"/>
              </w:rPr>
              <w:t xml:space="preserve">pe:coInvestsIn (the named asset) must also appear in pe:holdsInvestment on the alongside Fund. A co-investment vehicle naming an asset the main fund does not hold is not co-investing — it is a standalone fund with the wrong governance, wrong fee schedule, and wrong carried interest basis.</w:t>
            </w:r>
          </w:p>
        </w:tc>
      </w:tr>
    </w:tbl>
    <w:p>
      <w:pPr>
        <w:spacing w:after="120" w:before="0"/>
      </w:pPr>
    </w:p>
    <w:p>
      <w:pPr>
        <w:spacing w:after="80" w:before="200"/>
      </w:pPr>
      <w:r>
        <w:rPr>
          <w:rFonts w:ascii="Calibri" w:cs="Calibri" w:eastAsia="Calibri" w:hAnsi="Calibri"/>
          <w:b/>
          <w:bCs/>
          <w:color w:val="1B2A4A"/>
          <w:sz w:val="24"/>
          <w:szCs w:val="24"/>
        </w:rPr>
        <w:t xml:space="preserve">Route C — Mint (new SMA or bespoke fund)</w:t>
      </w:r>
    </w:p>
    <w:p>
      <w:pPr>
        <w:spacing w:after="120" w:before="0"/>
      </w:pPr>
      <w:r>
        <w:rPr>
          <w:rFonts w:ascii="Calibri" w:cs="Calibri" w:eastAsia="Calibri" w:hAnsi="Calibri"/>
          <w:color w:val="4A5568"/>
          <w:sz w:val="22"/>
          <w:szCs w:val="22"/>
        </w:rPr>
        <w:t xml:space="preserve">Applicable when an LP issues a mandate or RFP requesting a dedicated separately managed account. A new SeparatelyManagedAccount is created as a sibling under the same Product. Median elapsed time from Indicated to admission: ~47 days.</w:t>
      </w:r>
    </w:p>
    <w:p>
      <w:pPr>
        <w:pStyle w:val="ListParagraph"/>
        <w:numPr>
          <w:ilvl w:val="0"/>
          <w:numId w:val="1"/>
        </w:numPr>
        <w:spacing w:after="80" w:before="0"/>
      </w:pPr>
      <w:r>
        <w:rPr>
          <w:rFonts w:ascii="Calibri" w:cs="Calibri" w:eastAsia="Calibri" w:hAnsi="Calibri"/>
          <w:color w:val="4A5568"/>
          <w:sz w:val="22"/>
          <w:szCs w:val="22"/>
        </w:rPr>
        <w:t xml:space="preserve">Mandate terms negotiated (typically weeks to months) before Fund is minted</w:t>
      </w:r>
    </w:p>
    <w:p>
      <w:pPr>
        <w:pStyle w:val="ListParagraph"/>
        <w:numPr>
          <w:ilvl w:val="0"/>
          <w:numId w:val="1"/>
        </w:numPr>
        <w:spacing w:after="80" w:before="0"/>
      </w:pPr>
      <w:r>
        <w:rPr>
          <w:rFonts w:ascii="Calibri" w:cs="Calibri" w:eastAsia="Calibri" w:hAnsi="Calibri"/>
          <w:color w:val="4A5568"/>
          <w:sz w:val="22"/>
          <w:szCs w:val="22"/>
        </w:rPr>
        <w:t xml:space="preserve">pe:fundInitiatedBy = the LP that issued the mandate</w:t>
      </w:r>
    </w:p>
    <w:p>
      <w:pPr>
        <w:pStyle w:val="ListParagraph"/>
        <w:numPr>
          <w:ilvl w:val="0"/>
          <w:numId w:val="1"/>
        </w:numPr>
        <w:spacing w:after="80" w:before="0"/>
      </w:pPr>
      <w:r>
        <w:rPr>
          <w:rFonts w:ascii="Calibri" w:cs="Calibri" w:eastAsia="Calibri" w:hAnsi="Calibri"/>
          <w:color w:val="4A5568"/>
          <w:sz w:val="22"/>
          <w:szCs w:val="22"/>
        </w:rPr>
        <w:t xml:space="preserve">No portfolio company asset is named at inception</w:t>
      </w:r>
    </w:p>
    <w:p>
      <w:pPr>
        <w:spacing w:after="80" w:before="0"/>
      </w:pPr>
    </w:p>
    <w:tbl>
      <w:tblPr>
        <w:tblW w:type="dxa" w:w="9200"/>
        <w:tblBorders>
          <w:top w:val="single" w:color="805AD5" w:sz="4"/>
          <w:left w:val="single" w:color="805AD5" w:sz="20"/>
          <w:bottom w:val="single" w:color="805AD5" w:sz="4"/>
          <w:right w:val="single" w:color="805AD5" w:sz="4"/>
          <w:insideH w:val="single" w:color="auto" w:sz="4"/>
          <w:insideV w:val="single" w:color="auto" w:sz="4"/>
        </w:tblBorders>
      </w:tblPr>
      <w:tblGrid>
        <w:gridCol w:w="100"/>
      </w:tblGrid>
      <w:tr>
        <w:tc>
          <w:tcPr>
            <w:shd w:fill="FAF5FF" w:color="auto" w:val="clear"/>
            <w:tcMar>
              <w:top w:type="dxa" w:w="80"/>
              <w:left w:type="dxa" w:w="200"/>
              <w:bottom w:type="dxa" w:w="80"/>
              <w:right w:type="dxa" w:w="200"/>
            </w:tcMar>
          </w:tcPr>
          <w:p>
            <w:pPr>
              <w:spacing w:after="40" w:before="0"/>
            </w:pPr>
            <w:r>
              <w:rPr>
                <w:rFonts w:ascii="Calibri" w:cs="Calibri" w:eastAsia="Calibri" w:hAnsi="Calibri"/>
                <w:b/>
                <w:bCs/>
                <w:color w:val="805AD5"/>
                <w:sz w:val="22"/>
                <w:szCs w:val="22"/>
              </w:rPr>
              <w:t xml:space="preserve">Route C Constraint — Exactly One Investor</w:t>
            </w:r>
          </w:p>
          <w:p>
            <w:pPr>
              <w:spacing w:after="0" w:before="0"/>
            </w:pPr>
            <w:r>
              <w:rPr>
                <w:rFonts w:ascii="Calibri" w:cs="Calibri" w:eastAsia="Calibri" w:hAnsi="Calibri"/>
                <w:color w:val="4A5568"/>
                <w:sz w:val="22"/>
                <w:szCs w:val="22"/>
              </w:rPr>
              <w:t xml:space="preserve">pe:maxInvestorCount = 1 is enforced on every SeparatelyManagedAccount. A second investor transforms the vehicle into a commingled fund with different regulatory treatment, fee disclosure obligations, and governance. This is a definitional rule enforced via SHACL sh:maxCount 1 on pe:commitment scoped to the SMA class.</w:t>
            </w:r>
          </w:p>
        </w:tc>
      </w:tr>
    </w:tbl>
    <w:p>
      <w:pPr>
        <w:spacing w:after="200" w:before="0"/>
      </w:pPr>
    </w:p>
    <w:p>
      <w:pPr>
        <w:pStyle w:val="Heading2"/>
        <w:spacing w:after="120" w:before="320"/>
      </w:pPr>
      <w:r>
        <w:t xml:space="preserve">E.4  Product and Fund Assignment Along the Pipeline</w:t>
      </w:r>
    </w:p>
    <w:p>
      <w:pPr>
        <w:spacing w:after="120" w:before="0"/>
      </w:pPr>
      <w:r>
        <w:rPr>
          <w:rFonts w:ascii="Calibri" w:cs="Calibri" w:eastAsia="Calibri" w:hAnsi="Calibri"/>
          <w:color w:val="4A5568"/>
          <w:sz w:val="22"/>
          <w:szCs w:val="22"/>
        </w:rPr>
        <w:t xml:space="preserve">Assignment of hierarchy objects to an Opportunity happens in two steps at different stages. The Product is assigned early; Fund and Offering are confirmed only when the route is determined.</w:t>
      </w:r>
    </w:p>
    <w:p>
      <w:pPr>
        <w:spacing w:after="80" w:before="0"/>
      </w:pPr>
    </w:p>
    <w:tbl>
      <w:tblPr>
        <w:tblW w:type="dxa" w:w="8200"/>
        <w:tblBorders>
          <w:top w:val="single" w:color="CBD5E0" w:sz="4"/>
          <w:left w:val="single" w:color="CBD5E0" w:sz="4"/>
          <w:bottom w:val="single" w:color="CBD5E0" w:sz="4"/>
          <w:right w:val="single" w:color="CBD5E0" w:sz="4"/>
          <w:insideH w:val="single" w:color="auto" w:sz="4"/>
          <w:insideV w:val="single" w:color="auto" w:sz="4"/>
        </w:tblBorders>
      </w:tblPr>
      <w:tblGrid>
        <w:gridCol w:w="1400"/>
        <w:gridCol w:w="1700"/>
        <w:gridCol w:w="3000"/>
        <w:gridCol w:w="2100"/>
      </w:tblGrid>
      <w:tr>
        <w:trPr>
          <w:tblHeader/>
        </w:trPr>
        <w:tc>
          <w:tcPr>
            <w:tcW w:type="dxa" w:w="14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Stage</w:t>
            </w:r>
          </w:p>
        </w:tc>
        <w:tc>
          <w:tcPr>
            <w:tcW w:type="dxa" w:w="17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Field assigned</w:t>
            </w:r>
          </w:p>
        </w:tc>
        <w:tc>
          <w:tcPr>
            <w:tcW w:type="dxa" w:w="30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Object assigned</w:t>
            </w:r>
          </w:p>
        </w:tc>
        <w:tc>
          <w:tcPr>
            <w:tcW w:type="dxa" w:w="21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Mutable after?</w:t>
            </w:r>
          </w:p>
        </w:tc>
      </w:tr>
      <w:tr>
        <w:tc>
          <w:tcPr>
            <w:tcW w:type="dxa" w:w="14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Prospect</w:t>
            </w:r>
          </w:p>
        </w:tc>
        <w:tc>
          <w:tcPr>
            <w:tcW w:type="dxa" w:w="17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pe:targetProduct</w:t>
            </w:r>
          </w:p>
        </w:tc>
        <w:tc>
          <w:tcPr>
            <w:tcW w:type="dxa" w:w="3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pe:Product — strategy family</w:t>
            </w:r>
          </w:p>
        </w:tc>
        <w:tc>
          <w:tcPr>
            <w:tcW w:type="dxa" w:w="21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Rarely; requires manager approval</w:t>
            </w:r>
          </w:p>
        </w:tc>
      </w:tr>
      <w:tr>
        <w:tc>
          <w:tcPr>
            <w:tcW w:type="dxa" w:w="14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Soft circle</w:t>
            </w:r>
          </w:p>
        </w:tc>
        <w:tc>
          <w:tcPr>
            <w:tcW w:type="dxa" w:w="17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pe:indicativeAmount</w:t>
            </w:r>
          </w:p>
        </w:tc>
        <w:tc>
          <w:tcPr>
            <w:tcW w:type="dxa" w:w="3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xsd:decimal — soft, not binding</w:t>
            </w:r>
          </w:p>
        </w:tc>
        <w:tc>
          <w:tcPr>
            <w:tcW w:type="dxa" w:w="21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Yes — updated freely</w:t>
            </w:r>
          </w:p>
        </w:tc>
      </w:tr>
      <w:tr>
        <w:tc>
          <w:tcPr>
            <w:tcW w:type="dxa" w:w="14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Indicated</w:t>
            </w:r>
          </w:p>
        </w:tc>
        <w:tc>
          <w:tcPr>
            <w:tcW w:type="dxa" w:w="17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pe:targetFund</w:t>
            </w:r>
          </w:p>
        </w:tc>
        <w:tc>
          <w:tcPr>
            <w:tcW w:type="dxa" w:w="3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pe:Fund — vintage, term, commitment period</w:t>
            </w:r>
          </w:p>
        </w:tc>
        <w:tc>
          <w:tcPr>
            <w:tcW w:type="dxa" w:w="21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Locked; for B/C the Fund is created here</w:t>
            </w:r>
          </w:p>
        </w:tc>
      </w:tr>
      <w:tr>
        <w:tc>
          <w:tcPr>
            <w:tcW w:type="dxa" w:w="14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Docs out</w:t>
            </w:r>
          </w:p>
        </w:tc>
        <w:tc>
          <w:tcPr>
            <w:tcW w:type="dxa" w:w="17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pe:targetOffering</w:t>
            </w:r>
          </w:p>
        </w:tc>
        <w:tc>
          <w:tcPr>
            <w:tcW w:type="dxa" w:w="3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pe:Offering — share class, currency, minimum</w:t>
            </w:r>
          </w:p>
        </w:tc>
        <w:tc>
          <w:tcPr>
            <w:tcW w:type="dxa" w:w="21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Locked; sub docs reference the exact Offering</w:t>
            </w:r>
          </w:p>
        </w:tc>
      </w:tr>
      <w:tr>
        <w:tc>
          <w:tcPr>
            <w:tcW w:type="dxa" w:w="14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Docs out</w:t>
            </w:r>
          </w:p>
        </w:tc>
        <w:tc>
          <w:tcPr>
            <w:tcW w:type="dxa" w:w="17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pe:targetClose</w:t>
            </w:r>
          </w:p>
        </w:tc>
        <w:tc>
          <w:tcPr>
            <w:tcW w:type="dxa" w:w="3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pe:FundClose — which close LP is targeting</w:t>
            </w:r>
          </w:p>
        </w:tc>
        <w:tc>
          <w:tcPr>
            <w:tcW w:type="dxa" w:w="21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Can move to a later close</w:t>
            </w:r>
          </w:p>
        </w:tc>
      </w:tr>
      <w:tr>
        <w:tc>
          <w:tcPr>
            <w:tcW w:type="dxa" w:w="14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Won</w:t>
            </w:r>
          </w:p>
        </w:tc>
        <w:tc>
          <w:tcPr>
            <w:tcW w:type="dxa" w:w="17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pe:committedAmount</w:t>
            </w:r>
          </w:p>
        </w:tc>
        <w:tc>
          <w:tcPr>
            <w:tcW w:type="dxa" w:w="3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xsd:decimal on pe:Commitment — legal amount</w:t>
            </w:r>
          </w:p>
        </w:tc>
        <w:tc>
          <w:tcPr>
            <w:tcW w:type="dxa" w:w="21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Immutable — LPA-bound</w:t>
            </w:r>
          </w:p>
        </w:tc>
      </w:tr>
      <w:tr>
        <w:tc>
          <w:tcPr>
            <w:tcW w:type="dxa" w:w="14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Won</w:t>
            </w:r>
          </w:p>
        </w:tc>
        <w:tc>
          <w:tcPr>
            <w:tcW w:type="dxa" w:w="17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pe:admittedAt</w:t>
            </w:r>
          </w:p>
        </w:tc>
        <w:tc>
          <w:tcPr>
            <w:tcW w:type="dxa" w:w="3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pe:FundClose — actual close that admitted LP</w:t>
            </w:r>
          </w:p>
        </w:tc>
        <w:tc>
          <w:tcPr>
            <w:tcW w:type="dxa" w:w="21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Immutable — historical fact</w:t>
            </w:r>
          </w:p>
        </w:tc>
      </w:tr>
    </w:tbl>
    <w:p>
      <w:pPr>
        <w:spacing w:after="200" w:before="0"/>
      </w:pPr>
    </w:p>
    <w:p>
      <w:pPr>
        <w:pStyle w:val="Heading2"/>
        <w:spacing w:after="120" w:before="320"/>
      </w:pPr>
      <w:r>
        <w:t xml:space="preserve">E.5  Close / Won — The Admission Event</w:t>
      </w:r>
    </w:p>
    <w:p>
      <w:pPr>
        <w:spacing w:after="120" w:before="0"/>
      </w:pPr>
      <w:r>
        <w:rPr>
          <w:rFonts w:ascii="Calibri" w:cs="Calibri" w:eastAsia="Calibri" w:hAnsi="Calibri"/>
          <w:color w:val="4A5568"/>
          <w:sz w:val="22"/>
          <w:szCs w:val="22"/>
        </w:rPr>
        <w:t xml:space="preserve">An Opportunity is Won at the moment the investor is admitted at a FundClose. This is the only event that creates a pe:Commitment record in the fund data model.</w:t>
      </w:r>
    </w:p>
    <w:p>
      <w:pPr>
        <w:spacing w:after="80" w:before="0"/>
      </w:pPr>
    </w:p>
    <w:tbl>
      <w:tblPr>
        <w:tblW w:type="dxa" w:w="7200"/>
        <w:tblBorders>
          <w:top w:val="single" w:color="CBD5E0" w:sz="4"/>
          <w:left w:val="single" w:color="CBD5E0" w:sz="4"/>
          <w:bottom w:val="single" w:color="CBD5E0" w:sz="4"/>
          <w:right w:val="single" w:color="CBD5E0" w:sz="4"/>
          <w:insideH w:val="single" w:color="auto" w:sz="4"/>
          <w:insideV w:val="single" w:color="auto" w:sz="4"/>
        </w:tblBorders>
      </w:tblPr>
      <w:tblGrid>
        <w:gridCol w:w="500"/>
        <w:gridCol w:w="2300"/>
        <w:gridCol w:w="2800"/>
        <w:gridCol w:w="1600"/>
      </w:tblGrid>
      <w:tr>
        <w:trPr>
          <w:tblHeader/>
        </w:trPr>
        <w:tc>
          <w:tcPr>
            <w:tcW w:type="dxa" w:w="5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Step</w:t>
            </w:r>
          </w:p>
        </w:tc>
        <w:tc>
          <w:tcPr>
            <w:tcW w:type="dxa" w:w="23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Event</w:t>
            </w:r>
          </w:p>
        </w:tc>
        <w:tc>
          <w:tcPr>
            <w:tcW w:type="dxa" w:w="28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Record created / updated</w:t>
            </w:r>
          </w:p>
        </w:tc>
        <w:tc>
          <w:tcPr>
            <w:tcW w:type="dxa" w:w="16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Opp state</w:t>
            </w:r>
          </w:p>
        </w:tc>
      </w:tr>
      <w:tr>
        <w:tc>
          <w:tcPr>
            <w:tcW w:type="dxa" w:w="5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1</w:t>
            </w:r>
          </w:p>
        </w:tc>
        <w:tc>
          <w:tcPr>
            <w:tcW w:type="dxa" w:w="23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LP signs subscription documents</w:t>
            </w:r>
          </w:p>
        </w:tc>
        <w:tc>
          <w:tcPr>
            <w:tcW w:type="dxa" w:w="28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pe:SubscriptionAgreement; side letters attached</w:t>
            </w:r>
          </w:p>
        </w:tc>
        <w:tc>
          <w:tcPr>
            <w:tcW w:type="dxa" w:w="16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Signed</w:t>
            </w:r>
          </w:p>
        </w:tc>
      </w:tr>
      <w:tr>
        <w:tc>
          <w:tcPr>
            <w:tcW w:type="dxa" w:w="5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2</w:t>
            </w:r>
          </w:p>
        </w:tc>
        <w:tc>
          <w:tcPr>
            <w:tcW w:type="dxa" w:w="23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KYC / AML clearance obtained</w:t>
            </w:r>
          </w:p>
        </w:tc>
        <w:tc>
          <w:tcPr>
            <w:tcW w:type="dxa" w:w="28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Compliance sign-off; no fund record yet</w:t>
            </w:r>
          </w:p>
        </w:tc>
        <w:tc>
          <w:tcPr>
            <w:tcW w:type="dxa" w:w="16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Signed</w:t>
            </w:r>
          </w:p>
        </w:tc>
      </w:tr>
      <w:tr>
        <w:tc>
          <w:tcPr>
            <w:tcW w:type="dxa" w:w="5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3</w:t>
            </w:r>
          </w:p>
        </w:tc>
        <w:tc>
          <w:tcPr>
            <w:tcW w:type="dxa" w:w="23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Fund close held; LP admitted by GP</w:t>
            </w:r>
          </w:p>
        </w:tc>
        <w:tc>
          <w:tcPr>
            <w:tcW w:type="dxa" w:w="28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pe:FundClose.closeDate set</w:t>
            </w:r>
          </w:p>
        </w:tc>
        <w:tc>
          <w:tcPr>
            <w:tcW w:type="dxa" w:w="16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Signed (pending)</w:t>
            </w:r>
          </w:p>
        </w:tc>
      </w:tr>
      <w:tr>
        <w:tc>
          <w:tcPr>
            <w:tcW w:type="dxa" w:w="5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4</w:t>
            </w:r>
          </w:p>
        </w:tc>
        <w:tc>
          <w:tcPr>
            <w:tcW w:type="dxa" w:w="23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pe:Commitment created</w:t>
            </w:r>
          </w:p>
        </w:tc>
        <w:tc>
          <w:tcPr>
            <w:tcW w:type="dxa" w:w="28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commitmentDate = closeDate; pe:admittedAt set</w:t>
            </w:r>
          </w:p>
        </w:tc>
        <w:tc>
          <w:tcPr>
            <w:tcW w:type="dxa" w:w="16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Won (at this moment)</w:t>
            </w:r>
          </w:p>
        </w:tc>
      </w:tr>
      <w:tr>
        <w:tc>
          <w:tcPr>
            <w:tcW w:type="dxa" w:w="5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5</w:t>
            </w:r>
          </w:p>
        </w:tc>
        <w:tc>
          <w:tcPr>
            <w:tcW w:type="dxa" w:w="23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Capital account opened in GL</w:t>
            </w:r>
          </w:p>
        </w:tc>
        <w:tc>
          <w:tcPr>
            <w:tcW w:type="dxa" w:w="28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Dr Investment in Fund / Cr Capital Account LP</w:t>
            </w:r>
          </w:p>
        </w:tc>
        <w:tc>
          <w:tcPr>
            <w:tcW w:type="dxa" w:w="16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Won</w:t>
            </w:r>
          </w:p>
        </w:tc>
      </w:tr>
      <w:tr>
        <w:tc>
          <w:tcPr>
            <w:tcW w:type="dxa" w:w="5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6</w:t>
            </w:r>
          </w:p>
        </w:tc>
        <w:tc>
          <w:tcPr>
            <w:tcW w:type="dxa" w:w="23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Opportunity marked Won</w:t>
            </w:r>
          </w:p>
        </w:tc>
        <w:tc>
          <w:tcPr>
            <w:tcW w:type="dxa" w:w="28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pe:wonDate set; pe:convertedTo → Commitment</w:t>
            </w:r>
          </w:p>
        </w:tc>
        <w:tc>
          <w:tcPr>
            <w:tcW w:type="dxa" w:w="16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Won · Converted</w:t>
            </w:r>
          </w:p>
        </w:tc>
      </w:tr>
      <w:tr>
        <w:tc>
          <w:tcPr>
            <w:tcW w:type="dxa" w:w="5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7</w:t>
            </w:r>
          </w:p>
        </w:tc>
        <w:tc>
          <w:tcPr>
            <w:tcW w:type="dxa" w:w="23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First capital call issued</w:t>
            </w:r>
          </w:p>
        </w:tc>
        <w:tc>
          <w:tcPr>
            <w:tcW w:type="dxa" w:w="28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Capital call notice; LP wires committed %</w:t>
            </w:r>
          </w:p>
        </w:tc>
        <w:tc>
          <w:tcPr>
            <w:tcW w:type="dxa" w:w="16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Won (ops phase)</w:t>
            </w:r>
          </w:p>
        </w:tc>
      </w:tr>
    </w:tbl>
    <w:p>
      <w:pPr>
        <w:spacing w:after="80" w:before="0"/>
      </w:pPr>
    </w:p>
    <w:tbl>
      <w:tblPr>
        <w:tblW w:type="dxa" w:w="9200"/>
        <w:tblBorders>
          <w:top w:val="single" w:color="276749" w:sz="4"/>
          <w:left w:val="single" w:color="276749" w:sz="20"/>
          <w:bottom w:val="single" w:color="276749" w:sz="4"/>
          <w:right w:val="single" w:color="276749" w:sz="4"/>
          <w:insideH w:val="single" w:color="auto" w:sz="4"/>
          <w:insideV w:val="single" w:color="auto" w:sz="4"/>
        </w:tblBorders>
      </w:tblPr>
      <w:tblGrid>
        <w:gridCol w:w="100"/>
      </w:tblGrid>
      <w:tr>
        <w:tc>
          <w:tcPr>
            <w:shd w:fill="F0FFF4" w:color="auto" w:val="clear"/>
            <w:tcMar>
              <w:top w:type="dxa" w:w="80"/>
              <w:left w:type="dxa" w:w="200"/>
              <w:bottom w:type="dxa" w:w="80"/>
              <w:right w:type="dxa" w:w="200"/>
            </w:tcMar>
          </w:tcPr>
          <w:p>
            <w:pPr>
              <w:spacing w:after="40" w:before="0"/>
            </w:pPr>
            <w:r>
              <w:rPr>
                <w:rFonts w:ascii="Calibri" w:cs="Calibri" w:eastAsia="Calibri" w:hAnsi="Calibri"/>
                <w:b/>
                <w:bCs/>
                <w:color w:val="276749"/>
                <w:sz w:val="22"/>
                <w:szCs w:val="22"/>
              </w:rPr>
              <w:t xml:space="preserve">Late-Close Admission — Equalization Triggered</w:t>
            </w:r>
          </w:p>
          <w:p>
            <w:pPr>
              <w:spacing w:after="0" w:before="0"/>
            </w:pPr>
            <w:r>
              <w:rPr>
                <w:rFonts w:ascii="Calibri" w:cs="Calibri" w:eastAsia="Calibri" w:hAnsi="Calibri"/>
                <w:color w:val="4A5568"/>
                <w:sz w:val="22"/>
                <w:szCs w:val="22"/>
              </w:rPr>
              <w:t xml:space="preserve">When an LP is admitted at the Second or Final Close, admission triggers equalization. Example: $100M commitment, 30% already called, 6-month gap, 8% rate — catch-up principal $30,000,000 + equalization interest $1,200,000 = total wire $31,200,000. See Appendix C for full mechanics.</w:t>
            </w:r>
          </w:p>
        </w:tc>
      </w:tr>
    </w:tbl>
    <w:p>
      <w:pPr>
        <w:spacing w:after="120" w:before="0"/>
      </w:pPr>
    </w:p>
    <w:p>
      <w:pPr>
        <w:spacing w:after="80" w:before="200"/>
      </w:pPr>
      <w:r>
        <w:rPr>
          <w:rFonts w:ascii="Calibri" w:cs="Calibri" w:eastAsia="Calibri" w:hAnsi="Calibri"/>
          <w:b/>
          <w:bCs/>
          <w:color w:val="1B2A4A"/>
          <w:sz w:val="24"/>
          <w:szCs w:val="24"/>
        </w:rPr>
        <w:t xml:space="preserve">Date precision rules</w:t>
      </w:r>
    </w:p>
    <w:tbl>
      <w:tblPr>
        <w:tblW w:type="dxa" w:w="7300"/>
        <w:tblBorders>
          <w:top w:val="single" w:color="CBD5E0" w:sz="4"/>
          <w:left w:val="single" w:color="CBD5E0" w:sz="4"/>
          <w:bottom w:val="single" w:color="CBD5E0" w:sz="4"/>
          <w:right w:val="single" w:color="CBD5E0" w:sz="4"/>
          <w:insideH w:val="single" w:color="auto" w:sz="4"/>
          <w:insideV w:val="single" w:color="auto" w:sz="4"/>
        </w:tblBorders>
      </w:tblPr>
      <w:tblGrid>
        <w:gridCol w:w="1800"/>
        <w:gridCol w:w="1500"/>
        <w:gridCol w:w="4000"/>
      </w:tblGrid>
      <w:tr>
        <w:trPr>
          <w:tblHeader/>
        </w:trPr>
        <w:tc>
          <w:tcPr>
            <w:tcW w:type="dxa" w:w="18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Field</w:t>
            </w:r>
          </w:p>
        </w:tc>
        <w:tc>
          <w:tcPr>
            <w:tcW w:type="dxa" w:w="15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Set when</w:t>
            </w:r>
          </w:p>
        </w:tc>
        <w:tc>
          <w:tcPr>
            <w:tcW w:type="dxa" w:w="40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Constraint</w:t>
            </w:r>
          </w:p>
        </w:tc>
      </w:tr>
      <w:tr>
        <w:tc>
          <w:tcPr>
            <w:tcW w:type="dxa" w:w="18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pe:raisedDate</w:t>
            </w:r>
          </w:p>
        </w:tc>
        <w:tc>
          <w:tcPr>
            <w:tcW w:type="dxa" w:w="15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Prospect</w:t>
            </w:r>
          </w:p>
        </w:tc>
        <w:tc>
          <w:tcPr>
            <w:tcW w:type="dxa" w:w="4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Owner (pe:raisedBy) must be an active employee on this date — the attribution anchor</w:t>
            </w:r>
          </w:p>
        </w:tc>
      </w:tr>
      <w:tr>
        <w:tc>
          <w:tcPr>
            <w:tcW w:type="dxa" w:w="18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pe:subscriptionDate</w:t>
            </w:r>
          </w:p>
        </w:tc>
        <w:tc>
          <w:tcPr>
            <w:tcW w:type="dxa" w:w="15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Signed</w:t>
            </w:r>
          </w:p>
        </w:tc>
        <w:tc>
          <w:tcPr>
            <w:tcW w:type="dxa" w:w="4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Must precede or equal pe:commitmentDate</w:t>
            </w:r>
          </w:p>
        </w:tc>
      </w:tr>
      <w:tr>
        <w:tc>
          <w:tcPr>
            <w:tcW w:type="dxa" w:w="18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pe:targetCloseDate</w:t>
            </w:r>
          </w:p>
        </w:tc>
        <w:tc>
          <w:tcPr>
            <w:tcW w:type="dxa" w:w="15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Docs out</w:t>
            </w:r>
          </w:p>
        </w:tc>
        <w:tc>
          <w:tcPr>
            <w:tcW w:type="dxa" w:w="4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Must match pe:closeDate on a pe:FundClose in the target Fund's close series</w:t>
            </w:r>
          </w:p>
        </w:tc>
      </w:tr>
      <w:tr>
        <w:tc>
          <w:tcPr>
            <w:tcW w:type="dxa" w:w="18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pe:commitmentDate</w:t>
            </w:r>
          </w:p>
        </w:tc>
        <w:tc>
          <w:tcPr>
            <w:tcW w:type="dxa" w:w="15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Won (admission)</w:t>
            </w:r>
          </w:p>
        </w:tc>
        <w:tc>
          <w:tcPr>
            <w:tcW w:type="dxa" w:w="4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Must equal pe:admittedAt.closeDate — no gap admissions permitted</w:t>
            </w:r>
          </w:p>
        </w:tc>
      </w:tr>
      <w:tr>
        <w:tc>
          <w:tcPr>
            <w:tcW w:type="dxa" w:w="18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pe:wonDate</w:t>
            </w:r>
          </w:p>
        </w:tc>
        <w:tc>
          <w:tcPr>
            <w:tcW w:type="dxa" w:w="15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Won (post-admission)</w:t>
            </w:r>
          </w:p>
        </w:tc>
        <w:tc>
          <w:tcPr>
            <w:tcW w:type="dxa" w:w="4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 pe:commitmentDate — same event, two systems</w:t>
            </w:r>
          </w:p>
        </w:tc>
      </w:tr>
    </w:tbl>
    <w:p>
      <w:pPr>
        <w:spacing w:after="200" w:before="0"/>
      </w:pPr>
    </w:p>
    <w:p>
      <w:pPr>
        <w:pStyle w:val="Heading2"/>
        <w:spacing w:after="120" w:before="320"/>
      </w:pPr>
      <w:r>
        <w:t xml:space="preserve">E.6  Coverage Attribution</w:t>
      </w:r>
    </w:p>
    <w:p>
      <w:pPr>
        <w:spacing w:after="120" w:before="0"/>
      </w:pPr>
      <w:r>
        <w:rPr>
          <w:rFonts w:ascii="Calibri" w:cs="Calibri" w:eastAsia="Calibri" w:hAnsi="Calibri"/>
          <w:color w:val="4A5568"/>
          <w:sz w:val="22"/>
          <w:szCs w:val="22"/>
        </w:rPr>
        <w:t xml:space="preserve">The owner of each Opportunity is the RM who covered the investor on pe:raisedDate, not the current RM. This is enforced by requiring pe:raisedBy to reference a Person with a valid pe:CoverageAssignment whose validity interval contains pe:raisedDate.</w:t>
      </w:r>
    </w:p>
    <w:p>
      <w:pPr>
        <w:spacing w:after="80" w:before="0"/>
      </w:pPr>
    </w:p>
    <w:tbl>
      <w:tblPr>
        <w:tblW w:type="dxa" w:w="9200"/>
        <w:tblBorders>
          <w:top w:val="single" w:color="2B6CB0" w:sz="4"/>
          <w:left w:val="single" w:color="2B6CB0" w:sz="20"/>
          <w:bottom w:val="single" w:color="2B6CB0" w:sz="4"/>
          <w:right w:val="single" w:color="2B6CB0" w:sz="4"/>
          <w:insideH w:val="single" w:color="auto" w:sz="4"/>
          <w:insideV w:val="single" w:color="auto" w:sz="4"/>
        </w:tblBorders>
      </w:tblPr>
      <w:tblGrid>
        <w:gridCol w:w="100"/>
      </w:tblGrid>
      <w:tr>
        <w:tc>
          <w:tcPr>
            <w:shd w:fill="EBF8FF" w:color="auto" w:val="clear"/>
            <w:tcMar>
              <w:top w:type="dxa" w:w="80"/>
              <w:left w:type="dxa" w:w="200"/>
              <w:bottom w:type="dxa" w:w="80"/>
              <w:right w:type="dxa" w:w="200"/>
            </w:tcMar>
          </w:tcPr>
          <w:p>
            <w:pPr>
              <w:spacing w:after="40" w:before="0"/>
            </w:pPr>
            <w:r>
              <w:rPr>
                <w:rFonts w:ascii="Calibri" w:cs="Calibri" w:eastAsia="Calibri" w:hAnsi="Calibri"/>
                <w:b/>
                <w:bCs/>
                <w:color w:val="2B6CB0"/>
                <w:sz w:val="22"/>
                <w:szCs w:val="22"/>
              </w:rPr>
              <w:t xml:space="preserve">Why This Constraint Matters</w:t>
            </w:r>
          </w:p>
          <w:p>
            <w:pPr>
              <w:spacing w:after="0" w:before="0"/>
            </w:pPr>
            <w:r>
              <w:rPr>
                <w:rFonts w:ascii="Calibri" w:cs="Calibri" w:eastAsia="Calibri" w:hAnsi="Calibri"/>
                <w:color w:val="4A5568"/>
                <w:sz w:val="22"/>
                <w:szCs w:val="22"/>
              </w:rPr>
              <w:t xml:space="preserve">An Opportunity owned by a person not employed on the raise date is the signature of pipeline attributed to departed colleagues — a common source of attribution disputes during performance reviews and carried interest calculations. This is undetectable with a plain string owner field; it requires CoverageAssignment to be reified as a node with a typed validity period.</w:t>
            </w:r>
          </w:p>
        </w:tc>
      </w:tr>
    </w:tbl>
    <w:p>
      <w:pPr>
        <w:spacing w:after="80" w:before="0"/>
      </w:pPr>
    </w:p>
    <w:p>
      <w:pPr>
        <w:spacing w:after="120" w:before="0"/>
      </w:pPr>
      <w:r>
        <w:rPr>
          <w:rFonts w:ascii="Calibri" w:cs="Calibri" w:eastAsia="Calibri" w:hAnsi="Calibri"/>
          <w:color w:val="4A5568"/>
          <w:sz w:val="22"/>
          <w:szCs w:val="22"/>
        </w:rPr>
        <w:t xml:space="preserve">Reference dataset results (750 Opportunities, 390 Investors):</w:t>
      </w:r>
    </w:p>
    <w:p>
      <w:pPr>
        <w:pStyle w:val="ListParagraph"/>
        <w:numPr>
          <w:ilvl w:val="0"/>
          <w:numId w:val="1"/>
        </w:numPr>
        <w:spacing w:after="80" w:before="0"/>
      </w:pPr>
      <w:r>
        <w:rPr>
          <w:rFonts w:ascii="Calibri" w:cs="Calibri" w:eastAsia="Calibri" w:hAnsi="Calibri"/>
          <w:color w:val="4A5568"/>
          <w:sz w:val="22"/>
          <w:szCs w:val="22"/>
        </w:rPr>
        <w:t xml:space="preserve">696 of 750 (92.8%): owner = covering RM — clean</w:t>
      </w:r>
    </w:p>
    <w:p>
      <w:pPr>
        <w:pStyle w:val="ListParagraph"/>
        <w:numPr>
          <w:ilvl w:val="0"/>
          <w:numId w:val="1"/>
        </w:numPr>
        <w:spacing w:after="80" w:before="0"/>
      </w:pPr>
      <w:r>
        <w:rPr>
          <w:rFonts w:ascii="Calibri" w:cs="Calibri" w:eastAsia="Calibri" w:hAnsi="Calibri"/>
          <w:color w:val="4A5568"/>
          <w:sz w:val="22"/>
          <w:szCs w:val="22"/>
        </w:rPr>
        <w:t xml:space="preserve">52 of 750 (6.9%): owner differs — specialist-sourced deals (advisory flag only)</w:t>
      </w:r>
    </w:p>
    <w:p>
      <w:pPr>
        <w:pStyle w:val="ListParagraph"/>
        <w:numPr>
          <w:ilvl w:val="0"/>
          <w:numId w:val="1"/>
        </w:numPr>
        <w:spacing w:after="80" w:before="0"/>
      </w:pPr>
      <w:r>
        <w:rPr>
          <w:rFonts w:ascii="Calibri" w:cs="Calibri" w:eastAsia="Calibri" w:hAnsi="Calibri"/>
          <w:color w:val="4A5568"/>
          <w:sz w:val="22"/>
          <w:szCs w:val="22"/>
        </w:rPr>
        <w:t xml:space="preserve">57 investors appeared under 2+ owners — all resolved via dated CoverageAssignment validity periods</w:t>
      </w:r>
    </w:p>
    <w:p>
      <w:pPr>
        <w:pStyle w:val="ListParagraph"/>
        <w:numPr>
          <w:ilvl w:val="0"/>
          <w:numId w:val="1"/>
        </w:numPr>
        <w:spacing w:after="80" w:before="0"/>
      </w:pPr>
      <w:r>
        <w:rPr>
          <w:rFonts w:ascii="Calibri" w:cs="Calibri" w:eastAsia="Calibri" w:hAnsi="Calibri"/>
          <w:color w:val="4A5568"/>
          <w:sz w:val="22"/>
          <w:szCs w:val="22"/>
        </w:rPr>
        <w:t xml:space="preserve">0 opportunities with pe:raisedBy referencing a person not employed on pe:raisedDate</w:t>
      </w:r>
    </w:p>
    <w:p>
      <w:pPr>
        <w:spacing w:after="200" w:before="0"/>
      </w:pPr>
    </w:p>
    <w:p>
      <w:pPr>
        <w:pStyle w:val="Heading2"/>
        <w:spacing w:after="120" w:before="320"/>
      </w:pPr>
      <w:r>
        <w:t xml:space="preserve">E.7  Data Model — Properties and Constraints</w:t>
      </w:r>
    </w:p>
    <w:p>
      <w:pPr>
        <w:spacing w:after="80" w:before="200"/>
      </w:pPr>
      <w:r>
        <w:rPr>
          <w:rFonts w:ascii="Calibri" w:cs="Calibri" w:eastAsia="Calibri" w:hAnsi="Calibri"/>
          <w:b/>
          <w:bCs/>
          <w:color w:val="1B2A4A"/>
          <w:sz w:val="24"/>
          <w:szCs w:val="24"/>
        </w:rPr>
        <w:t xml:space="preserve">pe:Opportunity properties</w:t>
      </w:r>
    </w:p>
    <w:tbl>
      <w:tblPr>
        <w:tblW w:type="dxa" w:w="9200"/>
        <w:tblBorders>
          <w:top w:val="single" w:color="2B6CB0" w:sz="4"/>
          <w:left w:val="single" w:color="2B6CB0" w:sz="12"/>
          <w:bottom w:val="single" w:color="2B6CB0" w:sz="4"/>
          <w:right w:val="single" w:color="2B6CB0" w:sz="4"/>
          <w:insideH w:val="single" w:color="auto" w:sz="4"/>
          <w:insideV w:val="single" w:color="auto" w:sz="4"/>
        </w:tblBorders>
      </w:tblPr>
      <w:tblGrid>
        <w:gridCol w:w="100"/>
      </w:tblGrid>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pe:Opportunity</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pe:investor          → pe:Investor          # who the opportunity is with</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pe:targetProduct     → pe:Product           # set at Prospect stage</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pe:targetFund        → pe:Fund              # set at Indicated (created here for B/C)</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pe:targetOffering    → pe:Offering          # set at Docs Out</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pe:targetClose       → pe:FundClose         # which close the LP is targeting</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pe:indicativeAmount  → xsd:decimal          # soft — forecast only, not binding</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pe:opportunityStatus → ref:Prospect | ref:SoftCircle | ref:Indicated |</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ref:DocsOut | ref:Signed | ref:Won |</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ref:Withdrawn | ref:Declined | ref:OnHold</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pe:raisedDate        → xsd:date             # attribution anchor</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pe:raisedBy          → pe:Person            # derived from CoverageAssignment</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pe:conversionRoute   → ref:RouteA | ref:RouteB | ref:RouteC</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pe:convertedTo       → pe:Commitment        # set when Won</w:t>
            </w:r>
          </w:p>
        </w:tc>
      </w:tr>
    </w:tbl>
    <w:p>
      <w:pPr>
        <w:spacing w:after="120" w:before="0"/>
      </w:pPr>
    </w:p>
    <w:p>
      <w:pPr>
        <w:spacing w:after="80" w:before="200"/>
      </w:pPr>
      <w:r>
        <w:rPr>
          <w:rFonts w:ascii="Calibri" w:cs="Calibri" w:eastAsia="Calibri" w:hAnsi="Calibri"/>
          <w:b/>
          <w:bCs/>
          <w:color w:val="1B2A4A"/>
          <w:sz w:val="24"/>
          <w:szCs w:val="24"/>
        </w:rPr>
        <w:t xml:space="preserve">pe:Commitment properties (post-admission)</w:t>
      </w:r>
    </w:p>
    <w:tbl>
      <w:tblPr>
        <w:tblW w:type="dxa" w:w="9200"/>
        <w:tblBorders>
          <w:top w:val="single" w:color="2B6CB0" w:sz="4"/>
          <w:left w:val="single" w:color="2B6CB0" w:sz="12"/>
          <w:bottom w:val="single" w:color="2B6CB0" w:sz="4"/>
          <w:right w:val="single" w:color="2B6CB0" w:sz="4"/>
          <w:insideH w:val="single" w:color="auto" w:sz="4"/>
          <w:insideV w:val="single" w:color="auto" w:sz="4"/>
        </w:tblBorders>
      </w:tblPr>
      <w:tblGrid>
        <w:gridCol w:w="100"/>
      </w:tblGrid>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pe:Commitment</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pe:investor          → pe:Investor</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pe:inOffering        → pe:Offering          # Offering → Vehicle → Fund → Product</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pe:committedAmount   → xsd:decimal          # legal amount, LPA-bound</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pe:commitmentDate    → xsd:date             # = admittedAt.closeDate (SHACL-enforced)</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pe:admittedAt        → pe:FundClose         # links into the fund's close series</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pe:fromOpportunity   → pe:Opportunity       # back-link to pipeline record</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pe:fromSubscription  → pe:SubscriptionAgreement</w:t>
            </w:r>
          </w:p>
        </w:tc>
      </w:tr>
    </w:tbl>
    <w:p>
      <w:pPr>
        <w:spacing w:after="120" w:before="0"/>
      </w:pPr>
    </w:p>
    <w:p>
      <w:pPr>
        <w:spacing w:after="80" w:before="200"/>
      </w:pPr>
      <w:r>
        <w:rPr>
          <w:rFonts w:ascii="Calibri" w:cs="Calibri" w:eastAsia="Calibri" w:hAnsi="Calibri"/>
          <w:b/>
          <w:bCs/>
          <w:color w:val="1B2A4A"/>
          <w:sz w:val="24"/>
          <w:szCs w:val="24"/>
        </w:rPr>
        <w:t xml:space="preserve">SHACL constraints</w:t>
      </w:r>
    </w:p>
    <w:tbl>
      <w:tblPr>
        <w:tblW w:type="dxa" w:w="7200"/>
        <w:tblBorders>
          <w:top w:val="single" w:color="CBD5E0" w:sz="4"/>
          <w:left w:val="single" w:color="CBD5E0" w:sz="4"/>
          <w:bottom w:val="single" w:color="CBD5E0" w:sz="4"/>
          <w:right w:val="single" w:color="CBD5E0" w:sz="4"/>
          <w:insideH w:val="single" w:color="auto" w:sz="4"/>
          <w:insideV w:val="single" w:color="auto" w:sz="4"/>
        </w:tblBorders>
      </w:tblPr>
      <w:tblGrid>
        <w:gridCol w:w="3200"/>
        <w:gridCol w:w="900"/>
        <w:gridCol w:w="3100"/>
      </w:tblGrid>
      <w:tr>
        <w:trPr>
          <w:tblHeader/>
        </w:trPr>
        <w:tc>
          <w:tcPr>
            <w:tcW w:type="dxa" w:w="32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Constraint</w:t>
            </w:r>
          </w:p>
        </w:tc>
        <w:tc>
          <w:tcPr>
            <w:tcW w:type="dxa" w:w="9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Severity</w:t>
            </w:r>
          </w:p>
        </w:tc>
        <w:tc>
          <w:tcPr>
            <w:tcW w:type="dxa" w:w="31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What it catches</w:t>
            </w:r>
          </w:p>
        </w:tc>
      </w:tr>
      <w:tr>
        <w:tc>
          <w:tcPr>
            <w:tcW w:type="dxa" w:w="32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pe:commitmentDate = pe:admittedAt.closeDate</w:t>
            </w:r>
          </w:p>
        </w:tc>
        <w:tc>
          <w:tcPr>
            <w:tcW w:type="dxa" w:w="9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Violation</w:t>
            </w:r>
          </w:p>
        </w:tc>
        <w:tc>
          <w:tcPr>
            <w:tcW w:type="dxa" w:w="31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Commitments dated between closes — gap admissions are legally impossible</w:t>
            </w:r>
          </w:p>
        </w:tc>
      </w:tr>
      <w:tr>
        <w:tc>
          <w:tcPr>
            <w:tcW w:type="dxa" w:w="32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pe:subscriptionDate ≤ pe:commitmentDate</w:t>
            </w:r>
          </w:p>
        </w:tc>
        <w:tc>
          <w:tcPr>
            <w:tcW w:type="dxa" w:w="9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Violation</w:t>
            </w:r>
          </w:p>
        </w:tc>
        <w:tc>
          <w:tcPr>
            <w:tcW w:type="dxa" w:w="31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LPs admitted before they signed subscription documents</w:t>
            </w:r>
          </w:p>
        </w:tc>
      </w:tr>
      <w:tr>
        <w:tc>
          <w:tcPr>
            <w:tcW w:type="dxa" w:w="32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pe:raisedBy employed on pe:raisedDate</w:t>
            </w:r>
          </w:p>
        </w:tc>
        <w:tc>
          <w:tcPr>
            <w:tcW w:type="dxa" w:w="9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Violation</w:t>
            </w:r>
          </w:p>
        </w:tc>
        <w:tc>
          <w:tcPr>
            <w:tcW w:type="dxa" w:w="31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Pipeline attributed to persons who had left the firm</w:t>
            </w:r>
          </w:p>
        </w:tc>
      </w:tr>
      <w:tr>
        <w:tc>
          <w:tcPr>
            <w:tcW w:type="dxa" w:w="32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Route B: pe:coInvestsIn held by pe:coInvestsAlongside Fund</w:t>
            </w:r>
          </w:p>
        </w:tc>
        <w:tc>
          <w:tcPr>
            <w:tcW w:type="dxa" w:w="9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Violation</w:t>
            </w:r>
          </w:p>
        </w:tc>
        <w:tc>
          <w:tcPr>
            <w:tcW w:type="dxa" w:w="31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Co-invest vehicle naming an asset the main fund does not hold</w:t>
            </w:r>
          </w:p>
        </w:tc>
      </w:tr>
      <w:tr>
        <w:tc>
          <w:tcPr>
            <w:tcW w:type="dxa" w:w="32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Route C: maxInvestorCount = 1 on SMA</w:t>
            </w:r>
          </w:p>
        </w:tc>
        <w:tc>
          <w:tcPr>
            <w:tcW w:type="dxa" w:w="9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Violation</w:t>
            </w:r>
          </w:p>
        </w:tc>
        <w:tc>
          <w:tcPr>
            <w:tcW w:type="dxa" w:w="31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SMA with two or more investors — should be commingled fund</w:t>
            </w:r>
          </w:p>
        </w:tc>
      </w:tr>
      <w:tr>
        <w:tc>
          <w:tcPr>
            <w:tcW w:type="dxa" w:w="32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pe:targetFund.product = pe:targetProduct</w:t>
            </w:r>
          </w:p>
        </w:tc>
        <w:tc>
          <w:tcPr>
            <w:tcW w:type="dxa" w:w="9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Violation</w:t>
            </w:r>
          </w:p>
        </w:tc>
        <w:tc>
          <w:tcPr>
            <w:tcW w:type="dxa" w:w="31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Opp targeting a Fund under a different Product than declared</w:t>
            </w:r>
          </w:p>
        </w:tc>
      </w:tr>
      <w:tr>
        <w:tc>
          <w:tcPr>
            <w:tcW w:type="dxa" w:w="32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Won opp must have pe:convertedTo</w:t>
            </w:r>
          </w:p>
        </w:tc>
        <w:tc>
          <w:tcPr>
            <w:tcW w:type="dxa" w:w="9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Violation</w:t>
            </w:r>
          </w:p>
        </w:tc>
        <w:tc>
          <w:tcPr>
            <w:tcW w:type="dxa" w:w="31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Opportunity marked Won with no Commitment back-link — ghost win</w:t>
            </w:r>
          </w:p>
        </w:tc>
      </w:tr>
      <w:tr>
        <w:tc>
          <w:tcPr>
            <w:tcW w:type="dxa" w:w="32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pe:raisedBy ≠ current pe:coveringRM</w:t>
            </w:r>
          </w:p>
        </w:tc>
        <w:tc>
          <w:tcPr>
            <w:tcW w:type="dxa" w:w="9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Advisory</w:t>
            </w:r>
          </w:p>
        </w:tc>
        <w:tc>
          <w:tcPr>
            <w:tcW w:type="dxa" w:w="31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Specialist-sourced deal — valid but flagged for attribution review</w:t>
            </w:r>
          </w:p>
        </w:tc>
      </w:tr>
    </w:tbl>
    <w:p>
      <w:pPr>
        <w:spacing w:after="240" w:before="0"/>
      </w:pPr>
    </w:p>
    <w:p>
      <w:pPr>
        <w:pStyle w:val="Heading1"/>
        <w:spacing w:after="160" w:before="480"/>
      </w:pPr>
      <w:r>
        <w:t xml:space="preserve">Appendix F — Regulatory Reporting Framework</w:t>
      </w:r>
    </w:p>
    <w:p>
      <w:pPr>
        <w:spacing w:after="120" w:before="0"/>
      </w:pPr>
      <w:r>
        <w:rPr>
          <w:rFonts w:ascii="Calibri" w:cs="Calibri" w:eastAsia="Calibri" w:hAnsi="Calibri"/>
          <w:color w:val="404040"/>
          <w:sz w:val="22"/>
          <w:szCs w:val="22"/>
        </w:rPr>
        <w:t xml:space="preserve">This appendix catalogues the full regulatory reporting obligations for a global private equity fund manager operating master-feeder fund structures across US, EU, UK, and Cayman Islands jurisdictions. For each regime, the filing, frequency, content, and filing deadline are specified. Section F.7 consolidates all obligations into a single regulatory calendar.</w:t>
      </w:r>
    </w:p>
    <w:p>
      <w:pPr>
        <w:spacing w:after="160" w:before="0"/>
      </w:pPr>
      <w:r>
        <w:t xml:space="preserve"/>
      </w:r>
    </w:p>
    <w:p>
      <w:pPr>
        <w:pStyle w:val="Heading2"/>
        <w:spacing w:after="120" w:before="320"/>
      </w:pPr>
      <w:r>
        <w:t xml:space="preserve">F.1  United States — SEC &amp; CFTC</w:t>
      </w:r>
    </w:p>
    <w:p>
      <w:pPr>
        <w:spacing w:after="120" w:before="0"/>
      </w:pPr>
      <w:r>
        <w:rPr>
          <w:rFonts w:ascii="Calibri" w:cs="Calibri" w:eastAsia="Calibri" w:hAnsi="Calibri"/>
          <w:color w:val="404040"/>
          <w:sz w:val="22"/>
          <w:szCs w:val="22"/>
        </w:rPr>
        <w:t xml:space="preserve">US-registered investment advisers managing private equity funds are subject to the Investment Advisers Act of 1940, the Securities Act of 1933 (Regulation D), and, where applicable, the Commodity Exchange Act. The table below summarises each material filing obligation.</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gridCol w:w="100"/>
      </w:tblGrid>
      <w:tr>
        <w:trPr>
          <w:tblHeader/>
        </w:trPr>
        <w:tc>
          <w:tcPr>
            <w:tcW w:type="pct" w:w="18%"/>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Filing</w:t>
            </w:r>
          </w:p>
        </w:tc>
        <w:tc>
          <w:tcPr>
            <w:tcW w:type="pct" w:w="14%"/>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Frequency</w:t>
            </w:r>
          </w:p>
        </w:tc>
        <w:tc>
          <w:tcPr>
            <w:tcW w:type="pct" w:w="1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Regulator</w:t>
            </w:r>
          </w:p>
        </w:tc>
        <w:tc>
          <w:tcPr>
            <w:tcW w:type="pct" w:w="18%"/>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Deadline</w:t>
            </w:r>
          </w:p>
        </w:tc>
        <w:tc>
          <w:tcPr>
            <w:tcW w:type="pct" w:w="4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Key Content</w:t>
            </w:r>
          </w:p>
        </w:tc>
      </w:tr>
      <w:tr>
        <w:tc>
          <w:tcPr>
            <w:tcW w:type="pct" w:w="18%"/>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 ADV (Parts 1, 2A, 2B)</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Annual + on material change</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SEC IARD</w:t>
            </w:r>
          </w:p>
        </w:tc>
        <w:tc>
          <w:tcPr>
            <w:tcW w:type="pct" w:w="18%"/>
            <w:tcMar>
              <w:top w:type="dxa" w:w="50"/>
              <w:left w:type="dxa" w:w="80"/>
              <w:bottom w:type="dxa" w:w="50"/>
              <w:right w:type="dxa" w:w="80"/>
            </w:tcMar>
          </w:tcPr>
          <w:p>
            <w:r>
              <w:rPr>
                <w:rFonts w:ascii="Calibri" w:cs="Calibri" w:eastAsia="Calibri" w:hAnsi="Calibri"/>
                <w:color w:val="404040"/>
                <w:sz w:val="19"/>
                <w:szCs w:val="19"/>
              </w:rPr>
              <w:t xml:space="preserve">Within 90 days of FY-end; interim amendment on material change</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AUM, strategies, conflicts, disciplinary history, fee schedules, ownership structure</w:t>
            </w:r>
          </w:p>
        </w:tc>
      </w:tr>
      <w:tr>
        <w:tc>
          <w:tcPr>
            <w:tcW w:type="pct" w:w="18%"/>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 PF</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Annual (standard) / Quarterly (large: ≥$2B PE AUM)</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SEC EDGAR</w:t>
            </w:r>
          </w:p>
        </w:tc>
        <w:tc>
          <w:tcPr>
            <w:tcW w:type="pct" w:w="18%"/>
            <w:tcMar>
              <w:top w:type="dxa" w:w="50"/>
              <w:left w:type="dxa" w:w="80"/>
              <w:bottom w:type="dxa" w:w="50"/>
              <w:right w:type="dxa" w:w="80"/>
            </w:tcMar>
          </w:tcPr>
          <w:p>
            <w:r>
              <w:rPr>
                <w:rFonts w:ascii="Calibri" w:cs="Calibri" w:eastAsia="Calibri" w:hAnsi="Calibri"/>
                <w:color w:val="404040"/>
                <w:sz w:val="19"/>
                <w:szCs w:val="19"/>
              </w:rPr>
              <w:t xml:space="preserve">120 days post FY-end (annual); 60 days post quarter-end (large filers)</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Fund-level AUM, leverage, investor concentration, portfolio company financials, liquidity</w:t>
            </w:r>
          </w:p>
        </w:tc>
      </w:tr>
      <w:tr>
        <w:tc>
          <w:tcPr>
            <w:tcW w:type="pct" w:w="18%"/>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 D (Reg D)</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Per offering; annual amendment</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SEC EDGAR</w:t>
            </w:r>
          </w:p>
        </w:tc>
        <w:tc>
          <w:tcPr>
            <w:tcW w:type="pct" w:w="18%"/>
            <w:tcMar>
              <w:top w:type="dxa" w:w="50"/>
              <w:left w:type="dxa" w:w="80"/>
              <w:bottom w:type="dxa" w:w="50"/>
              <w:right w:type="dxa" w:w="80"/>
            </w:tcMar>
          </w:tcPr>
          <w:p>
            <w:r>
              <w:rPr>
                <w:rFonts w:ascii="Calibri" w:cs="Calibri" w:eastAsia="Calibri" w:hAnsi="Calibri"/>
                <w:color w:val="404040"/>
                <w:sz w:val="19"/>
                <w:szCs w:val="19"/>
              </w:rPr>
              <w:t xml:space="preserve">Within 15 days of first sale; annual amendment while open</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Exempt offering notice: fund name, exemption relied upon, aggregate amount sold, investor count</w:t>
            </w:r>
          </w:p>
        </w:tc>
      </w:tr>
      <w:tr>
        <w:tc>
          <w:tcPr>
            <w:tcW w:type="pct" w:w="18%"/>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 13F</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Quarterly</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SEC EDGAR</w:t>
            </w:r>
          </w:p>
        </w:tc>
        <w:tc>
          <w:tcPr>
            <w:tcW w:type="pct" w:w="18%"/>
            <w:tcMar>
              <w:top w:type="dxa" w:w="50"/>
              <w:left w:type="dxa" w:w="80"/>
              <w:bottom w:type="dxa" w:w="50"/>
              <w:right w:type="dxa" w:w="80"/>
            </w:tcMar>
          </w:tcPr>
          <w:p>
            <w:r>
              <w:rPr>
                <w:rFonts w:ascii="Calibri" w:cs="Calibri" w:eastAsia="Calibri" w:hAnsi="Calibri"/>
                <w:color w:val="404040"/>
                <w:sz w:val="19"/>
                <w:szCs w:val="19"/>
              </w:rPr>
              <w:t xml:space="preserve">Within 45 days of quarter-end</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Long positions in Section 13(f) securities ≥$100M threshold</w:t>
            </w:r>
          </w:p>
        </w:tc>
      </w:tr>
      <w:tr>
        <w:tc>
          <w:tcPr>
            <w:tcW w:type="pct" w:w="18%"/>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 13D / 13G</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Event-driven</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SEC EDGAR</w:t>
            </w:r>
          </w:p>
        </w:tc>
        <w:tc>
          <w:tcPr>
            <w:tcW w:type="pct" w:w="18%"/>
            <w:tcMar>
              <w:top w:type="dxa" w:w="50"/>
              <w:left w:type="dxa" w:w="80"/>
              <w:bottom w:type="dxa" w:w="50"/>
              <w:right w:type="dxa" w:w="80"/>
            </w:tcMar>
          </w:tcPr>
          <w:p>
            <w:r>
              <w:rPr>
                <w:rFonts w:ascii="Calibri" w:cs="Calibri" w:eastAsia="Calibri" w:hAnsi="Calibri"/>
                <w:color w:val="404040"/>
                <w:sz w:val="19"/>
                <w:szCs w:val="19"/>
              </w:rPr>
              <w:t xml:space="preserve">13D: 10 days post acquisition; 13G: 45 days post calendar year-end</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Beneficial ownership ≥5% of a public company's voting securities</w:t>
            </w:r>
          </w:p>
        </w:tc>
      </w:tr>
      <w:tr>
        <w:tc>
          <w:tcPr>
            <w:tcW w:type="pct" w:w="18%"/>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HSR Premerger Notification</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Per qualifying transaction</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FTC / DOJ</w:t>
            </w:r>
          </w:p>
        </w:tc>
        <w:tc>
          <w:tcPr>
            <w:tcW w:type="pct" w:w="18%"/>
            <w:tcMar>
              <w:top w:type="dxa" w:w="50"/>
              <w:left w:type="dxa" w:w="80"/>
              <w:bottom w:type="dxa" w:w="50"/>
              <w:right w:type="dxa" w:w="80"/>
            </w:tcMar>
          </w:tcPr>
          <w:p>
            <w:r>
              <w:rPr>
                <w:rFonts w:ascii="Calibri" w:cs="Calibri" w:eastAsia="Calibri" w:hAnsi="Calibri"/>
                <w:color w:val="404040"/>
                <w:sz w:val="19"/>
                <w:szCs w:val="19"/>
              </w:rPr>
              <w:t xml:space="preserve">Before deal closing; default waiting period 30 days</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Acquiring entity, target, transaction value, deal structure, market overlaps</w:t>
            </w:r>
          </w:p>
        </w:tc>
      </w:tr>
      <w:tr>
        <w:tc>
          <w:tcPr>
            <w:tcW w:type="pct" w:w="18%"/>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 CPO-PQR / CTA-PR</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Quarterly (Sch A); Annual (Sch B/C)</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NFA</w:t>
            </w:r>
          </w:p>
        </w:tc>
        <w:tc>
          <w:tcPr>
            <w:tcW w:type="pct" w:w="18%"/>
            <w:tcMar>
              <w:top w:type="dxa" w:w="50"/>
              <w:left w:type="dxa" w:w="80"/>
              <w:bottom w:type="dxa" w:w="50"/>
              <w:right w:type="dxa" w:w="80"/>
            </w:tcMar>
          </w:tcPr>
          <w:p>
            <w:r>
              <w:rPr>
                <w:rFonts w:ascii="Calibri" w:cs="Calibri" w:eastAsia="Calibri" w:hAnsi="Calibri"/>
                <w:color w:val="404040"/>
                <w:sz w:val="19"/>
                <w:szCs w:val="19"/>
              </w:rPr>
              <w:t xml:space="preserve">60 days post quarter-end</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Pool assets, leverage, counterparty exposure, risk metrics for registered CPOs</w:t>
            </w:r>
          </w:p>
        </w:tc>
      </w:tr>
      <w:tr>
        <w:tc>
          <w:tcPr>
            <w:tcW w:type="pct" w:w="18%"/>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FINRA Rule 5123</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Per private placement</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FINRA</w:t>
            </w:r>
          </w:p>
        </w:tc>
        <w:tc>
          <w:tcPr>
            <w:tcW w:type="pct" w:w="18%"/>
            <w:tcMar>
              <w:top w:type="dxa" w:w="50"/>
              <w:left w:type="dxa" w:w="80"/>
              <w:bottom w:type="dxa" w:w="50"/>
              <w:right w:type="dxa" w:w="80"/>
            </w:tcMar>
          </w:tcPr>
          <w:p>
            <w:r>
              <w:rPr>
                <w:rFonts w:ascii="Calibri" w:cs="Calibri" w:eastAsia="Calibri" w:hAnsi="Calibri"/>
                <w:color w:val="404040"/>
                <w:sz w:val="19"/>
                <w:szCs w:val="19"/>
              </w:rPr>
              <w:t xml:space="preserve">Within 15 days of first sale</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PPM, investor eligibility, offering terms for broker-dealer placement agents</w:t>
            </w:r>
          </w:p>
        </w:tc>
      </w:tr>
    </w:tbl>
    <w:p>
      <w:pPr>
        <w:spacing w:after="160" w:before="0"/>
      </w:pPr>
      <w:r>
        <w:t xml:space="preserve"/>
      </w:r>
    </w:p>
    <w:p>
      <w:pPr>
        <w:pStyle w:val="Heading2"/>
        <w:spacing w:after="120" w:before="320"/>
      </w:pPr>
      <w:r>
        <w:t xml:space="preserve">F.2  European Union — AIFMD, SFDR &amp; EMIR</w:t>
      </w:r>
    </w:p>
    <w:p>
      <w:pPr>
        <w:spacing w:after="120" w:before="0"/>
      </w:pPr>
      <w:r>
        <w:rPr>
          <w:rFonts w:ascii="Calibri" w:cs="Calibri" w:eastAsia="Calibri" w:hAnsi="Calibri"/>
          <w:color w:val="404040"/>
          <w:sz w:val="22"/>
          <w:szCs w:val="22"/>
        </w:rPr>
        <w:t xml:space="preserve">Alternative Investment Fund Managers marketing or managing funds in the EU are subject to AIFMD (Directive 2011/61/EU), SFDR (Regulation (EU) 2019/2088), and where derivatives are used, EMIR (Regulation (EU) 648/2012). Non-EU AIFMs accessing EU capital via NPPR must comply with each host member state's national private placement regime.</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gridCol w:w="100"/>
      </w:tblGrid>
      <w:tr>
        <w:trPr>
          <w:tblHeader/>
        </w:trPr>
        <w:tc>
          <w:tcPr>
            <w:tcW w:type="pct" w:w="18%"/>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Filing</w:t>
            </w:r>
          </w:p>
        </w:tc>
        <w:tc>
          <w:tcPr>
            <w:tcW w:type="pct" w:w="14%"/>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Frequency</w:t>
            </w:r>
          </w:p>
        </w:tc>
        <w:tc>
          <w:tcPr>
            <w:tcW w:type="pct" w:w="14%"/>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Regulator</w:t>
            </w:r>
          </w:p>
        </w:tc>
        <w:tc>
          <w:tcPr>
            <w:tcW w:type="pct" w:w="14%"/>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Deadline</w:t>
            </w:r>
          </w:p>
        </w:tc>
        <w:tc>
          <w:tcPr>
            <w:tcW w:type="pct" w:w="4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Key Content</w:t>
            </w:r>
          </w:p>
        </w:tc>
      </w:tr>
      <w:tr>
        <w:tc>
          <w:tcPr>
            <w:tcW w:type="pct" w:w="18%"/>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AIFMD Annex IV</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Semi-annual (large AIFM); Annual (small)</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National Competent Authority (NCA)</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30 days post period-end (large); 60 days (small)</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AUM, NAV, leverage, liquidity, risk profile, investor domicile, top 5 instruments, portfolio concentration</w:t>
            </w:r>
          </w:p>
        </w:tc>
      </w:tr>
      <w:tr>
        <w:tc>
          <w:tcPr>
            <w:tcW w:type="pct" w:w="18%"/>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Marketing Notification (Art. 31/32)</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Pre-marketing; per fund per jurisdiction</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Home NCA + host NCA</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Prior to commencement of marketing</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Fund prospectus, offering documents, KIID/KID, distribution arrangements</w:t>
            </w:r>
          </w:p>
        </w:tc>
      </w:tr>
      <w:tr>
        <w:tc>
          <w:tcPr>
            <w:tcW w:type="pct" w:w="18%"/>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SFDR Art. 3 / 4 Entity Disclosure</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Annual</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Published on firm website</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By 30 June each year</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PAI statement: 18 mandatory + 2 optional adverse sustainability indicators across portfolio</w:t>
            </w:r>
          </w:p>
        </w:tc>
      </w:tr>
      <w:tr>
        <w:tc>
          <w:tcPr>
            <w:tcW w:type="pct" w:w="18%"/>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SFDR Art. 8/9 Product Disclosure</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Pre-contractual + Annual periodic report</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NCA + fund documents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Pre-contractual: before subscription; Periodic: within 4 months of FY-end</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ESG characteristics, sustainable investment objectives, PAI metrics, taxonomy alignment %</w:t>
            </w:r>
          </w:p>
        </w:tc>
      </w:tr>
      <w:tr>
        <w:tc>
          <w:tcPr>
            <w:tcW w:type="pct" w:w="18%"/>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PRIIPs KID</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Annual + on material change</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Distributed to retail investors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1 January each year; update within 35 business days of material change</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Risk indicator (1–7), performance scenarios, costs (RIY), recommended holding period</w:t>
            </w:r>
          </w:p>
        </w:tc>
      </w:tr>
      <w:tr>
        <w:tc>
          <w:tcPr>
            <w:tcW w:type="pct" w:w="18%"/>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EMIR Trade Reporting</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Per trade (T+1)</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Registered Trade Repository (DTCC, ICE TR)</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By end of next business day following execution</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Counterparty details, contract type, notional, maturity, collateral, valuation for OTC derivatives</w:t>
            </w:r>
          </w:p>
        </w:tc>
      </w:tr>
      <w:tr>
        <w:tc>
          <w:tcPr>
            <w:tcW w:type="pct" w:w="18%"/>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AIFMD Remuneration Disclosure</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Annual</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Published in annual report / website</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With publication of annual report</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Aggregate fixed and variable remuneration for senior management, risk-takers, and control functions</w:t>
            </w:r>
          </w:p>
        </w:tc>
      </w:tr>
    </w:tbl>
    <w:p>
      <w:pPr>
        <w:spacing w:after="160" w:before="0"/>
      </w:pPr>
      <w:r>
        <w:t xml:space="preserve"/>
      </w:r>
    </w:p>
    <w:p>
      <w:pPr>
        <w:pStyle w:val="Heading2"/>
        <w:spacing w:after="120" w:before="320"/>
      </w:pPr>
      <w:r>
        <w:t xml:space="preserve">F.3  United Kingdom — FCA</w:t>
      </w:r>
    </w:p>
    <w:p>
      <w:pPr>
        <w:spacing w:after="120" w:before="0"/>
      </w:pPr>
      <w:r>
        <w:rPr>
          <w:rFonts w:ascii="Calibri" w:cs="Calibri" w:eastAsia="Calibri" w:hAnsi="Calibri"/>
          <w:color w:val="404040"/>
          <w:sz w:val="22"/>
          <w:szCs w:val="22"/>
        </w:rPr>
        <w:t xml:space="preserve">Post-Brexit, UK AIFMs are regulated under the UK AIFMD (as onshored into UK law). FCA-authorised firms file via RegData (formerly GABRIEL). UK managers marketing into the EU must use the National Private Placement Regime (NPPR) in each EU member state on a jurisdiction-by-jurisdiction basis.</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gridCol w:w="100"/>
      </w:tblGrid>
      <w:tr>
        <w:trPr>
          <w:tblHeader/>
        </w:trPr>
        <w:tc>
          <w:tcPr>
            <w:tcW w:type="pct" w:w="2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Filing</w:t>
            </w:r>
          </w:p>
        </w:tc>
        <w:tc>
          <w:tcPr>
            <w:tcW w:type="pct" w:w="14%"/>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Frequency</w:t>
            </w:r>
          </w:p>
        </w:tc>
        <w:tc>
          <w:tcPr>
            <w:tcW w:type="pct" w:w="12%"/>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Regulator</w:t>
            </w:r>
          </w:p>
        </w:tc>
        <w:tc>
          <w:tcPr>
            <w:tcW w:type="pct" w:w="14%"/>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Deadline</w:t>
            </w:r>
          </w:p>
        </w:tc>
        <w:tc>
          <w:tcPr>
            <w:tcW w:type="pct" w:w="4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Key Content</w:t>
            </w:r>
          </w:p>
        </w:tc>
      </w:tr>
      <w:tr>
        <w:tc>
          <w:tcPr>
            <w:tcW w:type="pct" w:w="20%"/>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UK AIFMD Annex IV</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Semi-annual (large) / Annual (small)</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FCA via RegData</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30 / 60 days post period-end</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AUM, leverage, liquidity, risk profile — mirrors EU Annex IV structure</w:t>
            </w:r>
          </w:p>
        </w:tc>
      </w:tr>
      <w:tr>
        <w:tc>
          <w:tcPr>
            <w:tcW w:type="pct" w:w="20%"/>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FCA Annual Financial Return (AFR)</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Annual</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FCA</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Within 4 months of FY-end</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Balance sheet, income statement, capital resources, large exposures</w:t>
            </w:r>
          </w:p>
        </w:tc>
      </w:tr>
      <w:tr>
        <w:tc>
          <w:tcPr>
            <w:tcW w:type="pct" w:w="20%"/>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FCA Capital Adequacy Return</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Quarterly</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FCA</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20 business days post quarter-end</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Own funds, fixed overheads, capital requirement (MIFIDPRU for CPMI firms)</w:t>
            </w:r>
          </w:p>
        </w:tc>
      </w:tr>
      <w:tr>
        <w:tc>
          <w:tcPr>
            <w:tcW w:type="pct" w:w="20%"/>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UK PRIIPs / Consumer Duty</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Annual + event-driven</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FCA</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Annual; within 35 days of material change</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Consumer outcomes, fair value assessments, product governance reviews</w:t>
            </w:r>
          </w:p>
        </w:tc>
      </w:tr>
      <w:tr>
        <w:tc>
          <w:tcPr>
            <w:tcW w:type="pct" w:w="20%"/>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NPPR Notification (per EU member state)</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Per fund per jurisdiction</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Each EU NCA</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Prior to marketing; annual renewal in some states</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Fund documentation, AIFM authorisation evidence, local regulatory form</w:t>
            </w:r>
          </w:p>
        </w:tc>
      </w:tr>
      <w:tr>
        <w:tc>
          <w:tcPr>
            <w:tcW w:type="pct" w:w="20%"/>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UK Transaction Reporting (MiFIR / UK MiFIR)</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Per trade (T+1)</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FCA via ARM</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By end of next business day</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Financial instrument, quantity, price, buyer/seller identifiers (LEI) for in-scope instruments</w:t>
            </w:r>
          </w:p>
        </w:tc>
      </w:tr>
    </w:tbl>
    <w:p>
      <w:pPr>
        <w:spacing w:after="160" w:before="0"/>
      </w:pPr>
      <w:r>
        <w:t xml:space="preserve"/>
      </w:r>
    </w:p>
    <w:p>
      <w:pPr>
        <w:pStyle w:val="Heading2"/>
        <w:spacing w:after="120" w:before="320"/>
      </w:pPr>
      <w:r>
        <w:t xml:space="preserve">F.4  Cayman Islands — CIMA, Economic Substance &amp; FATCA / CRS</w:t>
      </w:r>
    </w:p>
    <w:p>
      <w:pPr>
        <w:spacing w:after="120" w:before="0"/>
      </w:pPr>
      <w:r>
        <w:rPr>
          <w:rFonts w:ascii="Calibri" w:cs="Calibri" w:eastAsia="Calibri" w:hAnsi="Calibri"/>
          <w:color w:val="404040"/>
          <w:sz w:val="22"/>
          <w:szCs w:val="22"/>
        </w:rPr>
        <w:t xml:space="preserve">Cayman Islands funds (master and feeder entities) are registered with CIMA and subject to annual filing requirements. Cayman is a leading CRS-participating jurisdiction and requires all Cayman Financial Institutions to comply with FATCA (via the US-Cayman IGA) and the OECD Common Reporting Standard.</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gridCol w:w="100"/>
      </w:tblGrid>
      <w:tr>
        <w:trPr>
          <w:tblHeader/>
        </w:trPr>
        <w:tc>
          <w:tcPr>
            <w:tcW w:type="pct" w:w="22%"/>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Filing</w:t>
            </w:r>
          </w:p>
        </w:tc>
        <w:tc>
          <w:tcPr>
            <w:tcW w:type="pct" w:w="12%"/>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Frequency</w:t>
            </w:r>
          </w:p>
        </w:tc>
        <w:tc>
          <w:tcPr>
            <w:tcW w:type="pct" w:w="14%"/>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Regulator</w:t>
            </w:r>
          </w:p>
        </w:tc>
        <w:tc>
          <w:tcPr>
            <w:tcW w:type="pct" w:w="16%"/>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Deadline</w:t>
            </w:r>
          </w:p>
        </w:tc>
        <w:tc>
          <w:tcPr>
            <w:tcW w:type="pct" w:w="36%"/>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Key Content</w:t>
            </w:r>
          </w:p>
        </w:tc>
      </w:tr>
      <w:tr>
        <w:tc>
          <w:tcPr>
            <w:tcW w:type="pct" w:w="22%"/>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CIMA Fund Registration &amp; Annual Return</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Annual</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CIMA</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Within 6 months of FY-end; annual fee due 15 January</w:t>
            </w:r>
          </w:p>
        </w:tc>
        <w:tc>
          <w:tcPr>
            <w:tcW w:type="pct" w:w="36%"/>
            <w:tcMar>
              <w:top w:type="dxa" w:w="50"/>
              <w:left w:type="dxa" w:w="80"/>
              <w:bottom w:type="dxa" w:w="50"/>
              <w:right w:type="dxa" w:w="80"/>
            </w:tcMar>
          </w:tcPr>
          <w:p>
            <w:r>
              <w:rPr>
                <w:rFonts w:ascii="Calibri" w:cs="Calibri" w:eastAsia="Calibri" w:hAnsi="Calibri"/>
                <w:color w:val="404040"/>
                <w:sz w:val="19"/>
                <w:szCs w:val="19"/>
              </w:rPr>
              <w:t xml:space="preserve">Audited financial statements, NAV, investor count, changes to offering documents or directors</w:t>
            </w:r>
          </w:p>
        </w:tc>
      </w:tr>
      <w:tr>
        <w:tc>
          <w:tcPr>
            <w:tcW w:type="pct" w:w="22%"/>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Economic Substance Return</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Annual</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Dept for International Tax Cooperation (DITC)</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Within 12 months of FY-end</w:t>
            </w:r>
          </w:p>
        </w:tc>
        <w:tc>
          <w:tcPr>
            <w:tcW w:type="pct" w:w="36%"/>
            <w:tcMar>
              <w:top w:type="dxa" w:w="50"/>
              <w:left w:type="dxa" w:w="80"/>
              <w:bottom w:type="dxa" w:w="50"/>
              <w:right w:type="dxa" w:w="80"/>
            </w:tcMar>
          </w:tcPr>
          <w:p>
            <w:r>
              <w:rPr>
                <w:rFonts w:ascii="Calibri" w:cs="Calibri" w:eastAsia="Calibri" w:hAnsi="Calibri"/>
                <w:color w:val="404040"/>
                <w:sz w:val="19"/>
                <w:szCs w:val="19"/>
              </w:rPr>
              <w:t xml:space="preserve">Whether fund conducts relevant activities (fund management, holding co.); income, employees, premises, outsourcing</w:t>
            </w:r>
          </w:p>
        </w:tc>
      </w:tr>
      <w:tr>
        <w:tc>
          <w:tcPr>
            <w:tcW w:type="pct" w:w="22%"/>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FATCA Filing (US IGA Model 1)</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Annual</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DITC → IRS</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By 31 July (data as of 31 Dec prior year)</w:t>
            </w:r>
          </w:p>
        </w:tc>
        <w:tc>
          <w:tcPr>
            <w:tcW w:type="pct" w:w="36%"/>
            <w:tcMar>
              <w:top w:type="dxa" w:w="50"/>
              <w:left w:type="dxa" w:w="80"/>
              <w:bottom w:type="dxa" w:w="50"/>
              <w:right w:type="dxa" w:w="80"/>
            </w:tcMar>
          </w:tcPr>
          <w:p>
            <w:r>
              <w:rPr>
                <w:rFonts w:ascii="Calibri" w:cs="Calibri" w:eastAsia="Calibri" w:hAnsi="Calibri"/>
                <w:color w:val="404040"/>
                <w:sz w:val="19"/>
                <w:szCs w:val="19"/>
              </w:rPr>
              <w:t xml:space="preserve">US reportable accounts: investor name, TIN, account balance, income paid. Registered as FFI with GIIN</w:t>
            </w:r>
          </w:p>
        </w:tc>
      </w:tr>
      <w:tr>
        <w:tc>
          <w:tcPr>
            <w:tcW w:type="pct" w:w="22%"/>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CRS Filing</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Annual</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DITC → OECD Partner Jurisdictions</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By 31 July</w:t>
            </w:r>
          </w:p>
        </w:tc>
        <w:tc>
          <w:tcPr>
            <w:tcW w:type="pct" w:w="36%"/>
            <w:tcMar>
              <w:top w:type="dxa" w:w="50"/>
              <w:left w:type="dxa" w:w="80"/>
              <w:bottom w:type="dxa" w:w="50"/>
              <w:right w:type="dxa" w:w="80"/>
            </w:tcMar>
          </w:tcPr>
          <w:p>
            <w:r>
              <w:rPr>
                <w:rFonts w:ascii="Calibri" w:cs="Calibri" w:eastAsia="Calibri" w:hAnsi="Calibri"/>
                <w:color w:val="404040"/>
                <w:sz w:val="19"/>
                <w:szCs w:val="19"/>
              </w:rPr>
              <w:t xml:space="preserve">Tax residency-based reporting: account balance, interest, dividends, gross proceeds per non-resident investor</w:t>
            </w:r>
          </w:p>
        </w:tc>
      </w:tr>
      <w:tr>
        <w:tc>
          <w:tcPr>
            <w:tcW w:type="pct" w:w="22%"/>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Beneficial Ownership Register</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Ongoing (updated within 15 days of change)</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CIMA / Registrar</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Within 15 days of change in UBO</w:t>
            </w:r>
          </w:p>
        </w:tc>
        <w:tc>
          <w:tcPr>
            <w:tcW w:type="pct" w:w="36%"/>
            <w:tcMar>
              <w:top w:type="dxa" w:w="50"/>
              <w:left w:type="dxa" w:w="80"/>
              <w:bottom w:type="dxa" w:w="50"/>
              <w:right w:type="dxa" w:w="80"/>
            </w:tcMar>
          </w:tcPr>
          <w:p>
            <w:r>
              <w:rPr>
                <w:rFonts w:ascii="Calibri" w:cs="Calibri" w:eastAsia="Calibri" w:hAnsi="Calibri"/>
                <w:color w:val="404040"/>
                <w:sz w:val="19"/>
                <w:szCs w:val="19"/>
              </w:rPr>
              <w:t xml:space="preserve">UBOs with ≥25% ownership: name, DOB, nationality, address, nature of interest</w:t>
            </w:r>
          </w:p>
        </w:tc>
      </w:tr>
      <w:tr>
        <w:tc>
          <w:tcPr>
            <w:tcW w:type="pct" w:w="22%"/>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CIMA Director Registration</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Per appointment</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CIMA</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Within 21 days of appointment</w:t>
            </w:r>
          </w:p>
        </w:tc>
        <w:tc>
          <w:tcPr>
            <w:tcW w:type="pct" w:w="36%"/>
            <w:tcMar>
              <w:top w:type="dxa" w:w="50"/>
              <w:left w:type="dxa" w:w="80"/>
              <w:bottom w:type="dxa" w:w="50"/>
              <w:right w:type="dxa" w:w="80"/>
            </w:tcMar>
          </w:tcPr>
          <w:p>
            <w:r>
              <w:rPr>
                <w:rFonts w:ascii="Calibri" w:cs="Calibri" w:eastAsia="Calibri" w:hAnsi="Calibri"/>
                <w:color w:val="404040"/>
                <w:sz w:val="19"/>
                <w:szCs w:val="19"/>
              </w:rPr>
              <w:t xml:space="preserve">Director details, disqualification history, consent to act</w:t>
            </w:r>
          </w:p>
        </w:tc>
      </w:tr>
    </w:tbl>
    <w:p>
      <w:pPr>
        <w:spacing w:after="160" w:before="0"/>
      </w:pPr>
      <w:r>
        <w:t xml:space="preserve"/>
      </w:r>
    </w:p>
    <w:p>
      <w:r>
        <w:br w:type="page"/>
      </w:r>
    </w:p>
    <w:p>
      <w:pPr>
        <w:pStyle w:val="Heading2"/>
        <w:spacing w:after="120" w:before="320"/>
      </w:pPr>
      <w:r>
        <w:t xml:space="preserve">F.5  US Tax Reporting</w:t>
      </w:r>
    </w:p>
    <w:p>
      <w:pPr>
        <w:spacing w:after="120" w:before="0"/>
      </w:pPr>
      <w:r>
        <w:rPr>
          <w:rFonts w:ascii="Calibri" w:cs="Calibri" w:eastAsia="Calibri" w:hAnsi="Calibri"/>
          <w:color w:val="404040"/>
          <w:sz w:val="22"/>
          <w:szCs w:val="22"/>
        </w:rPr>
        <w:t xml:space="preserve">US-domiciled fund entities (domestic feeders, GP entities) are taxed as partnerships and must file annual partnership tax returns. Key obligations arise from partnership allocations to LPs and the treatment of non-US investors, tax-exempt investors, and UBTI-generating portfolio companies.</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gridCol w:w="100"/>
      </w:tblGrid>
      <w:tr>
        <w:trPr>
          <w:tblHeader/>
        </w:trPr>
        <w:tc>
          <w:tcPr>
            <w:tcW w:type="pct" w:w="24%"/>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Filing</w:t>
            </w:r>
          </w:p>
        </w:tc>
        <w:tc>
          <w:tcPr>
            <w:tcW w:type="pct" w:w="1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Frequency</w:t>
            </w:r>
          </w:p>
        </w:tc>
        <w:tc>
          <w:tcPr>
            <w:tcW w:type="pct" w:w="1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Authority</w:t>
            </w:r>
          </w:p>
        </w:tc>
        <w:tc>
          <w:tcPr>
            <w:tcW w:type="pct" w:w="14%"/>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Deadline</w:t>
            </w:r>
          </w:p>
        </w:tc>
        <w:tc>
          <w:tcPr>
            <w:tcW w:type="pct" w:w="42%"/>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Key Content</w:t>
            </w:r>
          </w:p>
        </w:tc>
      </w:tr>
      <w:tr>
        <w:tc>
          <w:tcPr>
            <w:tcW w:type="pct" w:w="24%"/>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 1065 — US Partnership Return</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Annual</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IRS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15 March (15 September with extension)</w:t>
            </w:r>
          </w:p>
        </w:tc>
        <w:tc>
          <w:tcPr>
            <w:tcW w:type="pct" w:w="42%"/>
            <w:tcMar>
              <w:top w:type="dxa" w:w="50"/>
              <w:left w:type="dxa" w:w="80"/>
              <w:bottom w:type="dxa" w:w="50"/>
              <w:right w:type="dxa" w:w="80"/>
            </w:tcMar>
          </w:tcPr>
          <w:p>
            <w:r>
              <w:rPr>
                <w:rFonts w:ascii="Calibri" w:cs="Calibri" w:eastAsia="Calibri" w:hAnsi="Calibri"/>
                <w:color w:val="404040"/>
                <w:sz w:val="19"/>
                <w:szCs w:val="19"/>
              </w:rPr>
              <w:t xml:space="preserve">Income, deductions, credits, and each partner's distributive share. Required for every US partnership with US tax filing obligation</w:t>
            </w:r>
          </w:p>
        </w:tc>
      </w:tr>
      <w:tr>
        <w:tc>
          <w:tcPr>
            <w:tcW w:type="pct" w:w="24%"/>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Schedule K-1 (per LP)</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Annual</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IRS (distributed to each LP)</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Same as Form 1065 deadline</w:t>
            </w:r>
          </w:p>
        </w:tc>
        <w:tc>
          <w:tcPr>
            <w:tcW w:type="pct" w:w="42%"/>
            <w:tcMar>
              <w:top w:type="dxa" w:w="50"/>
              <w:left w:type="dxa" w:w="80"/>
              <w:bottom w:type="dxa" w:w="50"/>
              <w:right w:type="dxa" w:w="80"/>
            </w:tcMar>
          </w:tcPr>
          <w:p>
            <w:r>
              <w:rPr>
                <w:rFonts w:ascii="Calibri" w:cs="Calibri" w:eastAsia="Calibri" w:hAnsi="Calibri"/>
                <w:color w:val="404040"/>
                <w:sz w:val="19"/>
                <w:szCs w:val="19"/>
              </w:rPr>
              <w:t xml:space="preserve">Each LP's share of: ordinary income/loss, capital gains (short/long), dividends, interest, foreign tax credits, UBTI, Section 199A</w:t>
            </w:r>
          </w:p>
        </w:tc>
      </w:tr>
      <w:tr>
        <w:tc>
          <w:tcPr>
            <w:tcW w:type="pct" w:w="24%"/>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PFIC Annual Information Statement</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Annual (per PFIC holding)</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Distributed to US LP investors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With Schedule K-1</w:t>
            </w:r>
          </w:p>
        </w:tc>
        <w:tc>
          <w:tcPr>
            <w:tcW w:type="pct" w:w="42%"/>
            <w:tcMar>
              <w:top w:type="dxa" w:w="50"/>
              <w:left w:type="dxa" w:w="80"/>
              <w:bottom w:type="dxa" w:w="50"/>
              <w:right w:type="dxa" w:w="80"/>
            </w:tcMar>
          </w:tcPr>
          <w:p>
            <w:r>
              <w:rPr>
                <w:rFonts w:ascii="Calibri" w:cs="Calibri" w:eastAsia="Calibri" w:hAnsi="Calibri"/>
                <w:color w:val="404040"/>
                <w:sz w:val="19"/>
                <w:szCs w:val="19"/>
              </w:rPr>
              <w:t xml:space="preserve">Required where fund holds passive foreign investment companies; enables US LPs to make QEF or mark-to-market elections</w:t>
            </w:r>
          </w:p>
        </w:tc>
      </w:tr>
      <w:tr>
        <w:tc>
          <w:tcPr>
            <w:tcW w:type="pct" w:w="24%"/>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 8865 (Foreign Partnership)</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Annual</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IRS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With Form 1065</w:t>
            </w:r>
          </w:p>
        </w:tc>
        <w:tc>
          <w:tcPr>
            <w:tcW w:type="pct" w:w="42%"/>
            <w:tcMar>
              <w:top w:type="dxa" w:w="50"/>
              <w:left w:type="dxa" w:w="80"/>
              <w:bottom w:type="dxa" w:w="50"/>
              <w:right w:type="dxa" w:w="80"/>
            </w:tcMar>
          </w:tcPr>
          <w:p>
            <w:r>
              <w:rPr>
                <w:rFonts w:ascii="Calibri" w:cs="Calibri" w:eastAsia="Calibri" w:hAnsi="Calibri"/>
                <w:color w:val="404040"/>
                <w:sz w:val="19"/>
                <w:szCs w:val="19"/>
              </w:rPr>
              <w:t xml:space="preserve">US persons with ≥10% interest in foreign partnerships (e.g., offshore feeder); transfer reporting</w:t>
            </w:r>
          </w:p>
        </w:tc>
      </w:tr>
      <w:tr>
        <w:tc>
          <w:tcPr>
            <w:tcW w:type="pct" w:w="24%"/>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State &amp; Local Partnership Returns</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Annual (per state with nexus)</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State revenue departments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Varies by state; typically April / September</w:t>
            </w:r>
          </w:p>
        </w:tc>
        <w:tc>
          <w:tcPr>
            <w:tcW w:type="pct" w:w="42%"/>
            <w:tcMar>
              <w:top w:type="dxa" w:w="50"/>
              <w:left w:type="dxa" w:w="80"/>
              <w:bottom w:type="dxa" w:w="50"/>
              <w:right w:type="dxa" w:w="80"/>
            </w:tcMar>
          </w:tcPr>
          <w:p>
            <w:r>
              <w:rPr>
                <w:rFonts w:ascii="Calibri" w:cs="Calibri" w:eastAsia="Calibri" w:hAnsi="Calibri"/>
                <w:color w:val="404040"/>
                <w:sz w:val="19"/>
                <w:szCs w:val="19"/>
              </w:rPr>
              <w:t xml:space="preserve">Apportioned income, composite returns for non-resident LPs, withholding remittances where required</w:t>
            </w:r>
          </w:p>
        </w:tc>
      </w:tr>
      <w:tr>
        <w:tc>
          <w:tcPr>
            <w:tcW w:type="pct" w:w="24%"/>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UBTI Schedule</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Annual</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Distributed to tax-exempt LPs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With Schedule K-1</w:t>
            </w:r>
          </w:p>
        </w:tc>
        <w:tc>
          <w:tcPr>
            <w:tcW w:type="pct" w:w="42%"/>
            <w:tcMar>
              <w:top w:type="dxa" w:w="50"/>
              <w:left w:type="dxa" w:w="80"/>
              <w:bottom w:type="dxa" w:w="50"/>
              <w:right w:type="dxa" w:w="80"/>
            </w:tcMar>
          </w:tcPr>
          <w:p>
            <w:r>
              <w:rPr>
                <w:rFonts w:ascii="Calibri" w:cs="Calibri" w:eastAsia="Calibri" w:hAnsi="Calibri"/>
                <w:color w:val="404040"/>
                <w:sz w:val="19"/>
                <w:szCs w:val="19"/>
              </w:rPr>
              <w:t xml:space="preserve">Unrelated Business Taxable Income from leveraged buyouts, active portfolio company operations, or debt-financed income</w:t>
            </w:r>
          </w:p>
        </w:tc>
      </w:tr>
      <w:tr>
        <w:tc>
          <w:tcPr>
            <w:tcW w:type="pct" w:w="24%"/>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 8990 (Business Interest Limitation)</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Annual</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IRS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With Form 1065</w:t>
            </w:r>
          </w:p>
        </w:tc>
        <w:tc>
          <w:tcPr>
            <w:tcW w:type="pct" w:w="42%"/>
            <w:tcMar>
              <w:top w:type="dxa" w:w="50"/>
              <w:left w:type="dxa" w:w="80"/>
              <w:bottom w:type="dxa" w:w="50"/>
              <w:right w:type="dxa" w:w="80"/>
            </w:tcMar>
          </w:tcPr>
          <w:p>
            <w:r>
              <w:rPr>
                <w:rFonts w:ascii="Calibri" w:cs="Calibri" w:eastAsia="Calibri" w:hAnsi="Calibri"/>
                <w:color w:val="404040"/>
                <w:sz w:val="19"/>
                <w:szCs w:val="19"/>
              </w:rPr>
              <w:t xml:space="preserve">Section 163(j) limitation on deductibility of business interest expense at fund and portfolio company level</w:t>
            </w:r>
          </w:p>
        </w:tc>
      </w:tr>
      <w:tr>
        <w:tc>
          <w:tcPr>
            <w:tcW w:type="pct" w:w="24%"/>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 1042 / 1042-S (Withholding)</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Annual</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IRS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15 March</w:t>
            </w:r>
          </w:p>
        </w:tc>
        <w:tc>
          <w:tcPr>
            <w:tcW w:type="pct" w:w="42%"/>
            <w:tcMar>
              <w:top w:type="dxa" w:w="50"/>
              <w:left w:type="dxa" w:w="80"/>
              <w:bottom w:type="dxa" w:w="50"/>
              <w:right w:type="dxa" w:w="80"/>
            </w:tcMar>
          </w:tcPr>
          <w:p>
            <w:r>
              <w:rPr>
                <w:rFonts w:ascii="Calibri" w:cs="Calibri" w:eastAsia="Calibri" w:hAnsi="Calibri"/>
                <w:color w:val="404040"/>
                <w:sz w:val="19"/>
                <w:szCs w:val="19"/>
              </w:rPr>
              <w:t xml:space="preserve">Withholding on US-source fixed/determinable income paid to non-US investors (dividends, interest, FDAP income)</w:t>
            </w:r>
          </w:p>
        </w:tc>
      </w:tr>
    </w:tbl>
    <w:p>
      <w:pPr>
        <w:spacing w:after="160" w:before="0"/>
      </w:pPr>
      <w:r>
        <w:t xml:space="preserve"/>
      </w:r>
    </w:p>
    <w:p>
      <w:pPr>
        <w:pStyle w:val="Heading2"/>
        <w:spacing w:after="120" w:before="320"/>
      </w:pPr>
      <w:r>
        <w:t xml:space="preserve">F.6  AML, KYC &amp; Sanctions Compliance</w:t>
      </w:r>
    </w:p>
    <w:p>
      <w:pPr>
        <w:spacing w:after="120" w:before="0"/>
      </w:pPr>
      <w:r>
        <w:rPr>
          <w:rFonts w:ascii="Calibri" w:cs="Calibri" w:eastAsia="Calibri" w:hAnsi="Calibri"/>
          <w:color w:val="404040"/>
          <w:sz w:val="22"/>
          <w:szCs w:val="22"/>
        </w:rPr>
        <w:t xml:space="preserve">Anti-money laundering and sanctions compliance obligations are process-driven rather than periodic filings. The table below details the key programme components, the triggering events, and the records that must be maintained.</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gridCol w:w="100"/>
      </w:tblGrid>
      <w:tr>
        <w:trPr>
          <w:tblHeader/>
        </w:trPr>
        <w:tc>
          <w:tcPr>
            <w:tcW w:type="pct" w:w="22%"/>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Control / Filing</w:t>
            </w:r>
          </w:p>
        </w:tc>
        <w:tc>
          <w:tcPr>
            <w:tcW w:type="pct" w:w="14%"/>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Trigger</w:t>
            </w:r>
          </w:p>
        </w:tc>
        <w:tc>
          <w:tcPr>
            <w:tcW w:type="pct" w:w="12%"/>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Authority</w:t>
            </w:r>
          </w:p>
        </w:tc>
        <w:tc>
          <w:tcPr>
            <w:tcW w:type="pct" w:w="14%"/>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Timing</w:t>
            </w:r>
          </w:p>
        </w:tc>
        <w:tc>
          <w:tcPr>
            <w:tcW w:type="pct" w:w="38%"/>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Key Content</w:t>
            </w:r>
          </w:p>
        </w:tc>
      </w:tr>
      <w:tr>
        <w:tc>
          <w:tcPr>
            <w:tcW w:type="pct" w:w="22%"/>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AML / BSA Written Programme</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Maintain and update annually</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FinCEN</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Ongoing</w:t>
            </w:r>
          </w:p>
        </w:tc>
        <w:tc>
          <w:tcPr>
            <w:tcW w:type="pct" w:w="38%"/>
            <w:tcMar>
              <w:top w:type="dxa" w:w="50"/>
              <w:left w:type="dxa" w:w="80"/>
              <w:bottom w:type="dxa" w:w="50"/>
              <w:right w:type="dxa" w:w="80"/>
            </w:tcMar>
          </w:tcPr>
          <w:p>
            <w:r>
              <w:rPr>
                <w:rFonts w:ascii="Calibri" w:cs="Calibri" w:eastAsia="Calibri" w:hAnsi="Calibri"/>
                <w:color w:val="404040"/>
                <w:sz w:val="19"/>
                <w:szCs w:val="19"/>
              </w:rPr>
              <w:t xml:space="preserve">Risk-based AML policies, CIP procedures, customer due diligence, suspicious activity escalation procedures, independent testing</w:t>
            </w:r>
          </w:p>
        </w:tc>
      </w:tr>
      <w:tr>
        <w:tc>
          <w:tcPr>
            <w:tcW w:type="pct" w:w="22%"/>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Customer Identification Programme (CIP)</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At each new investor onboarding</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FinCEN / Internal</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Before investment</w:t>
            </w:r>
          </w:p>
        </w:tc>
        <w:tc>
          <w:tcPr>
            <w:tcW w:type="pct" w:w="38%"/>
            <w:tcMar>
              <w:top w:type="dxa" w:w="50"/>
              <w:left w:type="dxa" w:w="80"/>
              <w:bottom w:type="dxa" w:w="50"/>
              <w:right w:type="dxa" w:w="80"/>
            </w:tcMar>
          </w:tcPr>
          <w:p>
            <w:r>
              <w:rPr>
                <w:rFonts w:ascii="Calibri" w:cs="Calibri" w:eastAsia="Calibri" w:hAnsi="Calibri"/>
                <w:color w:val="404040"/>
                <w:sz w:val="19"/>
                <w:szCs w:val="19"/>
              </w:rPr>
              <w:t xml:space="preserve">Name, address, DOB / formation date, TIN / EIN / passport; verification via documentary or non-documentary means</w:t>
            </w:r>
          </w:p>
        </w:tc>
      </w:tr>
      <w:tr>
        <w:tc>
          <w:tcPr>
            <w:tcW w:type="pct" w:w="22%"/>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Beneficial Ownership (CDD Rule)</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At onboarding; update on change</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FinCEN</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Before investment / within 30 days of change</w:t>
            </w:r>
          </w:p>
        </w:tc>
        <w:tc>
          <w:tcPr>
            <w:tcW w:type="pct" w:w="38%"/>
            <w:tcMar>
              <w:top w:type="dxa" w:w="50"/>
              <w:left w:type="dxa" w:w="80"/>
              <w:bottom w:type="dxa" w:w="50"/>
              <w:right w:type="dxa" w:w="80"/>
            </w:tcMar>
          </w:tcPr>
          <w:p>
            <w:r>
              <w:rPr>
                <w:rFonts w:ascii="Calibri" w:cs="Calibri" w:eastAsia="Calibri" w:hAnsi="Calibri"/>
                <w:color w:val="404040"/>
                <w:sz w:val="19"/>
                <w:szCs w:val="19"/>
              </w:rPr>
              <w:t xml:space="preserve">Legal entity customers: identify natural persons owning ≥25% and one control person; collect and verify information</w:t>
            </w:r>
          </w:p>
        </w:tc>
      </w:tr>
      <w:tr>
        <w:tc>
          <w:tcPr>
            <w:tcW w:type="pct" w:w="22%"/>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OFAC Sanctions Screening</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At onboarding + periodic (at least annual)</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OFAC</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Before investment; ongoing</w:t>
            </w:r>
          </w:p>
        </w:tc>
        <w:tc>
          <w:tcPr>
            <w:tcW w:type="pct" w:w="38%"/>
            <w:tcMar>
              <w:top w:type="dxa" w:w="50"/>
              <w:left w:type="dxa" w:w="80"/>
              <w:bottom w:type="dxa" w:w="50"/>
              <w:right w:type="dxa" w:w="80"/>
            </w:tcMar>
          </w:tcPr>
          <w:p>
            <w:r>
              <w:rPr>
                <w:rFonts w:ascii="Calibri" w:cs="Calibri" w:eastAsia="Calibri" w:hAnsi="Calibri"/>
                <w:color w:val="404040"/>
                <w:sz w:val="19"/>
                <w:szCs w:val="19"/>
              </w:rPr>
              <w:t xml:space="preserve">Screen all investors, UBOs, portfolio companies, and counterparties against SDN, Sectoral, and consolidated lists</w:t>
            </w:r>
          </w:p>
        </w:tc>
      </w:tr>
      <w:tr>
        <w:tc>
          <w:tcPr>
            <w:tcW w:type="pct" w:w="22%"/>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Suspicious Activity Report (SAR)</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Event-driven (where required)</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FinCEN</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Within 30 days of detection (60 days if no suspect identified)</w:t>
            </w:r>
          </w:p>
        </w:tc>
        <w:tc>
          <w:tcPr>
            <w:tcW w:type="pct" w:w="38%"/>
            <w:tcMar>
              <w:top w:type="dxa" w:w="50"/>
              <w:left w:type="dxa" w:w="80"/>
              <w:bottom w:type="dxa" w:w="50"/>
              <w:right w:type="dxa" w:w="80"/>
            </w:tcMar>
          </w:tcPr>
          <w:p>
            <w:r>
              <w:rPr>
                <w:rFonts w:ascii="Calibri" w:cs="Calibri" w:eastAsia="Calibri" w:hAnsi="Calibri"/>
                <w:color w:val="404040"/>
                <w:sz w:val="19"/>
                <w:szCs w:val="19"/>
              </w:rPr>
              <w:t xml:space="preserve">Transaction amount, parties, suspicious activity description, no tipping-off restriction applies to non-covered institutions</w:t>
            </w:r>
          </w:p>
        </w:tc>
      </w:tr>
      <w:tr>
        <w:tc>
          <w:tcPr>
            <w:tcW w:type="pct" w:w="22%"/>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PEP (Politically Exposed Person) Review</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At onboarding + trigger-based</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Internal / Compliance</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Before investment</w:t>
            </w:r>
          </w:p>
        </w:tc>
        <w:tc>
          <w:tcPr>
            <w:tcW w:type="pct" w:w="38%"/>
            <w:tcMar>
              <w:top w:type="dxa" w:w="50"/>
              <w:left w:type="dxa" w:w="80"/>
              <w:bottom w:type="dxa" w:w="50"/>
              <w:right w:type="dxa" w:w="80"/>
            </w:tcMar>
          </w:tcPr>
          <w:p>
            <w:r>
              <w:rPr>
                <w:rFonts w:ascii="Calibri" w:cs="Calibri" w:eastAsia="Calibri" w:hAnsi="Calibri"/>
                <w:color w:val="404040"/>
                <w:sz w:val="19"/>
                <w:szCs w:val="19"/>
              </w:rPr>
              <w:t xml:space="preserve">Enhanced due diligence for PEPs and their immediate family / close associates; senior management approval required</w:t>
            </w:r>
          </w:p>
        </w:tc>
      </w:tr>
      <w:tr>
        <w:tc>
          <w:tcPr>
            <w:tcW w:type="pct" w:w="22%"/>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W-8BEN / W-8BEN-E / W-9 Collection</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At onboarding; renew every 3 years for W-8</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IRS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Before first payment / capital call</w:t>
            </w:r>
          </w:p>
        </w:tc>
        <w:tc>
          <w:tcPr>
            <w:tcW w:type="pct" w:w="38%"/>
            <w:tcMar>
              <w:top w:type="dxa" w:w="50"/>
              <w:left w:type="dxa" w:w="80"/>
              <w:bottom w:type="dxa" w:w="50"/>
              <w:right w:type="dxa" w:w="80"/>
            </w:tcMar>
          </w:tcPr>
          <w:p>
            <w:r>
              <w:rPr>
                <w:rFonts w:ascii="Calibri" w:cs="Calibri" w:eastAsia="Calibri" w:hAnsi="Calibri"/>
                <w:color w:val="404040"/>
                <w:sz w:val="19"/>
                <w:szCs w:val="19"/>
              </w:rPr>
              <w:t xml:space="preserve">US or non-US tax status certification; FATCA status classification; withholding determination</w:t>
            </w:r>
          </w:p>
        </w:tc>
      </w:tr>
      <w:tr>
        <w:tc>
          <w:tcPr>
            <w:tcW w:type="pct" w:w="22%"/>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Annual AML Training</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Annual</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Internal / FinCEN</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Annually</w:t>
            </w:r>
          </w:p>
        </w:tc>
        <w:tc>
          <w:tcPr>
            <w:tcW w:type="pct" w:w="38%"/>
            <w:tcMar>
              <w:top w:type="dxa" w:w="50"/>
              <w:left w:type="dxa" w:w="80"/>
              <w:bottom w:type="dxa" w:w="50"/>
              <w:right w:type="dxa" w:w="80"/>
            </w:tcMar>
          </w:tcPr>
          <w:p>
            <w:r>
              <w:rPr>
                <w:rFonts w:ascii="Calibri" w:cs="Calibri" w:eastAsia="Calibri" w:hAnsi="Calibri"/>
                <w:color w:val="404040"/>
                <w:sz w:val="19"/>
                <w:szCs w:val="19"/>
              </w:rPr>
              <w:t xml:space="preserve">All staff and relevant service providers trained on AML/CFT policies, red flags, escalation procedures</w:t>
            </w:r>
          </w:p>
        </w:tc>
      </w:tr>
    </w:tbl>
    <w:p>
      <w:pPr>
        <w:spacing w:after="160" w:before="0"/>
      </w:pPr>
      <w:r>
        <w:t xml:space="preserve"/>
      </w:r>
    </w:p>
    <w:p>
      <w:r>
        <w:br w:type="page"/>
      </w:r>
    </w:p>
    <w:p>
      <w:pPr>
        <w:pStyle w:val="Heading2"/>
        <w:spacing w:after="120" w:before="320"/>
      </w:pPr>
      <w:r>
        <w:t xml:space="preserve">F.7  Master Regulatory Filing Calendar</w:t>
      </w:r>
    </w:p>
    <w:p>
      <w:pPr>
        <w:spacing w:after="120" w:before="0"/>
      </w:pPr>
      <w:r>
        <w:rPr>
          <w:rFonts w:ascii="Calibri" w:cs="Calibri" w:eastAsia="Calibri" w:hAnsi="Calibri"/>
          <w:color w:val="404040"/>
          <w:sz w:val="22"/>
          <w:szCs w:val="22"/>
        </w:rPr>
        <w:t xml:space="preserve">The calendar below consolidates all recurring regulatory filings across jurisdictions, sorted by frequency and typical deadline. Dates assume a 31 December fiscal year-end. Specific deadlines vary by regulator and may shift for weekends or local public holidays.</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gridCol w:w="100"/>
        <w:gridCol w:w="100"/>
      </w:tblGrid>
      <w:tr>
        <w:trPr>
          <w:tblHeader/>
        </w:trPr>
        <w:tc>
          <w:tcPr>
            <w:tcW w:type="pct" w:w="12%"/>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Frequency</w:t>
            </w:r>
          </w:p>
        </w:tc>
        <w:tc>
          <w:tcPr>
            <w:tcW w:type="pct" w:w="26%"/>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Filing / Obligation</w:t>
            </w:r>
          </w:p>
        </w:tc>
        <w:tc>
          <w:tcPr>
            <w:tcW w:type="pct" w:w="1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Jurisdiction</w:t>
            </w:r>
          </w:p>
        </w:tc>
        <w:tc>
          <w:tcPr>
            <w:tcW w:type="pct" w:w="14%"/>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Regulator</w:t>
            </w:r>
          </w:p>
        </w:tc>
        <w:tc>
          <w:tcPr>
            <w:tcW w:type="pct" w:w="14%"/>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Deadline</w:t>
            </w:r>
          </w:p>
        </w:tc>
        <w:tc>
          <w:tcPr>
            <w:tcW w:type="pct" w:w="24%"/>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Notes</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C00000"/>
                <w:sz w:val="18"/>
                <w:szCs w:val="18"/>
              </w:rPr>
              <w:t xml:space="preserve">Per Trade (T+1)</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EMIR Trade Reporting</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EU</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ESMA / Trade Repository</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Next business day</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All OTC derivatives</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C00000"/>
                <w:sz w:val="18"/>
                <w:szCs w:val="18"/>
              </w:rPr>
              <w:t xml:space="preserve">Per Trade (T+1)</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UK MiFIR Transaction Reporting</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UK</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FCA via ARM</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Next business day</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In-scope financial instruments</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C00000"/>
                <w:sz w:val="18"/>
                <w:szCs w:val="18"/>
              </w:rPr>
              <w:t xml:space="preserve">Per Transaction</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OFAC Sanctions Screen</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Global</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OFAC</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Pre-investment</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All investors, UBOs, portfolio cos.</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C55A11"/>
                <w:sz w:val="18"/>
                <w:szCs w:val="18"/>
              </w:rPr>
              <w:t xml:space="preserve">Per Event</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 D (Reg D)</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US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SEC</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T+15 days of first sale</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Per fund / offering</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C55A11"/>
                <w:sz w:val="18"/>
                <w:szCs w:val="18"/>
              </w:rPr>
              <w:t xml:space="preserve">Per Event</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HSR Premerger Notification</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US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FTC / DOJ</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Before deal close</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Qualifying acquisitions only</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C55A11"/>
                <w:sz w:val="18"/>
                <w:szCs w:val="18"/>
              </w:rPr>
              <w:t xml:space="preserve">Per Event</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 13D / 13G</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US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SEC</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10 / 45 days</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≥5% public company ownership</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C55A11"/>
                <w:sz w:val="18"/>
                <w:szCs w:val="18"/>
              </w:rPr>
              <w:t xml:space="preserve">Per Event</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CIMA Director Registration</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Cayman</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CIMA</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T+21 days</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New director appointments</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C55A11"/>
                <w:sz w:val="18"/>
                <w:szCs w:val="18"/>
              </w:rPr>
              <w:t xml:space="preserve">Per Event</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Beneficial Ownership Register Update</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Cayman / UK</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CIMA / Registrar</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T+15 days of change</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UBO changes ≥25%</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C55A11"/>
                <w:sz w:val="18"/>
                <w:szCs w:val="18"/>
              </w:rPr>
              <w:t xml:space="preserve">Per Event</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AIFMD Marketing Notification</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EU</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NCA (home + host)</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Prior to marketing</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Per fund per member state</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C55A11"/>
                <w:sz w:val="18"/>
                <w:szCs w:val="18"/>
              </w:rPr>
              <w:t xml:space="preserve">Per Event</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SAR Filing</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US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FinCEN</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T+30 days of detection</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Where required</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375623"/>
                <w:sz w:val="18"/>
                <w:szCs w:val="18"/>
              </w:rPr>
              <w:t xml:space="preserve">Quarterly</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 PF (large PE adviser)</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US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SEC</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T+60 days post quarter</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≥$2B PE AUM filers</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375623"/>
                <w:sz w:val="18"/>
                <w:szCs w:val="18"/>
              </w:rPr>
              <w:t xml:space="preserve">Quarterly</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 13F</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US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SEC</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T+45 days post quarter</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≥$100M Section 13(f) securities</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375623"/>
                <w:sz w:val="18"/>
                <w:szCs w:val="18"/>
              </w:rPr>
              <w:t xml:space="preserve">Quarterly</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 CPO-PQR Schedule A</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US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NFA</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T+60 days post quarter</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Registered CPOs</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375623"/>
                <w:sz w:val="18"/>
                <w:szCs w:val="18"/>
              </w:rPr>
              <w:t xml:space="preserve">Quarterly</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FCA Capital Adequacy Return</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UK</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FCA RegData</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T+20 business days</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Authorised firms</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2F5496"/>
                <w:sz w:val="18"/>
                <w:szCs w:val="18"/>
              </w:rPr>
              <w:t xml:space="preserve">Semi-Annual</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AIFMD Annex IV (large AIFM)</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EU</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NCA</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T+30 days post period</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AUM &gt; AIFMD thresholds</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2F5496"/>
                <w:sz w:val="18"/>
                <w:szCs w:val="18"/>
              </w:rPr>
              <w:t xml:space="preserve">Semi-Annual</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UK AIFMD Annex IV (large)</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UK</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FCA RegData</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T+30 days post period</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1F3864"/>
                <w:sz w:val="18"/>
                <w:szCs w:val="18"/>
              </w:rPr>
              <w:t xml:space="preserve">Annual</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 ADV (Parts 1, 2A, 2B)</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US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SEC IARD</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31 March (90 days post 31 Dec FY)</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Material changes trigger interim amendment</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1F3864"/>
                <w:sz w:val="18"/>
                <w:szCs w:val="18"/>
              </w:rPr>
              <w:t xml:space="preserve">Annual</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 PF (standard)</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US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SEC</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30 April (120 days post 31 Dec FY)</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All registered PE advisers</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1F3864"/>
                <w:sz w:val="18"/>
                <w:szCs w:val="18"/>
              </w:rPr>
              <w:t xml:space="preserve">Annual</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 1065 + K-1s</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US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IRS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15 March (15 Sept with extension)</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US partnership tax return</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1F3864"/>
                <w:sz w:val="18"/>
                <w:szCs w:val="18"/>
              </w:rPr>
              <w:t xml:space="preserve">Annual</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 1042 / 1042-S</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US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IRS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15 March</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Withholding on US-source income</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1F3864"/>
                <w:sz w:val="18"/>
                <w:szCs w:val="18"/>
              </w:rPr>
              <w:t xml:space="preserve">Annual</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AIFMD Annex IV (small AIFM)</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EU</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NCA</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T+60 days post FY-end</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1F3864"/>
                <w:sz w:val="18"/>
                <w:szCs w:val="18"/>
              </w:rPr>
              <w:t xml:space="preserve">Annual</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SFDR Art. 3/4 PAI Statement</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EU</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Website / NCA</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30 June</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Entity-level sustainability disclosures</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1F3864"/>
                <w:sz w:val="18"/>
                <w:szCs w:val="18"/>
              </w:rPr>
              <w:t xml:space="preserve">Annual</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SFDR Art. 8/9 Periodic Report</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EU</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Fund documents / NCA</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T+4 months post FY-end</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Product-level ESG report</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1F3864"/>
                <w:sz w:val="18"/>
                <w:szCs w:val="18"/>
              </w:rPr>
              <w:t xml:space="preserve">Annual</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UK AIFMD Annex IV (small)</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UK</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FCA RegData</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T+60 days post FY-end</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1F3864"/>
                <w:sz w:val="18"/>
                <w:szCs w:val="18"/>
              </w:rPr>
              <w:t xml:space="preserve">Annual</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FCA Annual Financial Return</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UK</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FCA RegData</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T+4 months post FY-end</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1F3864"/>
                <w:sz w:val="18"/>
                <w:szCs w:val="18"/>
              </w:rPr>
              <w:t xml:space="preserve">Annual</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CIMA Annual Return + Audited Accounts</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Cayman</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CIMA</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30 June (6 months post 31 Dec FY)</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Annual fee due 15 January</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1F3864"/>
                <w:sz w:val="18"/>
                <w:szCs w:val="18"/>
              </w:rPr>
              <w:t xml:space="preserve">Annual</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Economic Substance Return</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Cayman</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DITC</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T+12 months post FY-end</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31 December deadline</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1F3864"/>
                <w:sz w:val="18"/>
                <w:szCs w:val="18"/>
              </w:rPr>
              <w:t xml:space="preserve">Annual</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FATCA Filing (IGA Model 1)</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Cayman / Global</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DITC → IRS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31 July</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US reportable accounts as of 31 Dec</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1F3864"/>
                <w:sz w:val="18"/>
                <w:szCs w:val="18"/>
              </w:rPr>
              <w:t xml:space="preserve">Annual</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CRS Filing</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Cayman / Global</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DITC → OECD</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31 July</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All non-US tax resident accounts</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1F3864"/>
                <w:sz w:val="18"/>
                <w:szCs w:val="18"/>
              </w:rPr>
              <w:t xml:space="preserve">Annual</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 CPO-PQR Schedules B &amp; C</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US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NFA</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T+60 days post FY-end</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Large CPO filers</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1F3864"/>
                <w:sz w:val="18"/>
                <w:szCs w:val="18"/>
              </w:rPr>
              <w:t xml:space="preserve">Annual</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State Partnership Returns</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US (state)</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State Revenue Depts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Varies (typically April)</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Nexus states only</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1F3864"/>
                <w:sz w:val="18"/>
                <w:szCs w:val="18"/>
              </w:rPr>
              <w:t xml:space="preserve">Annual</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AML Programme Review + Staff Training</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Global</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Internal / FinCEN</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Annually</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Board sign-off recommended</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1F3864"/>
                <w:sz w:val="18"/>
                <w:szCs w:val="18"/>
              </w:rPr>
              <w:t xml:space="preserve">Annual</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PRIIPs KID Update</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EU / UK</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Distributed to retail investors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1 January / T+35 days material change</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1F3864"/>
                <w:sz w:val="18"/>
                <w:szCs w:val="18"/>
              </w:rPr>
              <w:t xml:space="preserve">Annual</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W-8 Form Renewal</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US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IRS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Every 3 years (or on status change)</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Non-US investor tax certifications</w:t>
            </w:r>
          </w:p>
        </w:tc>
      </w:tr>
    </w:tbl>
    <w:p>
      <w:pPr>
        <w:spacing w:after="160" w:before="0"/>
      </w:pPr>
      <w:r>
        <w:t xml:space="preserve"/>
      </w:r>
    </w:p>
    <w:p>
      <w:pPr>
        <w:pStyle w:val="Heading2"/>
        <w:spacing w:after="120" w:before="320"/>
      </w:pPr>
      <w:r>
        <w:t xml:space="preserve">F.8  Regulatory Data Model — Key Fields</w:t>
      </w:r>
    </w:p>
    <w:p>
      <w:pPr>
        <w:spacing w:after="120" w:before="0"/>
      </w:pPr>
      <w:r>
        <w:rPr>
          <w:rFonts w:ascii="Calibri" w:cs="Calibri" w:eastAsia="Calibri" w:hAnsi="Calibri"/>
          <w:color w:val="404040"/>
          <w:sz w:val="22"/>
          <w:szCs w:val="22"/>
        </w:rPr>
        <w:t xml:space="preserve">The following fields should be captured in the data model to support automated regulatory filing and audit trail requirements. These extend the core Investor, Commitment, and Transaction entities defined in Appendix E.</w:t>
      </w:r>
    </w:p>
    <w:p>
      <w:pPr>
        <w:spacing w:after="160" w:before="0"/>
      </w:pPr>
      <w:r>
        <w:t xml:space="preserve"/>
      </w:r>
    </w:p>
    <w:p>
      <w:pPr>
        <w:spacing w:after="80" w:before="200"/>
      </w:pPr>
      <w:r>
        <w:rPr>
          <w:rFonts w:ascii="Calibri" w:cs="Calibri" w:eastAsia="Calibri" w:hAnsi="Calibri"/>
          <w:b/>
          <w:bCs/>
          <w:color w:val="1F3864"/>
          <w:sz w:val="24"/>
          <w:szCs w:val="24"/>
        </w:rPr>
        <w:t xml:space="preserve">Investor Entity — Regulatory Extensions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tblGrid>
      <w:tr>
        <w:trPr>
          <w:tblHeader/>
        </w:trPr>
        <w:tc>
          <w:tcPr>
            <w:tcW w:type="pct" w:w="2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Field</w:t>
            </w:r>
          </w:p>
        </w:tc>
        <w:tc>
          <w:tcPr>
            <w:tcW w:type="pct" w:w="12%"/>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Type</w:t>
            </w:r>
          </w:p>
        </w:tc>
        <w:tc>
          <w:tcPr>
            <w:tcW w:type="pct" w:w="43%"/>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Description</w:t>
            </w:r>
          </w:p>
        </w:tc>
        <w:tc>
          <w:tcPr>
            <w:tcW w:type="pct" w:w="2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Supports</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fatca_status</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String</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FFI / NFFE / US Person / Exempt</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FATCA / 1042-S</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crs_tax_residency</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String[]</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ISO 3166-1 country codes (can be multiple)</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CRS filing</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giin</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String</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Global Intermediary ID number (for FFI investors)</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FATCA IGA</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tin_us</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String</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US Tax ID (SSN / EIN / ITIN)</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Form 1065 / K-1</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tin_foreign</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String</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Non-US Tax Identification Number</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CRS</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w8_w9_form_type</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String</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W-9 / W-8BEN / W-8BEN-E / W-8IMY</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IRS withholding</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w8_expiry_date</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Date</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W-8 certification expires 3 years after execution</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IRS</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erisa_plan_investor</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Boolean</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Is this investor an ERISA benefit plan investor?</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ERISA 25% test</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erisa_participation_pct</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Decimal</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LP's % of fund that triggers plan asset counting</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Form 5500</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pep_flag</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Boolean</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Is investor / UBO a Politically Exposed Person?</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AML / CDD</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ofac_screen_date</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Date</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Last OFAC sanctions screening date</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AML programme</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ofac_screen_result</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String</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Clear / Hit / Escalated</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AML programme</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kyc_approved_date</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Date</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Date KYC approval completed</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CIP / CDD Rule</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kyc_refresh_due_date</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Date</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Next scheduled KYC refresh</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AML programme</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ubo_verified</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Boolean</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Beneficial ownership verified per CDD Rule</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FinCEN CDD Rule</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lei</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String</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Legal Entity Identifier (20-char ISO 17442)</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EMIR / MiFIR</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aifmd_investor_type</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String</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Professional / Semi-Professional / Retail (EU classification)</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AIFMD marketing</w:t>
            </w:r>
          </w:p>
        </w:tc>
      </w:tr>
    </w:tbl>
    <w:p>
      <w:pPr>
        <w:spacing w:after="160" w:before="0"/>
      </w:pPr>
      <w:r>
        <w:t xml:space="preserve"/>
      </w:r>
    </w:p>
    <w:p>
      <w:pPr>
        <w:spacing w:after="80" w:before="200"/>
      </w:pPr>
      <w:r>
        <w:rPr>
          <w:rFonts w:ascii="Calibri" w:cs="Calibri" w:eastAsia="Calibri" w:hAnsi="Calibri"/>
          <w:b/>
          <w:bCs/>
          <w:color w:val="1F3864"/>
          <w:sz w:val="24"/>
          <w:szCs w:val="24"/>
        </w:rPr>
        <w:t xml:space="preserve">Fund Entity — Regulatory Extensions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tblGrid>
      <w:tr>
        <w:trPr>
          <w:tblHeader/>
        </w:trPr>
        <w:tc>
          <w:tcPr>
            <w:tcW w:type="pct" w:w="2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Field</w:t>
            </w:r>
          </w:p>
        </w:tc>
        <w:tc>
          <w:tcPr>
            <w:tcW w:type="pct" w:w="12%"/>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Type</w:t>
            </w:r>
          </w:p>
        </w:tc>
        <w:tc>
          <w:tcPr>
            <w:tcW w:type="pct" w:w="43%"/>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Description</w:t>
            </w:r>
          </w:p>
        </w:tc>
        <w:tc>
          <w:tcPr>
            <w:tcW w:type="pct" w:w="2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Supports</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sec_file_number</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String</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SEC adviser registration number (801-XXXXXX)</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Form ADV</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cftc_registration_status</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String</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Registered CPO / Exempt (4.13(a)(3)) / Not applicable</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Form CPO-PQR</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aifmd_status</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String</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EU AIFM / Non-EU AIFM-NPPR / Sub-threshold</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AIFMD Annex IV</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aifmd_home_nca</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String</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Home National Competent Authority (e.g., FCA, BaFin, AMF)</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AIFMD Annex IV</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sfdr_article_classification</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String</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Article 6 / Article 8 / Article 9</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SFDR product disclosure</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form_pf_fund_type</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String</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Private Equity Fund / Hedge Fund / Liquidity Fund</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Form PF</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cima_registration_number</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String</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Cayman Islands Monetary Authority registration ID</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CIMA annual return</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economic_substance_relevant</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Boolean</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Is fund conducting a relevant activity under ES rules?</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ES Return</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erisa_plan_asset_pct</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Decimal</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Current % of fund AUM attributable to ERISA benefit plan investors</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ERISA 25% test</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fatca_giin</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String</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Fund's own GIIN if registered as FFI</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FATCA IGA filing</w:t>
            </w:r>
          </w:p>
        </w:tc>
      </w:tr>
    </w:tbl>
    <w:p>
      <w:pPr>
        <w:spacing w:after="160" w:before="0"/>
      </w:pPr>
      <w:r>
        <w:t xml:space="preserve"/>
      </w:r>
    </w:p>
    <w:p>
      <w:pPr>
        <w:pStyle w:val="Heading2"/>
        <w:spacing w:after="120" w:before="320"/>
      </w:pPr>
      <w:r>
        <w:t xml:space="preserve">F.9  Key Compliance Principles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tblGrid>
      <w:tr>
        <w:trPr>
          <w:tblHeader/>
        </w:trPr>
        <w:tc>
          <w:tcPr>
            <w:tcW w:type="pct" w:w="22%"/>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Principle</w:t>
            </w:r>
          </w:p>
        </w:tc>
        <w:tc>
          <w:tcPr>
            <w:tcW w:type="pct" w:w="78%"/>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Implication for Data Model and Operations</w:t>
            </w:r>
          </w:p>
        </w:tc>
      </w:tr>
      <w:tr>
        <w:tc>
          <w:tcPr>
            <w:tcW w:type="pct" w:w="22%"/>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Substance over form</w:t>
            </w:r>
          </w:p>
        </w:tc>
        <w:tc>
          <w:tcPr>
            <w:tcW w:type="pct" w:w="78%"/>
            <w:tcMar>
              <w:top w:type="dxa" w:w="50"/>
              <w:left w:type="dxa" w:w="80"/>
              <w:bottom w:type="dxa" w:w="50"/>
              <w:right w:type="dxa" w:w="80"/>
            </w:tcMar>
          </w:tcPr>
          <w:p>
            <w:r>
              <w:rPr>
                <w:rFonts w:ascii="Calibri" w:cs="Calibri" w:eastAsia="Calibri" w:hAnsi="Calibri"/>
                <w:color w:val="404040"/>
                <w:sz w:val="19"/>
                <w:szCs w:val="19"/>
              </w:rPr>
              <w:t xml:space="preserve">Regulatory obligations attach to the economic and legal reality of fund operations, not just their documented structure. A Cayman master fund with a US-only investor base may nonetheless trigger Form PF, ERISA plan asset, and FATCA obligations.</w:t>
            </w:r>
          </w:p>
        </w:tc>
      </w:tr>
      <w:tr>
        <w:tc>
          <w:tcPr>
            <w:tcW w:type="pct" w:w="22%"/>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Jurisdiction layering</w:t>
            </w:r>
          </w:p>
        </w:tc>
        <w:tc>
          <w:tcPr>
            <w:tcW w:type="pct" w:w="78%"/>
            <w:tcMar>
              <w:top w:type="dxa" w:w="50"/>
              <w:left w:type="dxa" w:w="80"/>
              <w:bottom w:type="dxa" w:w="50"/>
              <w:right w:type="dxa" w:w="80"/>
            </w:tcMar>
          </w:tcPr>
          <w:p>
            <w:r>
              <w:rPr>
                <w:rFonts w:ascii="Calibri" w:cs="Calibri" w:eastAsia="Calibri" w:hAnsi="Calibri"/>
                <w:color w:val="404040"/>
                <w:sz w:val="19"/>
                <w:szCs w:val="19"/>
              </w:rPr>
              <w:t xml:space="preserve">A single capital call may trigger filing obligations in multiple jurisdictions simultaneously: US (Form PF data, K-1 input), Cayman (FATCA/CRS account reporting), and EU (AIFMD investor concentration data). The data model must capture jurisdiction-tagged fields to support parallel extraction.</w:t>
            </w:r>
          </w:p>
        </w:tc>
      </w:tr>
      <w:tr>
        <w:tc>
          <w:tcPr>
            <w:tcW w:type="pct" w:w="22%"/>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Deadline clustering</w:t>
            </w:r>
          </w:p>
        </w:tc>
        <w:tc>
          <w:tcPr>
            <w:tcW w:type="pct" w:w="78%"/>
            <w:tcMar>
              <w:top w:type="dxa" w:w="50"/>
              <w:left w:type="dxa" w:w="80"/>
              <w:bottom w:type="dxa" w:w="50"/>
              <w:right w:type="dxa" w:w="80"/>
            </w:tcMar>
          </w:tcPr>
          <w:p>
            <w:r>
              <w:rPr>
                <w:rFonts w:ascii="Calibri" w:cs="Calibri" w:eastAsia="Calibri" w:hAnsi="Calibri"/>
                <w:color w:val="404040"/>
                <w:sz w:val="19"/>
                <w:szCs w:val="19"/>
              </w:rPr>
              <w:t xml:space="preserve">The window between 31 March and 31 July is the most intensive regulatory period: Form ADV (March), Form 1065/K-1s (March), Form PF annual (April), CIMA audited accounts (June), FATCA/CRS (July). Fund administrators typically require LP data inputs by February to meet this schedule.</w:t>
            </w:r>
          </w:p>
        </w:tc>
      </w:tr>
      <w:tr>
        <w:tc>
          <w:tcPr>
            <w:tcW w:type="pct" w:w="22%"/>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Investor classification as a prerequisite</w:t>
            </w:r>
          </w:p>
        </w:tc>
        <w:tc>
          <w:tcPr>
            <w:tcW w:type="pct" w:w="78%"/>
            <w:tcMar>
              <w:top w:type="dxa" w:w="50"/>
              <w:left w:type="dxa" w:w="80"/>
              <w:bottom w:type="dxa" w:w="50"/>
              <w:right w:type="dxa" w:w="80"/>
            </w:tcMar>
          </w:tcPr>
          <w:p>
            <w:r>
              <w:rPr>
                <w:rFonts w:ascii="Calibri" w:cs="Calibri" w:eastAsia="Calibri" w:hAnsi="Calibri"/>
                <w:color w:val="404040"/>
                <w:sz w:val="19"/>
                <w:szCs w:val="19"/>
              </w:rPr>
              <w:t xml:space="preserve">FATCA status, CRS tax residency, ERISA plan investor status, and AIFMD investor type must all be resolved at onboarding — before the first capital call — because errors cascade into regulatory filings, withholding rates, and plan asset tests.</w:t>
            </w:r>
          </w:p>
        </w:tc>
      </w:tr>
      <w:tr>
        <w:tc>
          <w:tcPr>
            <w:tcW w:type="pct" w:w="22%"/>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AML as continuous obligation</w:t>
            </w:r>
          </w:p>
        </w:tc>
        <w:tc>
          <w:tcPr>
            <w:tcW w:type="pct" w:w="78%"/>
            <w:tcMar>
              <w:top w:type="dxa" w:w="50"/>
              <w:left w:type="dxa" w:w="80"/>
              <w:bottom w:type="dxa" w:w="50"/>
              <w:right w:type="dxa" w:w="80"/>
            </w:tcMar>
          </w:tcPr>
          <w:p>
            <w:r>
              <w:rPr>
                <w:rFonts w:ascii="Calibri" w:cs="Calibri" w:eastAsia="Calibri" w:hAnsi="Calibri"/>
                <w:color w:val="404040"/>
                <w:sz w:val="19"/>
                <w:szCs w:val="19"/>
              </w:rPr>
              <w:t xml:space="preserve">Unlike periodic filings, AML/KYC is a continuous control. Investor records must be flagged for periodic refresh (typically every 1–3 years depending on risk rating) and on trigger events such as change of UBO, change of jurisdiction, or adverse news screening hits.</w:t>
            </w:r>
          </w:p>
        </w:tc>
      </w:tr>
    </w:tbl>
    <w:p>
      <w:pPr>
        <w:spacing w:after="160" w:before="0"/>
      </w:pPr>
      <w:r>
        <w:t xml:space="preserve"/>
      </w:r>
    </w:p>
    <w:p>
      <w:pPr>
        <w:pStyle w:val="Heading1"/>
        <w:spacing w:after="160" w:before="480"/>
      </w:pPr>
      <w:r>
        <w:t xml:space="preserve">Appendix G — Full PE Fund Lifecycle</w:t>
      </w:r>
    </w:p>
    <w:p>
      <w:pPr>
        <w:spacing w:after="120" w:before="0"/>
      </w:pPr>
      <w:r>
        <w:rPr>
          <w:rFonts w:ascii="Calibri" w:cs="Calibri" w:eastAsia="Calibri" w:hAnsi="Calibri"/>
          <w:color w:val="404040"/>
          <w:sz w:val="22"/>
          <w:szCs w:val="22"/>
        </w:rPr>
        <w:t xml:space="preserve">This appendix documents the end-to-end operational lifecycle of a private equity fund from origination of LP investor relationships through final dissolution. For each of the eleven phases the appendix defines the key activities, participants, data objects, and reporting outputs. The lifecycle maps directly to the data model described in Appendices A–E and the regulatory obligations set out in Appendix F.</w:t>
      </w:r>
    </w:p>
    <w:p>
      <w:pPr>
        <w:spacing w:after="160" w:before="0"/>
      </w:pPr>
      <w:r>
        <w:t xml:space="preserve"/>
      </w:r>
    </w:p>
    <w:p>
      <w:pPr>
        <w:pStyle w:val="Heading2"/>
        <w:spacing w:after="120" w:before="320"/>
      </w:pPr>
      <w:r>
        <w:t xml:space="preserve">G.0  Lifecycle at a Glance</w:t>
      </w:r>
    </w:p>
    <w:p>
      <w:pPr>
        <w:spacing w:after="120" w:before="0"/>
      </w:pPr>
      <w:r>
        <w:rPr>
          <w:rFonts w:ascii="Calibri" w:cs="Calibri" w:eastAsia="Calibri" w:hAnsi="Calibri"/>
          <w:color w:val="404040"/>
          <w:sz w:val="22"/>
          <w:szCs w:val="22"/>
        </w:rPr>
        <w:t xml:space="preserve">The table below summarises all eleven phases, the primary system of record, the key data objects created, the headline reports, and the cadence of each phase.</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gridCol w:w="100"/>
        <w:gridCol w:w="100"/>
      </w:tblGrid>
      <w:tr>
        <w:trPr>
          <w:tblHeader/>
        </w:trPr>
        <w:tc>
          <w:tcPr>
            <w:tcW w:type="pct" w:w="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Phase</w:t>
            </w:r>
          </w:p>
        </w:tc>
        <w:tc>
          <w:tcPr>
            <w:tcW w:type="pct" w:w="13%"/>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Name</w:t>
            </w:r>
          </w:p>
        </w:tc>
        <w:tc>
          <w:tcPr>
            <w:tcW w:type="pct" w:w="13%"/>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Primary Owner</w:t>
            </w:r>
          </w:p>
        </w:tc>
        <w:tc>
          <w:tcPr>
            <w:tcW w:type="pct" w:w="16%"/>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Key Data Objects</w:t>
            </w:r>
          </w:p>
        </w:tc>
        <w:tc>
          <w:tcPr>
            <w:tcW w:type="pct" w:w="2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Headline Reports</w:t>
            </w:r>
          </w:p>
        </w:tc>
        <w:tc>
          <w:tcPr>
            <w:tcW w:type="pct" w:w="1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Cadence</w:t>
            </w:r>
          </w:p>
        </w:tc>
      </w:tr>
      <w:tr>
        <w:tc>
          <w:tcPr>
            <w:tcW w:type="pct" w:w="5%"/>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G.1</w:t>
            </w:r>
          </w:p>
        </w:tc>
        <w:tc>
          <w:tcPr>
            <w:tcW w:type="pct" w:w="13%"/>
            <w:tcMar>
              <w:top w:type="dxa" w:w="50"/>
              <w:left w:type="dxa" w:w="80"/>
              <w:bottom w:type="dxa" w:w="50"/>
              <w:right w:type="dxa" w:w="80"/>
            </w:tcMar>
          </w:tcPr>
          <w:p>
            <w:r>
              <w:rPr>
                <w:rFonts w:ascii="Calibri" w:cs="Calibri" w:eastAsia="Calibri" w:hAnsi="Calibri"/>
                <w:b/>
                <w:bCs/>
                <w:color w:val="1F3864"/>
                <w:sz w:val="19"/>
                <w:szCs w:val="19"/>
              </w:rPr>
              <w:t xml:space="preserve">Origination</w:t>
            </w:r>
          </w:p>
        </w:tc>
        <w:tc>
          <w:tcPr>
            <w:tcW w:type="pct" w:w="13%"/>
            <w:tcMar>
              <w:top w:type="dxa" w:w="50"/>
              <w:left w:type="dxa" w:w="80"/>
              <w:bottom w:type="dxa" w:w="50"/>
              <w:right w:type="dxa" w:w="80"/>
            </w:tcMar>
          </w:tcPr>
          <w:p>
            <w:r>
              <w:rPr>
                <w:rFonts w:ascii="Calibri" w:cs="Calibri" w:eastAsia="Calibri" w:hAnsi="Calibri"/>
                <w:color w:val="404040"/>
                <w:sz w:val="19"/>
                <w:szCs w:val="19"/>
              </w:rPr>
              <w:t xml:space="preserve">CRM / IR</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Opportunity, Investor</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Win/Loss, Pipeline Funnel</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Prospect → Won / Declined</w:t>
            </w:r>
          </w:p>
        </w:tc>
      </w:tr>
      <w:tr>
        <w:tc>
          <w:tcPr>
            <w:tcW w:type="pct" w:w="5%"/>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G.2</w:t>
            </w:r>
          </w:p>
        </w:tc>
        <w:tc>
          <w:tcPr>
            <w:tcW w:type="pct" w:w="13%"/>
            <w:tcMar>
              <w:top w:type="dxa" w:w="50"/>
              <w:left w:type="dxa" w:w="80"/>
              <w:bottom w:type="dxa" w:w="50"/>
              <w:right w:type="dxa" w:w="80"/>
            </w:tcMar>
          </w:tcPr>
          <w:p>
            <w:r>
              <w:rPr>
                <w:rFonts w:ascii="Calibri" w:cs="Calibri" w:eastAsia="Calibri" w:hAnsi="Calibri"/>
                <w:b/>
                <w:bCs/>
                <w:color w:val="1F3864"/>
                <w:sz w:val="19"/>
                <w:szCs w:val="19"/>
              </w:rPr>
              <w:t xml:space="preserve">Fund Structuring</w:t>
            </w:r>
          </w:p>
        </w:tc>
        <w:tc>
          <w:tcPr>
            <w:tcW w:type="pct" w:w="13%"/>
            <w:tcMar>
              <w:top w:type="dxa" w:w="50"/>
              <w:left w:type="dxa" w:w="80"/>
              <w:bottom w:type="dxa" w:w="50"/>
              <w:right w:type="dxa" w:w="80"/>
            </w:tcMar>
          </w:tcPr>
          <w:p>
            <w:r>
              <w:rPr>
                <w:rFonts w:ascii="Calibri" w:cs="Calibri" w:eastAsia="Calibri" w:hAnsi="Calibri"/>
                <w:color w:val="404040"/>
                <w:sz w:val="19"/>
                <w:szCs w:val="19"/>
              </w:rPr>
              <w:t xml:space="preserve">Legal / Finance</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Fund, Vehicle, Feeder, Offering</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Terms Sheet, Entity Map</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One-time at fund launch</w:t>
            </w:r>
          </w:p>
        </w:tc>
      </w:tr>
      <w:tr>
        <w:tc>
          <w:tcPr>
            <w:tcW w:type="pct" w:w="5%"/>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G.3</w:t>
            </w:r>
          </w:p>
        </w:tc>
        <w:tc>
          <w:tcPr>
            <w:tcW w:type="pct" w:w="13%"/>
            <w:tcMar>
              <w:top w:type="dxa" w:w="50"/>
              <w:left w:type="dxa" w:w="80"/>
              <w:bottom w:type="dxa" w:w="50"/>
              <w:right w:type="dxa" w:w="80"/>
            </w:tcMar>
          </w:tcPr>
          <w:p>
            <w:r>
              <w:rPr>
                <w:rFonts w:ascii="Calibri" w:cs="Calibri" w:eastAsia="Calibri" w:hAnsi="Calibri"/>
                <w:b/>
                <w:bCs/>
                <w:color w:val="1F3864"/>
                <w:sz w:val="19"/>
                <w:szCs w:val="19"/>
              </w:rPr>
              <w:t xml:space="preserve">Fundraising</w:t>
            </w:r>
          </w:p>
        </w:tc>
        <w:tc>
          <w:tcPr>
            <w:tcW w:type="pct" w:w="13%"/>
            <w:tcMar>
              <w:top w:type="dxa" w:w="50"/>
              <w:left w:type="dxa" w:w="80"/>
              <w:bottom w:type="dxa" w:w="50"/>
              <w:right w:type="dxa" w:w="80"/>
            </w:tcMar>
          </w:tcPr>
          <w:p>
            <w:r>
              <w:rPr>
                <w:rFonts w:ascii="Calibri" w:cs="Calibri" w:eastAsia="Calibri" w:hAnsi="Calibri"/>
                <w:color w:val="404040"/>
                <w:sz w:val="19"/>
                <w:szCs w:val="19"/>
              </w:rPr>
              <w:t xml:space="preserve">IR / Legal / KYC</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Commitment, FundClose</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Fundraising Progress, KYC Status</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Per close; multi-close possible</w:t>
            </w:r>
          </w:p>
        </w:tc>
      </w:tr>
      <w:tr>
        <w:tc>
          <w:tcPr>
            <w:tcW w:type="pct" w:w="5%"/>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G.4</w:t>
            </w:r>
          </w:p>
        </w:tc>
        <w:tc>
          <w:tcPr>
            <w:tcW w:type="pct" w:w="13%"/>
            <w:tcMar>
              <w:top w:type="dxa" w:w="50"/>
              <w:left w:type="dxa" w:w="80"/>
              <w:bottom w:type="dxa" w:w="50"/>
              <w:right w:type="dxa" w:w="80"/>
            </w:tcMar>
          </w:tcPr>
          <w:p>
            <w:r>
              <w:rPr>
                <w:rFonts w:ascii="Calibri" w:cs="Calibri" w:eastAsia="Calibri" w:hAnsi="Calibri"/>
                <w:b/>
                <w:bCs/>
                <w:color w:val="1F3864"/>
                <w:sz w:val="19"/>
                <w:szCs w:val="19"/>
              </w:rPr>
              <w:t xml:space="preserve">Capital Calls</w:t>
            </w:r>
          </w:p>
        </w:tc>
        <w:tc>
          <w:tcPr>
            <w:tcW w:type="pct" w:w="13%"/>
            <w:tcMar>
              <w:top w:type="dxa" w:w="50"/>
              <w:left w:type="dxa" w:w="80"/>
              <w:bottom w:type="dxa" w:w="50"/>
              <w:right w:type="dxa" w:w="80"/>
            </w:tcMar>
          </w:tcPr>
          <w:p>
            <w:r>
              <w:rPr>
                <w:rFonts w:ascii="Calibri" w:cs="Calibri" w:eastAsia="Calibri" w:hAnsi="Calibri"/>
                <w:color w:val="404040"/>
                <w:sz w:val="19"/>
                <w:szCs w:val="19"/>
              </w:rPr>
              <w:t xml:space="preserve">Fund Admin / TA</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CapitalCall, Notice</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Call Schedule, Overdue Tracker</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Per investment / expense need</w:t>
            </w:r>
          </w:p>
        </w:tc>
      </w:tr>
      <w:tr>
        <w:tc>
          <w:tcPr>
            <w:tcW w:type="pct" w:w="5%"/>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G.5</w:t>
            </w:r>
          </w:p>
        </w:tc>
        <w:tc>
          <w:tcPr>
            <w:tcW w:type="pct" w:w="13%"/>
            <w:tcMar>
              <w:top w:type="dxa" w:w="50"/>
              <w:left w:type="dxa" w:w="80"/>
              <w:bottom w:type="dxa" w:w="50"/>
              <w:right w:type="dxa" w:w="80"/>
            </w:tcMar>
          </w:tcPr>
          <w:p>
            <w:r>
              <w:rPr>
                <w:rFonts w:ascii="Calibri" w:cs="Calibri" w:eastAsia="Calibri" w:hAnsi="Calibri"/>
                <w:b/>
                <w:bCs/>
                <w:color w:val="1F3864"/>
                <w:sz w:val="19"/>
                <w:szCs w:val="19"/>
              </w:rPr>
              <w:t xml:space="preserve">Fund Administration</w:t>
            </w:r>
          </w:p>
        </w:tc>
        <w:tc>
          <w:tcPr>
            <w:tcW w:type="pct" w:w="13%"/>
            <w:tcMar>
              <w:top w:type="dxa" w:w="50"/>
              <w:left w:type="dxa" w:w="80"/>
              <w:bottom w:type="dxa" w:w="50"/>
              <w:right w:type="dxa" w:w="80"/>
            </w:tcMar>
          </w:tcPr>
          <w:p>
            <w:r>
              <w:rPr>
                <w:rFonts w:ascii="Calibri" w:cs="Calibri" w:eastAsia="Calibri" w:hAnsi="Calibri"/>
                <w:color w:val="404040"/>
                <w:sz w:val="19"/>
                <w:szCs w:val="19"/>
              </w:rPr>
              <w:t xml:space="preserve">Fund Admin / TA / Audit</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Transaction (GL)</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Trial Balance, LP Stmt, NAV</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Continuous; quarterly NAV</w:t>
            </w:r>
          </w:p>
        </w:tc>
      </w:tr>
      <w:tr>
        <w:tc>
          <w:tcPr>
            <w:tcW w:type="pct" w:w="5%"/>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G.6</w:t>
            </w:r>
          </w:p>
        </w:tc>
        <w:tc>
          <w:tcPr>
            <w:tcW w:type="pct" w:w="13%"/>
            <w:tcMar>
              <w:top w:type="dxa" w:w="50"/>
              <w:left w:type="dxa" w:w="80"/>
              <w:bottom w:type="dxa" w:w="50"/>
              <w:right w:type="dxa" w:w="80"/>
            </w:tcMar>
          </w:tcPr>
          <w:p>
            <w:r>
              <w:rPr>
                <w:rFonts w:ascii="Calibri" w:cs="Calibri" w:eastAsia="Calibri" w:hAnsi="Calibri"/>
                <w:b/>
                <w:bCs/>
                <w:color w:val="1F3864"/>
                <w:sz w:val="19"/>
                <w:szCs w:val="19"/>
              </w:rPr>
              <w:t xml:space="preserve">Deployment</w:t>
            </w:r>
          </w:p>
        </w:tc>
        <w:tc>
          <w:tcPr>
            <w:tcW w:type="pct" w:w="13%"/>
            <w:tcMar>
              <w:top w:type="dxa" w:w="50"/>
              <w:left w:type="dxa" w:w="80"/>
              <w:bottom w:type="dxa" w:w="50"/>
              <w:right w:type="dxa" w:w="80"/>
            </w:tcMar>
          </w:tcPr>
          <w:p>
            <w:r>
              <w:rPr>
                <w:rFonts w:ascii="Calibri" w:cs="Calibri" w:eastAsia="Calibri" w:hAnsi="Calibri"/>
                <w:color w:val="404040"/>
                <w:sz w:val="19"/>
                <w:szCs w:val="19"/>
              </w:rPr>
              <w:t xml:space="preserve">Deal Team / IC</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PortfolioInvestment</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Pacing Report, Concentration</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Per IC approval</w:t>
            </w:r>
          </w:p>
        </w:tc>
      </w:tr>
      <w:tr>
        <w:tc>
          <w:tcPr>
            <w:tcW w:type="pct" w:w="5%"/>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G.7</w:t>
            </w:r>
          </w:p>
        </w:tc>
        <w:tc>
          <w:tcPr>
            <w:tcW w:type="pct" w:w="13%"/>
            <w:tcMar>
              <w:top w:type="dxa" w:w="50"/>
              <w:left w:type="dxa" w:w="80"/>
              <w:bottom w:type="dxa" w:w="50"/>
              <w:right w:type="dxa" w:w="80"/>
            </w:tcMar>
          </w:tcPr>
          <w:p>
            <w:r>
              <w:rPr>
                <w:rFonts w:ascii="Calibri" w:cs="Calibri" w:eastAsia="Calibri" w:hAnsi="Calibri"/>
                <w:b/>
                <w:bCs/>
                <w:color w:val="1F3864"/>
                <w:sz w:val="19"/>
                <w:szCs w:val="19"/>
              </w:rPr>
              <w:t xml:space="preserve">Portfolio Monitoring</w:t>
            </w:r>
          </w:p>
        </w:tc>
        <w:tc>
          <w:tcPr>
            <w:tcW w:type="pct" w:w="13%"/>
            <w:tcMar>
              <w:top w:type="dxa" w:w="50"/>
              <w:left w:type="dxa" w:w="80"/>
              <w:bottom w:type="dxa" w:w="50"/>
              <w:right w:type="dxa" w:w="80"/>
            </w:tcMar>
          </w:tcPr>
          <w:p>
            <w:r>
              <w:rPr>
                <w:rFonts w:ascii="Calibri" w:cs="Calibri" w:eastAsia="Calibri" w:hAnsi="Calibri"/>
                <w:color w:val="404040"/>
                <w:sz w:val="19"/>
                <w:szCs w:val="19"/>
              </w:rPr>
              <w:t xml:space="preserve">Portfolio Mgmt / Finance</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FundNAV, LPReport</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ILPA Report, Benchmarks</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Quarterly; annual audit</w:t>
            </w:r>
          </w:p>
        </w:tc>
      </w:tr>
      <w:tr>
        <w:tc>
          <w:tcPr>
            <w:tcW w:type="pct" w:w="5%"/>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G.8</w:t>
            </w:r>
          </w:p>
        </w:tc>
        <w:tc>
          <w:tcPr>
            <w:tcW w:type="pct" w:w="13%"/>
            <w:tcMar>
              <w:top w:type="dxa" w:w="50"/>
              <w:left w:type="dxa" w:w="80"/>
              <w:bottom w:type="dxa" w:w="50"/>
              <w:right w:type="dxa" w:w="80"/>
            </w:tcMar>
          </w:tcPr>
          <w:p>
            <w:r>
              <w:rPr>
                <w:rFonts w:ascii="Calibri" w:cs="Calibri" w:eastAsia="Calibri" w:hAnsi="Calibri"/>
                <w:b/>
                <w:bCs/>
                <w:color w:val="1F3864"/>
                <w:sz w:val="19"/>
                <w:szCs w:val="19"/>
              </w:rPr>
              <w:t xml:space="preserve">Equalization</w:t>
            </w:r>
          </w:p>
        </w:tc>
        <w:tc>
          <w:tcPr>
            <w:tcW w:type="pct" w:w="13%"/>
            <w:tcMar>
              <w:top w:type="dxa" w:w="50"/>
              <w:left w:type="dxa" w:w="80"/>
              <w:bottom w:type="dxa" w:w="50"/>
              <w:right w:type="dxa" w:w="80"/>
            </w:tcMar>
          </w:tcPr>
          <w:p>
            <w:r>
              <w:rPr>
                <w:rFonts w:ascii="Calibri" w:cs="Calibri" w:eastAsia="Calibri" w:hAnsi="Calibri"/>
                <w:color w:val="404040"/>
                <w:sz w:val="19"/>
                <w:szCs w:val="19"/>
              </w:rPr>
              <w:t xml:space="preserve">Fund Admin / TA</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FundClose, Eq. Notice</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Eq. Workpaper, Close Summary</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Per later fund close</w:t>
            </w:r>
          </w:p>
        </w:tc>
      </w:tr>
      <w:tr>
        <w:tc>
          <w:tcPr>
            <w:tcW w:type="pct" w:w="5%"/>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G.9</w:t>
            </w:r>
          </w:p>
        </w:tc>
        <w:tc>
          <w:tcPr>
            <w:tcW w:type="pct" w:w="13%"/>
            <w:tcMar>
              <w:top w:type="dxa" w:w="50"/>
              <w:left w:type="dxa" w:w="80"/>
              <w:bottom w:type="dxa" w:w="50"/>
              <w:right w:type="dxa" w:w="80"/>
            </w:tcMar>
          </w:tcPr>
          <w:p>
            <w:r>
              <w:rPr>
                <w:rFonts w:ascii="Calibri" w:cs="Calibri" w:eastAsia="Calibri" w:hAnsi="Calibri"/>
                <w:b/>
                <w:bCs/>
                <w:color w:val="1F3864"/>
                <w:sz w:val="19"/>
                <w:szCs w:val="19"/>
              </w:rPr>
              <w:t xml:space="preserve">Realization / Exit</w:t>
            </w:r>
          </w:p>
        </w:tc>
        <w:tc>
          <w:tcPr>
            <w:tcW w:type="pct" w:w="13%"/>
            <w:tcMar>
              <w:top w:type="dxa" w:w="50"/>
              <w:left w:type="dxa" w:w="80"/>
              <w:bottom w:type="dxa" w:w="50"/>
              <w:right w:type="dxa" w:w="80"/>
            </w:tcMar>
          </w:tcPr>
          <w:p>
            <w:r>
              <w:rPr>
                <w:rFonts w:ascii="Calibri" w:cs="Calibri" w:eastAsia="Calibri" w:hAnsi="Calibri"/>
                <w:color w:val="404040"/>
                <w:sz w:val="19"/>
                <w:szCs w:val="19"/>
              </w:rPr>
              <w:t xml:space="preserve">Deal Team / Finance</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Exit, RealisedInv.</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Exit Summary, MOIC, IRR</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Per portfolio company exit</w:t>
            </w:r>
          </w:p>
        </w:tc>
      </w:tr>
      <w:tr>
        <w:tc>
          <w:tcPr>
            <w:tcW w:type="pct" w:w="5%"/>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G.10</w:t>
            </w:r>
          </w:p>
        </w:tc>
        <w:tc>
          <w:tcPr>
            <w:tcW w:type="pct" w:w="13%"/>
            <w:tcMar>
              <w:top w:type="dxa" w:w="50"/>
              <w:left w:type="dxa" w:w="80"/>
              <w:bottom w:type="dxa" w:w="50"/>
              <w:right w:type="dxa" w:w="80"/>
            </w:tcMar>
          </w:tcPr>
          <w:p>
            <w:r>
              <w:rPr>
                <w:rFonts w:ascii="Calibri" w:cs="Calibri" w:eastAsia="Calibri" w:hAnsi="Calibri"/>
                <w:b/>
                <w:bCs/>
                <w:color w:val="1F3864"/>
                <w:sz w:val="19"/>
                <w:szCs w:val="19"/>
              </w:rPr>
              <w:t xml:space="preserve">Distributions</w:t>
            </w:r>
          </w:p>
        </w:tc>
        <w:tc>
          <w:tcPr>
            <w:tcW w:type="pct" w:w="13%"/>
            <w:tcMar>
              <w:top w:type="dxa" w:w="50"/>
              <w:left w:type="dxa" w:w="80"/>
              <w:bottom w:type="dxa" w:w="50"/>
              <w:right w:type="dxa" w:w="80"/>
            </w:tcMar>
          </w:tcPr>
          <w:p>
            <w:r>
              <w:rPr>
                <w:rFonts w:ascii="Calibri" w:cs="Calibri" w:eastAsia="Calibri" w:hAnsi="Calibri"/>
                <w:color w:val="404040"/>
                <w:sz w:val="19"/>
                <w:szCs w:val="19"/>
              </w:rPr>
              <w:t xml:space="preserve">Finance / TA</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Distribution, Waterfall</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Waterfall Calc., DPI Report</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Per exit or periodic income</w:t>
            </w:r>
          </w:p>
        </w:tc>
      </w:tr>
      <w:tr>
        <w:tc>
          <w:tcPr>
            <w:tcW w:type="pct" w:w="5%"/>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G.11</w:t>
            </w:r>
          </w:p>
        </w:tc>
        <w:tc>
          <w:tcPr>
            <w:tcW w:type="pct" w:w="13%"/>
            <w:tcMar>
              <w:top w:type="dxa" w:w="50"/>
              <w:left w:type="dxa" w:w="80"/>
              <w:bottom w:type="dxa" w:w="50"/>
              <w:right w:type="dxa" w:w="80"/>
            </w:tcMar>
          </w:tcPr>
          <w:p>
            <w:r>
              <w:rPr>
                <w:rFonts w:ascii="Calibri" w:cs="Calibri" w:eastAsia="Calibri" w:hAnsi="Calibri"/>
                <w:b/>
                <w:bCs/>
                <w:color w:val="1F3864"/>
                <w:sz w:val="19"/>
                <w:szCs w:val="19"/>
              </w:rPr>
              <w:t xml:space="preserve">Wind-Down</w:t>
            </w:r>
          </w:p>
        </w:tc>
        <w:tc>
          <w:tcPr>
            <w:tcW w:type="pct" w:w="13%"/>
            <w:tcMar>
              <w:top w:type="dxa" w:w="50"/>
              <w:left w:type="dxa" w:w="80"/>
              <w:bottom w:type="dxa" w:w="50"/>
              <w:right w:type="dxa" w:w="80"/>
            </w:tcMar>
          </w:tcPr>
          <w:p>
            <w:r>
              <w:rPr>
                <w:rFonts w:ascii="Calibri" w:cs="Calibri" w:eastAsia="Calibri" w:hAnsi="Calibri"/>
                <w:color w:val="404040"/>
                <w:sz w:val="19"/>
                <w:szCs w:val="19"/>
              </w:rPr>
              <w:t xml:space="preserve">GP / Legal / Tax</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Fund (Dissolved)</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Final Audit, Clawback Calc.</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Final phase of fund life</w:t>
            </w:r>
          </w:p>
        </w:tc>
      </w:tr>
    </w:tbl>
    <w:p>
      <w:pPr>
        <w:spacing w:after="160" w:before="0"/>
      </w:pPr>
      <w:r>
        <w:t xml:space="preserve"/>
      </w:r>
    </w:p>
    <w:p>
      <w:r>
        <w:br w:type="page"/>
      </w:r>
    </w:p>
    <w:p>
      <w:pPr>
        <w:pStyle w:val="Heading2"/>
        <w:spacing w:after="120" w:before="320"/>
      </w:pPr>
      <w:r>
        <w:t xml:space="preserve">G.1  Origination &amp; Opportunity Management</w:t>
      </w:r>
    </w:p>
    <w:p>
      <w:pPr>
        <w:spacing w:after="120" w:before="0"/>
      </w:pPr>
      <w:r>
        <w:rPr>
          <w:rFonts w:ascii="Calibri" w:cs="Calibri" w:eastAsia="Calibri" w:hAnsi="Calibri"/>
          <w:color w:val="404040"/>
          <w:sz w:val="22"/>
          <w:szCs w:val="22"/>
        </w:rPr>
        <w:t xml:space="preserve">The lifecycle begins when a relationship manager identifies a prospective LP investor. The opportunity is logged in the CRM and tracked through a defined state machine until it reaches a terminal state (Won, Declined, or Withdrawn). Effective origination determines the quality of the LP base for the fund's lifetime.</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tblGrid>
      <w:tr>
        <w:trPr>
          <w:tblHeader/>
        </w:trPr>
        <w:tc>
          <w:tcPr>
            <w:tcW w:type="pct" w:w="65%"/>
            <w:shd w:fill="C55A11" w:color="C55A11" w:val="clear"/>
            <w:tcMar>
              <w:top w:type="dxa" w:w="60"/>
              <w:left w:type="dxa" w:w="80"/>
              <w:bottom w:type="dxa" w:w="60"/>
              <w:right w:type="dxa" w:w="80"/>
            </w:tcMar>
          </w:tcPr>
          <w:p>
            <w:r>
              <w:rPr>
                <w:rFonts w:ascii="Calibri" w:cs="Calibri" w:eastAsia="Calibri" w:hAnsi="Calibri"/>
                <w:b/>
                <w:bCs/>
                <w:color w:val="FFFFFF"/>
                <w:sz w:val="18"/>
                <w:szCs w:val="18"/>
              </w:rPr>
              <w:t xml:space="preserve">Key Activities</w:t>
            </w:r>
          </w:p>
        </w:tc>
        <w:tc>
          <w:tcPr>
            <w:tcW w:type="pct" w:w="20%"/>
            <w:shd w:fill="404040" w:color="404040" w:val="clear"/>
            <w:tcMar>
              <w:top w:type="dxa" w:w="60"/>
              <w:left w:type="dxa" w:w="80"/>
              <w:bottom w:type="dxa" w:w="60"/>
              <w:right w:type="dxa" w:w="80"/>
            </w:tcMar>
          </w:tcPr>
          <w:p>
            <w:r>
              <w:rPr>
                <w:rFonts w:ascii="Calibri" w:cs="Calibri" w:eastAsia="Calibri" w:hAnsi="Calibri"/>
                <w:b/>
                <w:bCs/>
                <w:color w:val="FFFFFF"/>
                <w:sz w:val="18"/>
                <w:szCs w:val="18"/>
              </w:rPr>
              <w:t xml:space="preserve">Participants</w:t>
            </w:r>
          </w:p>
        </w:tc>
        <w:tc>
          <w:tcPr>
            <w:tcW w:type="pct" w:w="15%"/>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Data Objects</w:t>
            </w:r>
          </w:p>
        </w:tc>
      </w:tr>
      <w:tr>
        <w:tc>
          <w:tcPr>
            <w:tcW w:type="pct" w:w="65%"/>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Prospect identification — sourcing via direct relationships, placement agents, capital introduction events, and third-party intermediaries</w:t>
            </w:r>
          </w:p>
          <w:p>
            <w:pPr>
              <w:pStyle w:val="ListParagraph"/>
              <w:numPr>
                <w:ilvl w:val="0"/>
                <w:numId w:val="1"/>
              </w:numPr>
              <w:spacing w:after="40" w:before="0"/>
            </w:pPr>
            <w:r>
              <w:rPr>
                <w:rFonts w:ascii="Calibri" w:cs="Calibri" w:eastAsia="Calibri" w:hAnsi="Calibri"/>
                <w:color w:val="404040"/>
                <w:sz w:val="18"/>
                <w:szCs w:val="18"/>
              </w:rPr>
              <w:t xml:space="preserve">Initial outreach and pitch — investor presentation, strategy overview, fund terms summary</w:t>
            </w:r>
          </w:p>
          <w:p>
            <w:pPr>
              <w:pStyle w:val="ListParagraph"/>
              <w:numPr>
                <w:ilvl w:val="0"/>
                <w:numId w:val="1"/>
              </w:numPr>
              <w:spacing w:after="40" w:before="0"/>
            </w:pPr>
            <w:r>
              <w:rPr>
                <w:rFonts w:ascii="Calibri" w:cs="Calibri" w:eastAsia="Calibri" w:hAnsi="Calibri"/>
                <w:color w:val="404040"/>
                <w:sz w:val="18"/>
                <w:szCs w:val="18"/>
              </w:rPr>
              <w:t xml:space="preserve">Soft circle — informal expression of interest; investor indicates a range but no binding commitment</w:t>
            </w:r>
          </w:p>
          <w:p>
            <w:pPr>
              <w:pStyle w:val="ListParagraph"/>
              <w:numPr>
                <w:ilvl w:val="0"/>
                <w:numId w:val="1"/>
              </w:numPr>
              <w:spacing w:after="40" w:before="0"/>
            </w:pPr>
            <w:r>
              <w:rPr>
                <w:rFonts w:ascii="Calibri" w:cs="Calibri" w:eastAsia="Calibri" w:hAnsi="Calibri"/>
                <w:color w:val="404040"/>
                <w:sz w:val="18"/>
                <w:szCs w:val="18"/>
              </w:rPr>
              <w:t xml:space="preserve">Indicative indication — investor provides a specific indicative amount in writing</w:t>
            </w:r>
          </w:p>
          <w:p>
            <w:pPr>
              <w:pStyle w:val="ListParagraph"/>
              <w:numPr>
                <w:ilvl w:val="0"/>
                <w:numId w:val="1"/>
              </w:numPr>
              <w:spacing w:after="40" w:before="0"/>
            </w:pPr>
            <w:r>
              <w:rPr>
                <w:rFonts w:ascii="Calibri" w:cs="Calibri" w:eastAsia="Calibri" w:hAnsi="Calibri"/>
                <w:color w:val="404040"/>
                <w:sz w:val="18"/>
                <w:szCs w:val="18"/>
              </w:rPr>
              <w:t xml:space="preserve">Docs Out — subscription documents, PPM, LPA, and side letter draft sent to investor</w:t>
            </w:r>
          </w:p>
          <w:p>
            <w:pPr>
              <w:pStyle w:val="ListParagraph"/>
              <w:numPr>
                <w:ilvl w:val="0"/>
                <w:numId w:val="1"/>
              </w:numPr>
              <w:spacing w:after="40" w:before="0"/>
            </w:pPr>
            <w:r>
              <w:rPr>
                <w:rFonts w:ascii="Calibri" w:cs="Calibri" w:eastAsia="Calibri" w:hAnsi="Calibri"/>
                <w:color w:val="404040"/>
                <w:sz w:val="18"/>
                <w:szCs w:val="18"/>
              </w:rPr>
              <w:t xml:space="preserve">Signed — investor returns executed subscription agreement and ancillary KYC/AML documents</w:t>
            </w:r>
          </w:p>
          <w:p>
            <w:pPr>
              <w:pStyle w:val="ListParagraph"/>
              <w:numPr>
                <w:ilvl w:val="0"/>
                <w:numId w:val="1"/>
              </w:numPr>
              <w:spacing w:after="40" w:before="0"/>
            </w:pPr>
            <w:r>
              <w:rPr>
                <w:rFonts w:ascii="Calibri" w:cs="Calibri" w:eastAsia="Calibri" w:hAnsi="Calibri"/>
                <w:color w:val="404040"/>
                <w:sz w:val="18"/>
                <w:szCs w:val="18"/>
              </w:rPr>
              <w:t xml:space="preserve">Won — investor admitted at a fund close; commitment formalised</w:t>
            </w:r>
          </w:p>
          <w:p>
            <w:pPr>
              <w:pStyle w:val="ListParagraph"/>
              <w:numPr>
                <w:ilvl w:val="0"/>
                <w:numId w:val="1"/>
              </w:numPr>
              <w:spacing w:after="40" w:before="0"/>
            </w:pPr>
            <w:r>
              <w:rPr>
                <w:rFonts w:ascii="Calibri" w:cs="Calibri" w:eastAsia="Calibri" w:hAnsi="Calibri"/>
                <w:color w:val="404040"/>
                <w:sz w:val="18"/>
                <w:szCs w:val="18"/>
              </w:rPr>
              <w:t xml:space="preserve">Terminal states — Withdrawn (investor self-withdraws), Declined (fund declines investor), OnHold (timing pause)</w:t>
            </w:r>
          </w:p>
        </w:tc>
        <w:tc>
          <w:tcPr>
            <w:tcW w:type="pct" w:w="20%"/>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Relationship Manager (IR/BD)</w:t>
            </w:r>
          </w:p>
          <w:p>
            <w:pPr>
              <w:pStyle w:val="ListParagraph"/>
              <w:numPr>
                <w:ilvl w:val="0"/>
                <w:numId w:val="1"/>
              </w:numPr>
              <w:spacing w:after="40" w:before="0"/>
            </w:pPr>
            <w:r>
              <w:rPr>
                <w:rFonts w:ascii="Calibri" w:cs="Calibri" w:eastAsia="Calibri" w:hAnsi="Calibri"/>
                <w:color w:val="404040"/>
                <w:sz w:val="18"/>
                <w:szCs w:val="18"/>
              </w:rPr>
              <w:t xml:space="preserve">Placement Agent (if applicable)</w:t>
            </w:r>
          </w:p>
          <w:p>
            <w:pPr>
              <w:pStyle w:val="ListParagraph"/>
              <w:numPr>
                <w:ilvl w:val="0"/>
                <w:numId w:val="1"/>
              </w:numPr>
              <w:spacing w:after="40" w:before="0"/>
            </w:pPr>
            <w:r>
              <w:rPr>
                <w:rFonts w:ascii="Calibri" w:cs="Calibri" w:eastAsia="Calibri" w:hAnsi="Calibri"/>
                <w:color w:val="404040"/>
                <w:sz w:val="18"/>
                <w:szCs w:val="18"/>
              </w:rPr>
              <w:t xml:space="preserve">Legal Counsel</w:t>
            </w:r>
          </w:p>
          <w:p>
            <w:pPr>
              <w:pStyle w:val="ListParagraph"/>
              <w:numPr>
                <w:ilvl w:val="0"/>
                <w:numId w:val="1"/>
              </w:numPr>
              <w:spacing w:after="40" w:before="0"/>
            </w:pPr>
            <w:r>
              <w:rPr>
                <w:rFonts w:ascii="Calibri" w:cs="Calibri" w:eastAsia="Calibri" w:hAnsi="Calibri"/>
                <w:color w:val="404040"/>
                <w:sz w:val="18"/>
                <w:szCs w:val="18"/>
              </w:rPr>
              <w:t xml:space="preserve">Compliance / KYC team</w:t>
            </w:r>
          </w:p>
          <w:p>
            <w:pPr>
              <w:pStyle w:val="ListParagraph"/>
              <w:numPr>
                <w:ilvl w:val="0"/>
                <w:numId w:val="1"/>
              </w:numPr>
              <w:spacing w:after="40" w:before="0"/>
            </w:pPr>
            <w:r>
              <w:rPr>
                <w:rFonts w:ascii="Calibri" w:cs="Calibri" w:eastAsia="Calibri" w:hAnsi="Calibri"/>
                <w:color w:val="404040"/>
                <w:sz w:val="18"/>
                <w:szCs w:val="18"/>
              </w:rPr>
              <w:t xml:space="preserve">Fund CFO</w:t>
            </w:r>
          </w:p>
        </w:tc>
        <w:tc>
          <w:tcPr>
            <w:tcW w:type="pct" w:w="15%"/>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pe:Opportunity</w:t>
            </w:r>
          </w:p>
          <w:p>
            <w:pPr>
              <w:pStyle w:val="ListParagraph"/>
              <w:numPr>
                <w:ilvl w:val="0"/>
                <w:numId w:val="1"/>
              </w:numPr>
              <w:spacing w:after="40" w:before="0"/>
            </w:pPr>
            <w:r>
              <w:rPr>
                <w:rFonts w:ascii="Calibri" w:cs="Calibri" w:eastAsia="Calibri" w:hAnsi="Calibri"/>
                <w:color w:val="404040"/>
                <w:sz w:val="18"/>
                <w:szCs w:val="18"/>
              </w:rPr>
              <w:t xml:space="preserve">pe:OpportunityStateTransition</w:t>
            </w:r>
          </w:p>
          <w:p>
            <w:pPr>
              <w:pStyle w:val="ListParagraph"/>
              <w:numPr>
                <w:ilvl w:val="0"/>
                <w:numId w:val="1"/>
              </w:numPr>
              <w:spacing w:after="40" w:before="0"/>
            </w:pPr>
            <w:r>
              <w:rPr>
                <w:rFonts w:ascii="Calibri" w:cs="Calibri" w:eastAsia="Calibri" w:hAnsi="Calibri"/>
                <w:color w:val="404040"/>
                <w:sz w:val="18"/>
                <w:szCs w:val="18"/>
              </w:rPr>
              <w:t xml:space="preserve">pe:CoverageAssignment</w:t>
            </w:r>
          </w:p>
          <w:p>
            <w:pPr>
              <w:pStyle w:val="ListParagraph"/>
              <w:numPr>
                <w:ilvl w:val="0"/>
                <w:numId w:val="1"/>
              </w:numPr>
              <w:spacing w:after="40" w:before="0"/>
            </w:pPr>
            <w:r>
              <w:rPr>
                <w:rFonts w:ascii="Calibri" w:cs="Calibri" w:eastAsia="Calibri" w:hAnsi="Calibri"/>
                <w:color w:val="404040"/>
                <w:sz w:val="18"/>
                <w:szCs w:val="18"/>
              </w:rPr>
              <w:t xml:space="preserve">pe:Investor</w:t>
            </w:r>
          </w:p>
        </w:tc>
      </w:tr>
    </w:tbl>
    <w:p>
      <w:pPr>
        <w:spacing w:after="160" w:before="0"/>
      </w:pPr>
      <w:r>
        <w:t xml:space="preserve"/>
      </w:r>
    </w:p>
    <w:p>
      <w:pPr>
        <w:spacing w:after="80" w:before="200"/>
      </w:pPr>
      <w:r>
        <w:rPr>
          <w:rFonts w:ascii="Calibri" w:cs="Calibri" w:eastAsia="Calibri" w:hAnsi="Calibri"/>
          <w:b/>
          <w:bCs/>
          <w:color w:val="1F3864"/>
          <w:sz w:val="24"/>
          <w:szCs w:val="24"/>
        </w:rPr>
        <w:t xml:space="preserve">Reporting Outputs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tblGrid>
      <w:tr>
        <w:trPr>
          <w:tblHeader/>
        </w:trPr>
        <w:tc>
          <w:tcPr>
            <w:tcW w:type="pct" w:w="5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Report / Output</w:t>
            </w:r>
          </w:p>
        </w:tc>
        <w:tc>
          <w:tcPr>
            <w:tcW w:type="pct" w:w="5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Data Flow</w:t>
            </w:r>
          </w:p>
        </w:tc>
      </w:tr>
      <w:tr>
        <w:tc>
          <w:tcPr>
            <w:tcW w:type="pct" w:w="50%"/>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Pipeline summary — count and indicative AUM by stage</w:t>
            </w:r>
          </w:p>
          <w:p>
            <w:pPr>
              <w:pStyle w:val="ListParagraph"/>
              <w:numPr>
                <w:ilvl w:val="0"/>
                <w:numId w:val="1"/>
              </w:numPr>
              <w:spacing w:after="40" w:before="0"/>
            </w:pPr>
            <w:r>
              <w:rPr>
                <w:rFonts w:ascii="Calibri" w:cs="Calibri" w:eastAsia="Calibri" w:hAnsi="Calibri"/>
                <w:color w:val="404040"/>
                <w:sz w:val="18"/>
                <w:szCs w:val="18"/>
              </w:rPr>
              <w:t xml:space="preserve">Opportunity aging report — days in each state, SLA breach flags</w:t>
            </w:r>
          </w:p>
          <w:p>
            <w:pPr>
              <w:pStyle w:val="ListParagraph"/>
              <w:numPr>
                <w:ilvl w:val="0"/>
                <w:numId w:val="1"/>
              </w:numPr>
              <w:spacing w:after="40" w:before="0"/>
            </w:pPr>
            <w:r>
              <w:rPr>
                <w:rFonts w:ascii="Calibri" w:cs="Calibri" w:eastAsia="Calibri" w:hAnsi="Calibri"/>
                <w:color w:val="404040"/>
                <w:sz w:val="18"/>
                <w:szCs w:val="18"/>
              </w:rPr>
              <w:t xml:space="preserve">Win/loss analysis — conversion rate by investor type, strategy, and RM</w:t>
            </w:r>
          </w:p>
          <w:p>
            <w:pPr>
              <w:pStyle w:val="ListParagraph"/>
              <w:numPr>
                <w:ilvl w:val="0"/>
                <w:numId w:val="1"/>
              </w:numPr>
              <w:spacing w:after="40" w:before="0"/>
            </w:pPr>
            <w:r>
              <w:rPr>
                <w:rFonts w:ascii="Calibri" w:cs="Calibri" w:eastAsia="Calibri" w:hAnsi="Calibri"/>
                <w:color w:val="404040"/>
                <w:sz w:val="18"/>
                <w:szCs w:val="18"/>
              </w:rPr>
              <w:t xml:space="preserve">Relationship manager attribution and coverage report</w:t>
            </w:r>
          </w:p>
          <w:p>
            <w:pPr>
              <w:pStyle w:val="ListParagraph"/>
              <w:numPr>
                <w:ilvl w:val="0"/>
                <w:numId w:val="1"/>
              </w:numPr>
              <w:spacing w:after="40" w:before="0"/>
            </w:pPr>
            <w:r>
              <w:rPr>
                <w:rFonts w:ascii="Calibri" w:cs="Calibri" w:eastAsia="Calibri" w:hAnsi="Calibri"/>
                <w:color w:val="404040"/>
                <w:sz w:val="18"/>
                <w:szCs w:val="18"/>
              </w:rPr>
              <w:t xml:space="preserve">Soft circle vs. committed gap analysis per fund / close</w:t>
            </w:r>
          </w:p>
        </w:tc>
        <w:tc>
          <w:tcPr>
            <w:tcW w:type="pct" w:w="50%"/>
            <w:tcMar>
              <w:top w:type="dxa" w:w="50"/>
              <w:left w:type="dxa" w:w="80"/>
              <w:bottom w:type="dxa" w:w="50"/>
              <w:right w:type="dxa" w:w="80"/>
            </w:tcMar>
          </w:tcPr>
          <w:p>
            <w:r>
              <w:rPr>
                <w:rFonts w:ascii="Calibri" w:cs="Calibri" w:eastAsia="Calibri" w:hAnsi="Calibri"/>
                <w:color w:val="404040"/>
                <w:sz w:val="19"/>
                <w:szCs w:val="19"/>
              </w:rPr>
              <w:t xml:space="preserve">CRM / IR system → Opportunity entity → State machine transitions → Commitment entity on Won</w:t>
            </w:r>
          </w:p>
        </w:tc>
      </w:tr>
    </w:tbl>
    <w:p>
      <w:pPr>
        <w:spacing w:after="160" w:before="0"/>
      </w:pPr>
      <w:r>
        <w:t xml:space="preserve"/>
      </w:r>
    </w:p>
    <w:p>
      <w:r>
        <w:br w:type="page"/>
      </w:r>
    </w:p>
    <w:p>
      <w:pPr>
        <w:pStyle w:val="Heading2"/>
        <w:spacing w:after="120" w:before="320"/>
      </w:pPr>
      <w:r>
        <w:t xml:space="preserve">G.2  Fund Structuring &amp; Launch</w:t>
      </w:r>
    </w:p>
    <w:p>
      <w:pPr>
        <w:spacing w:after="120" w:before="0"/>
      </w:pPr>
      <w:r>
        <w:rPr>
          <w:rFonts w:ascii="Calibri" w:cs="Calibri" w:eastAsia="Calibri" w:hAnsi="Calibri"/>
          <w:color w:val="404040"/>
          <w:sz w:val="22"/>
          <w:szCs w:val="22"/>
        </w:rPr>
        <w:t xml:space="preserve">Legal counsel and the GP structure the fund hierarchy to accommodate US taxable, US tax-exempt, and non-US investors through separate feeder entities pooling into a master fund. The GP also establishes the economic terms (management fee, carry, preferred return) and the fund close structure.</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tblGrid>
      <w:tr>
        <w:trPr>
          <w:tblHeader/>
        </w:trPr>
        <w:tc>
          <w:tcPr>
            <w:tcW w:type="pct" w:w="65%"/>
            <w:shd w:fill="1F5C2E" w:color="1F5C2E" w:val="clear"/>
            <w:tcMar>
              <w:top w:type="dxa" w:w="60"/>
              <w:left w:type="dxa" w:w="80"/>
              <w:bottom w:type="dxa" w:w="60"/>
              <w:right w:type="dxa" w:w="80"/>
            </w:tcMar>
          </w:tcPr>
          <w:p>
            <w:r>
              <w:rPr>
                <w:rFonts w:ascii="Calibri" w:cs="Calibri" w:eastAsia="Calibri" w:hAnsi="Calibri"/>
                <w:b/>
                <w:bCs/>
                <w:color w:val="FFFFFF"/>
                <w:sz w:val="18"/>
                <w:szCs w:val="18"/>
              </w:rPr>
              <w:t xml:space="preserve">Key Activities</w:t>
            </w:r>
          </w:p>
        </w:tc>
        <w:tc>
          <w:tcPr>
            <w:tcW w:type="pct" w:w="20%"/>
            <w:shd w:fill="404040" w:color="404040" w:val="clear"/>
            <w:tcMar>
              <w:top w:type="dxa" w:w="60"/>
              <w:left w:type="dxa" w:w="80"/>
              <w:bottom w:type="dxa" w:w="60"/>
              <w:right w:type="dxa" w:w="80"/>
            </w:tcMar>
          </w:tcPr>
          <w:p>
            <w:r>
              <w:rPr>
                <w:rFonts w:ascii="Calibri" w:cs="Calibri" w:eastAsia="Calibri" w:hAnsi="Calibri"/>
                <w:b/>
                <w:bCs/>
                <w:color w:val="FFFFFF"/>
                <w:sz w:val="18"/>
                <w:szCs w:val="18"/>
              </w:rPr>
              <w:t xml:space="preserve">Participants</w:t>
            </w:r>
          </w:p>
        </w:tc>
        <w:tc>
          <w:tcPr>
            <w:tcW w:type="pct" w:w="15%"/>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Data Objects</w:t>
            </w:r>
          </w:p>
        </w:tc>
      </w:tr>
      <w:tr>
        <w:tc>
          <w:tcPr>
            <w:tcW w:type="pct" w:w="65%"/>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Legal entity formation — Master Fund (Cayman ELP), Domestic Feeder (Delaware LP), Offshore Feeder (Cayman ELP)</w:t>
            </w:r>
          </w:p>
          <w:p>
            <w:pPr>
              <w:pStyle w:val="ListParagraph"/>
              <w:numPr>
                <w:ilvl w:val="0"/>
                <w:numId w:val="1"/>
              </w:numPr>
              <w:spacing w:after="40" w:before="0"/>
            </w:pPr>
            <w:r>
              <w:rPr>
                <w:rFonts w:ascii="Calibri" w:cs="Calibri" w:eastAsia="Calibri" w:hAnsi="Calibri"/>
                <w:color w:val="404040"/>
                <w:sz w:val="18"/>
                <w:szCs w:val="18"/>
              </w:rPr>
              <w:t xml:space="preserve">LPA / PPM drafting — economic terms: management fee, carried interest, preferred return, clawback, key-person provision</w:t>
            </w:r>
          </w:p>
          <w:p>
            <w:pPr>
              <w:pStyle w:val="ListParagraph"/>
              <w:numPr>
                <w:ilvl w:val="0"/>
                <w:numId w:val="1"/>
              </w:numPr>
              <w:spacing w:after="40" w:before="0"/>
            </w:pPr>
            <w:r>
              <w:rPr>
                <w:rFonts w:ascii="Calibri" w:cs="Calibri" w:eastAsia="Calibri" w:hAnsi="Calibri"/>
                <w:color w:val="404040"/>
                <w:sz w:val="18"/>
                <w:szCs w:val="18"/>
              </w:rPr>
              <w:t xml:space="preserve">GP commitment documentation — GP co-invest alongside LPs, typically 1–2% of total commitments</w:t>
            </w:r>
          </w:p>
          <w:p>
            <w:pPr>
              <w:pStyle w:val="ListParagraph"/>
              <w:numPr>
                <w:ilvl w:val="0"/>
                <w:numId w:val="1"/>
              </w:numPr>
              <w:spacing w:after="40" w:before="0"/>
            </w:pPr>
            <w:r>
              <w:rPr>
                <w:rFonts w:ascii="Calibri" w:cs="Calibri" w:eastAsia="Calibri" w:hAnsi="Calibri"/>
                <w:color w:val="404040"/>
                <w:sz w:val="18"/>
                <w:szCs w:val="18"/>
              </w:rPr>
              <w:t xml:space="preserve">Regulatory registration — SEC Form D (Reg D exemption), Form ADV update, CIMA fund registration</w:t>
            </w:r>
          </w:p>
          <w:p>
            <w:pPr>
              <w:pStyle w:val="ListParagraph"/>
              <w:numPr>
                <w:ilvl w:val="0"/>
                <w:numId w:val="1"/>
              </w:numPr>
              <w:spacing w:after="40" w:before="0"/>
            </w:pPr>
            <w:r>
              <w:rPr>
                <w:rFonts w:ascii="Calibri" w:cs="Calibri" w:eastAsia="Calibri" w:hAnsi="Calibri"/>
                <w:color w:val="404040"/>
                <w:sz w:val="18"/>
                <w:szCs w:val="18"/>
              </w:rPr>
              <w:t xml:space="preserve">Fund close structure — number of closes, subscription deadlines, equalization mechanics for late closers</w:t>
            </w:r>
          </w:p>
          <w:p>
            <w:pPr>
              <w:pStyle w:val="ListParagraph"/>
              <w:numPr>
                <w:ilvl w:val="0"/>
                <w:numId w:val="1"/>
              </w:numPr>
              <w:spacing w:after="40" w:before="0"/>
            </w:pPr>
            <w:r>
              <w:rPr>
                <w:rFonts w:ascii="Calibri" w:cs="Calibri" w:eastAsia="Calibri" w:hAnsi="Calibri"/>
                <w:color w:val="404040"/>
                <w:sz w:val="18"/>
                <w:szCs w:val="18"/>
              </w:rPr>
              <w:t xml:space="preserve">Side letter framework — MFN clause, ERISA representations, transparency rights, fee discount triggers</w:t>
            </w:r>
          </w:p>
          <w:p>
            <w:pPr>
              <w:pStyle w:val="ListParagraph"/>
              <w:numPr>
                <w:ilvl w:val="0"/>
                <w:numId w:val="1"/>
              </w:numPr>
              <w:spacing w:after="40" w:before="0"/>
            </w:pPr>
            <w:r>
              <w:rPr>
                <w:rFonts w:ascii="Calibri" w:cs="Calibri" w:eastAsia="Calibri" w:hAnsi="Calibri"/>
                <w:color w:val="404040"/>
                <w:sz w:val="18"/>
                <w:szCs w:val="18"/>
              </w:rPr>
              <w:t xml:space="preserve">Service provider appointments — fund administrator, auditor, legal counsel, transfer agent, custodian</w:t>
            </w:r>
          </w:p>
          <w:p>
            <w:pPr>
              <w:pStyle w:val="ListParagraph"/>
              <w:numPr>
                <w:ilvl w:val="0"/>
                <w:numId w:val="1"/>
              </w:numPr>
              <w:spacing w:after="40" w:before="0"/>
            </w:pPr>
            <w:r>
              <w:rPr>
                <w:rFonts w:ascii="Calibri" w:cs="Calibri" w:eastAsia="Calibri" w:hAnsi="Calibri"/>
                <w:color w:val="404040"/>
                <w:sz w:val="18"/>
                <w:szCs w:val="18"/>
              </w:rPr>
              <w:t xml:space="preserve">Bank account opening — separate accounts per feeder and main fund for capital call and distribution wires</w:t>
            </w:r>
          </w:p>
        </w:tc>
        <w:tc>
          <w:tcPr>
            <w:tcW w:type="pct" w:w="20%"/>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General Partner / Management Company</w:t>
            </w:r>
          </w:p>
          <w:p>
            <w:pPr>
              <w:pStyle w:val="ListParagraph"/>
              <w:numPr>
                <w:ilvl w:val="0"/>
                <w:numId w:val="1"/>
              </w:numPr>
              <w:spacing w:after="40" w:before="0"/>
            </w:pPr>
            <w:r>
              <w:rPr>
                <w:rFonts w:ascii="Calibri" w:cs="Calibri" w:eastAsia="Calibri" w:hAnsi="Calibri"/>
                <w:color w:val="404040"/>
                <w:sz w:val="18"/>
                <w:szCs w:val="18"/>
              </w:rPr>
              <w:t xml:space="preserve">Legal Counsel</w:t>
            </w:r>
          </w:p>
          <w:p>
            <w:pPr>
              <w:pStyle w:val="ListParagraph"/>
              <w:numPr>
                <w:ilvl w:val="0"/>
                <w:numId w:val="1"/>
              </w:numPr>
              <w:spacing w:after="40" w:before="0"/>
            </w:pPr>
            <w:r>
              <w:rPr>
                <w:rFonts w:ascii="Calibri" w:cs="Calibri" w:eastAsia="Calibri" w:hAnsi="Calibri"/>
                <w:color w:val="404040"/>
                <w:sz w:val="18"/>
                <w:szCs w:val="18"/>
              </w:rPr>
              <w:t xml:space="preserve">Fund Administrator</w:t>
            </w:r>
          </w:p>
          <w:p>
            <w:pPr>
              <w:pStyle w:val="ListParagraph"/>
              <w:numPr>
                <w:ilvl w:val="0"/>
                <w:numId w:val="1"/>
              </w:numPr>
              <w:spacing w:after="40" w:before="0"/>
            </w:pPr>
            <w:r>
              <w:rPr>
                <w:rFonts w:ascii="Calibri" w:cs="Calibri" w:eastAsia="Calibri" w:hAnsi="Calibri"/>
                <w:color w:val="404040"/>
                <w:sz w:val="18"/>
                <w:szCs w:val="18"/>
              </w:rPr>
              <w:t xml:space="preserve">Tax Counsel</w:t>
            </w:r>
          </w:p>
          <w:p>
            <w:pPr>
              <w:pStyle w:val="ListParagraph"/>
              <w:numPr>
                <w:ilvl w:val="0"/>
                <w:numId w:val="1"/>
              </w:numPr>
              <w:spacing w:after="40" w:before="0"/>
            </w:pPr>
            <w:r>
              <w:rPr>
                <w:rFonts w:ascii="Calibri" w:cs="Calibri" w:eastAsia="Calibri" w:hAnsi="Calibri"/>
                <w:color w:val="404040"/>
                <w:sz w:val="18"/>
                <w:szCs w:val="18"/>
              </w:rPr>
              <w:t xml:space="preserve">Placement Agent</w:t>
            </w:r>
          </w:p>
        </w:tc>
        <w:tc>
          <w:tcPr>
            <w:tcW w:type="pct" w:w="15%"/>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pe:Fund</w:t>
            </w:r>
          </w:p>
          <w:p>
            <w:pPr>
              <w:pStyle w:val="ListParagraph"/>
              <w:numPr>
                <w:ilvl w:val="0"/>
                <w:numId w:val="1"/>
              </w:numPr>
              <w:spacing w:after="40" w:before="0"/>
            </w:pPr>
            <w:r>
              <w:rPr>
                <w:rFonts w:ascii="Calibri" w:cs="Calibri" w:eastAsia="Calibri" w:hAnsi="Calibri"/>
                <w:color w:val="404040"/>
                <w:sz w:val="18"/>
                <w:szCs w:val="18"/>
              </w:rPr>
              <w:t xml:space="preserve">pe:Vehicle</w:t>
            </w:r>
          </w:p>
          <w:p>
            <w:pPr>
              <w:pStyle w:val="ListParagraph"/>
              <w:numPr>
                <w:ilvl w:val="0"/>
                <w:numId w:val="1"/>
              </w:numPr>
              <w:spacing w:after="40" w:before="0"/>
            </w:pPr>
            <w:r>
              <w:rPr>
                <w:rFonts w:ascii="Calibri" w:cs="Calibri" w:eastAsia="Calibri" w:hAnsi="Calibri"/>
                <w:color w:val="404040"/>
                <w:sz w:val="18"/>
                <w:szCs w:val="18"/>
              </w:rPr>
              <w:t xml:space="preserve">pe:Feeder</w:t>
            </w:r>
          </w:p>
          <w:p>
            <w:pPr>
              <w:pStyle w:val="ListParagraph"/>
              <w:numPr>
                <w:ilvl w:val="0"/>
                <w:numId w:val="1"/>
              </w:numPr>
              <w:spacing w:after="40" w:before="0"/>
            </w:pPr>
            <w:r>
              <w:rPr>
                <w:rFonts w:ascii="Calibri" w:cs="Calibri" w:eastAsia="Calibri" w:hAnsi="Calibri"/>
                <w:color w:val="404040"/>
                <w:sz w:val="18"/>
                <w:szCs w:val="18"/>
              </w:rPr>
              <w:t xml:space="preserve">pe:Offering</w:t>
            </w:r>
          </w:p>
          <w:p>
            <w:pPr>
              <w:pStyle w:val="ListParagraph"/>
              <w:numPr>
                <w:ilvl w:val="0"/>
                <w:numId w:val="1"/>
              </w:numPr>
              <w:spacing w:after="40" w:before="0"/>
            </w:pPr>
            <w:r>
              <w:rPr>
                <w:rFonts w:ascii="Calibri" w:cs="Calibri" w:eastAsia="Calibri" w:hAnsi="Calibri"/>
                <w:color w:val="404040"/>
                <w:sz w:val="18"/>
                <w:szCs w:val="18"/>
              </w:rPr>
              <w:t xml:space="preserve">pe:FundClose</w:t>
            </w:r>
          </w:p>
        </w:tc>
      </w:tr>
    </w:tbl>
    <w:p>
      <w:pPr>
        <w:spacing w:after="160" w:before="0"/>
      </w:pPr>
      <w:r>
        <w:t xml:space="preserve"/>
      </w:r>
    </w:p>
    <w:p>
      <w:pPr>
        <w:spacing w:after="80" w:before="200"/>
      </w:pPr>
      <w:r>
        <w:rPr>
          <w:rFonts w:ascii="Calibri" w:cs="Calibri" w:eastAsia="Calibri" w:hAnsi="Calibri"/>
          <w:b/>
          <w:bCs/>
          <w:color w:val="1F3864"/>
          <w:sz w:val="24"/>
          <w:szCs w:val="24"/>
        </w:rPr>
        <w:t xml:space="preserve">Reporting Outputs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tblGrid>
      <w:tr>
        <w:trPr>
          <w:tblHeader/>
        </w:trPr>
        <w:tc>
          <w:tcPr>
            <w:tcW w:type="pct" w:w="5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Report / Output</w:t>
            </w:r>
          </w:p>
        </w:tc>
        <w:tc>
          <w:tcPr>
            <w:tcW w:type="pct" w:w="5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Data Flow</w:t>
            </w:r>
          </w:p>
        </w:tc>
      </w:tr>
      <w:tr>
        <w:tc>
          <w:tcPr>
            <w:tcW w:type="pct" w:w="50%"/>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Fund terms summary sheet — fee, carry, hurdle, hard cap, term by fund</w:t>
            </w:r>
          </w:p>
          <w:p>
            <w:pPr>
              <w:pStyle w:val="ListParagraph"/>
              <w:numPr>
                <w:ilvl w:val="0"/>
                <w:numId w:val="1"/>
              </w:numPr>
              <w:spacing w:after="40" w:before="0"/>
            </w:pPr>
            <w:r>
              <w:rPr>
                <w:rFonts w:ascii="Calibri" w:cs="Calibri" w:eastAsia="Calibri" w:hAnsi="Calibri"/>
                <w:color w:val="404040"/>
                <w:sz w:val="18"/>
                <w:szCs w:val="18"/>
              </w:rPr>
              <w:t xml:space="preserve">Legal entity org chart — Master / Feeder hierarchy with ownership %</w:t>
            </w:r>
          </w:p>
          <w:p>
            <w:pPr>
              <w:pStyle w:val="ListParagraph"/>
              <w:numPr>
                <w:ilvl w:val="0"/>
                <w:numId w:val="1"/>
              </w:numPr>
              <w:spacing w:after="40" w:before="0"/>
            </w:pPr>
            <w:r>
              <w:rPr>
                <w:rFonts w:ascii="Calibri" w:cs="Calibri" w:eastAsia="Calibri" w:hAnsi="Calibri"/>
                <w:color w:val="404040"/>
                <w:sz w:val="18"/>
                <w:szCs w:val="18"/>
              </w:rPr>
              <w:t xml:space="preserve">Regulatory filing tracker — Form D, CIMA, ADV status and deadlines</w:t>
            </w:r>
          </w:p>
          <w:p>
            <w:pPr>
              <w:pStyle w:val="ListParagraph"/>
              <w:numPr>
                <w:ilvl w:val="0"/>
                <w:numId w:val="1"/>
              </w:numPr>
              <w:spacing w:after="40" w:before="0"/>
            </w:pPr>
            <w:r>
              <w:rPr>
                <w:rFonts w:ascii="Calibri" w:cs="Calibri" w:eastAsia="Calibri" w:hAnsi="Calibri"/>
                <w:color w:val="404040"/>
                <w:sz w:val="18"/>
                <w:szCs w:val="18"/>
              </w:rPr>
              <w:t xml:space="preserve">Side letter obligation registry — investor-specific terms and triggered rights</w:t>
            </w:r>
          </w:p>
          <w:p>
            <w:pPr>
              <w:pStyle w:val="ListParagraph"/>
              <w:numPr>
                <w:ilvl w:val="0"/>
                <w:numId w:val="1"/>
              </w:numPr>
              <w:spacing w:after="40" w:before="0"/>
            </w:pPr>
            <w:r>
              <w:rPr>
                <w:rFonts w:ascii="Calibri" w:cs="Calibri" w:eastAsia="Calibri" w:hAnsi="Calibri"/>
                <w:color w:val="404040"/>
                <w:sz w:val="18"/>
                <w:szCs w:val="18"/>
              </w:rPr>
              <w:t xml:space="preserve">Service provider contract register</w:t>
            </w:r>
          </w:p>
        </w:tc>
        <w:tc>
          <w:tcPr>
            <w:tcW w:type="pct" w:w="50%"/>
            <w:tcMar>
              <w:top w:type="dxa" w:w="50"/>
              <w:left w:type="dxa" w:w="80"/>
              <w:bottom w:type="dxa" w:w="50"/>
              <w:right w:type="dxa" w:w="80"/>
            </w:tcMar>
          </w:tcPr>
          <w:p>
            <w:r>
              <w:rPr>
                <w:rFonts w:ascii="Calibri" w:cs="Calibri" w:eastAsia="Calibri" w:hAnsi="Calibri"/>
                <w:color w:val="404040"/>
                <w:sz w:val="19"/>
                <w:szCs w:val="19"/>
              </w:rPr>
              <w:t xml:space="preserve">Fund entity → Vehicle / Feeder entities → Offerings per vehicle → Fund closes defined</w:t>
            </w:r>
          </w:p>
        </w:tc>
      </w:tr>
    </w:tbl>
    <w:p>
      <w:pPr>
        <w:spacing w:after="160" w:before="0"/>
      </w:pPr>
      <w:r>
        <w:t xml:space="preserve"/>
      </w:r>
    </w:p>
    <w:p>
      <w:r>
        <w:br w:type="page"/>
      </w:r>
    </w:p>
    <w:p>
      <w:pPr>
        <w:pStyle w:val="Heading2"/>
        <w:spacing w:after="120" w:before="320"/>
      </w:pPr>
      <w:r>
        <w:t xml:space="preserve">G.3  Fundraising &amp; Subscriptions</w:t>
      </w:r>
    </w:p>
    <w:p>
      <w:pPr>
        <w:spacing w:after="120" w:before="0"/>
      </w:pPr>
      <w:r>
        <w:rPr>
          <w:rFonts w:ascii="Calibri" w:cs="Calibri" w:eastAsia="Calibri" w:hAnsi="Calibri"/>
          <w:color w:val="404040"/>
          <w:sz w:val="22"/>
          <w:szCs w:val="22"/>
        </w:rPr>
        <w:t xml:space="preserve">With fund documents in place, the GP formally markets the fund to prospective LPs. Each investor must complete KYC/AML onboarding, execute a subscription agreement, and receive confirmation of admission at a fund close. Investor eligibility, ERISA status, and feeder routing are determined at this stage.</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tblGrid>
      <w:tr>
        <w:trPr>
          <w:tblHeader/>
        </w:trPr>
        <w:tc>
          <w:tcPr>
            <w:tcW w:type="pct" w:w="65%"/>
            <w:shd w:fill="2F5496" w:color="2F5496" w:val="clear"/>
            <w:tcMar>
              <w:top w:type="dxa" w:w="60"/>
              <w:left w:type="dxa" w:w="80"/>
              <w:bottom w:type="dxa" w:w="60"/>
              <w:right w:type="dxa" w:w="80"/>
            </w:tcMar>
          </w:tcPr>
          <w:p>
            <w:r>
              <w:rPr>
                <w:rFonts w:ascii="Calibri" w:cs="Calibri" w:eastAsia="Calibri" w:hAnsi="Calibri"/>
                <w:b/>
                <w:bCs/>
                <w:color w:val="FFFFFF"/>
                <w:sz w:val="18"/>
                <w:szCs w:val="18"/>
              </w:rPr>
              <w:t xml:space="preserve">Key Activities</w:t>
            </w:r>
          </w:p>
        </w:tc>
        <w:tc>
          <w:tcPr>
            <w:tcW w:type="pct" w:w="20%"/>
            <w:shd w:fill="404040" w:color="404040" w:val="clear"/>
            <w:tcMar>
              <w:top w:type="dxa" w:w="60"/>
              <w:left w:type="dxa" w:w="80"/>
              <w:bottom w:type="dxa" w:w="60"/>
              <w:right w:type="dxa" w:w="80"/>
            </w:tcMar>
          </w:tcPr>
          <w:p>
            <w:r>
              <w:rPr>
                <w:rFonts w:ascii="Calibri" w:cs="Calibri" w:eastAsia="Calibri" w:hAnsi="Calibri"/>
                <w:b/>
                <w:bCs/>
                <w:color w:val="FFFFFF"/>
                <w:sz w:val="18"/>
                <w:szCs w:val="18"/>
              </w:rPr>
              <w:t xml:space="preserve">Participants</w:t>
            </w:r>
          </w:p>
        </w:tc>
        <w:tc>
          <w:tcPr>
            <w:tcW w:type="pct" w:w="15%"/>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Data Objects</w:t>
            </w:r>
          </w:p>
        </w:tc>
      </w:tr>
      <w:tr>
        <w:tc>
          <w:tcPr>
            <w:tcW w:type="pct" w:w="65%"/>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Distribution of offering documents — PPM, subscription agreement, LP questionnaire, KYC forms</w:t>
            </w:r>
          </w:p>
          <w:p>
            <w:pPr>
              <w:pStyle w:val="ListParagraph"/>
              <w:numPr>
                <w:ilvl w:val="0"/>
                <w:numId w:val="1"/>
              </w:numPr>
              <w:spacing w:after="40" w:before="0"/>
            </w:pPr>
            <w:r>
              <w:rPr>
                <w:rFonts w:ascii="Calibri" w:cs="Calibri" w:eastAsia="Calibri" w:hAnsi="Calibri"/>
                <w:color w:val="404040"/>
                <w:sz w:val="18"/>
                <w:szCs w:val="18"/>
              </w:rPr>
              <w:t xml:space="preserve">Investor onboarding — KYC/AML screening, beneficial ownership verification, OFAC/sanctions screening</w:t>
            </w:r>
          </w:p>
          <w:p>
            <w:pPr>
              <w:pStyle w:val="ListParagraph"/>
              <w:numPr>
                <w:ilvl w:val="0"/>
                <w:numId w:val="1"/>
              </w:numPr>
              <w:spacing w:after="40" w:before="0"/>
            </w:pPr>
            <w:r>
              <w:rPr>
                <w:rFonts w:ascii="Calibri" w:cs="Calibri" w:eastAsia="Calibri" w:hAnsi="Calibri"/>
                <w:color w:val="404040"/>
                <w:sz w:val="18"/>
                <w:szCs w:val="18"/>
              </w:rPr>
              <w:t xml:space="preserve">Tax form collection — W-9 (US taxable), W-8BEN-E (foreign entity), W-8EXP (tax-exempt)</w:t>
            </w:r>
          </w:p>
          <w:p>
            <w:pPr>
              <w:pStyle w:val="ListParagraph"/>
              <w:numPr>
                <w:ilvl w:val="0"/>
                <w:numId w:val="1"/>
              </w:numPr>
              <w:spacing w:after="40" w:before="0"/>
            </w:pPr>
            <w:r>
              <w:rPr>
                <w:rFonts w:ascii="Calibri" w:cs="Calibri" w:eastAsia="Calibri" w:hAnsi="Calibri"/>
                <w:color w:val="404040"/>
                <w:sz w:val="18"/>
                <w:szCs w:val="18"/>
              </w:rPr>
              <w:t xml:space="preserve">FATCA / CRS classification — classify each investor as FFI, NFFE, US Person, or Exempt</w:t>
            </w:r>
          </w:p>
          <w:p>
            <w:pPr>
              <w:pStyle w:val="ListParagraph"/>
              <w:numPr>
                <w:ilvl w:val="0"/>
                <w:numId w:val="1"/>
              </w:numPr>
              <w:spacing w:after="40" w:before="0"/>
            </w:pPr>
            <w:r>
              <w:rPr>
                <w:rFonts w:ascii="Calibri" w:cs="Calibri" w:eastAsia="Calibri" w:hAnsi="Calibri"/>
                <w:color w:val="404040"/>
                <w:sz w:val="18"/>
                <w:szCs w:val="18"/>
              </w:rPr>
              <w:t xml:space="preserve">ERISA analysis — determine plan investor status; track 25% plan asset test per fund</w:t>
            </w:r>
          </w:p>
          <w:p>
            <w:pPr>
              <w:pStyle w:val="ListParagraph"/>
              <w:numPr>
                <w:ilvl w:val="0"/>
                <w:numId w:val="1"/>
              </w:numPr>
              <w:spacing w:after="40" w:before="0"/>
            </w:pPr>
            <w:r>
              <w:rPr>
                <w:rFonts w:ascii="Calibri" w:cs="Calibri" w:eastAsia="Calibri" w:hAnsi="Calibri"/>
                <w:color w:val="404040"/>
                <w:sz w:val="18"/>
                <w:szCs w:val="18"/>
              </w:rPr>
              <w:t xml:space="preserve">Side letter negotiation and execution — investor-specific concessions documented</w:t>
            </w:r>
          </w:p>
          <w:p>
            <w:pPr>
              <w:pStyle w:val="ListParagraph"/>
              <w:numPr>
                <w:ilvl w:val="0"/>
                <w:numId w:val="1"/>
              </w:numPr>
              <w:spacing w:after="40" w:before="0"/>
            </w:pPr>
            <w:r>
              <w:rPr>
                <w:rFonts w:ascii="Calibri" w:cs="Calibri" w:eastAsia="Calibri" w:hAnsi="Calibri"/>
                <w:color w:val="404040"/>
                <w:sz w:val="18"/>
                <w:szCs w:val="18"/>
              </w:rPr>
              <w:t xml:space="preserve">Subscription processing — subscription amount, feeder vehicle assignment, close allocation</w:t>
            </w:r>
          </w:p>
          <w:p>
            <w:pPr>
              <w:pStyle w:val="ListParagraph"/>
              <w:numPr>
                <w:ilvl w:val="0"/>
                <w:numId w:val="1"/>
              </w:numPr>
              <w:spacing w:after="40" w:before="0"/>
            </w:pPr>
            <w:r>
              <w:rPr>
                <w:rFonts w:ascii="Calibri" w:cs="Calibri" w:eastAsia="Calibri" w:hAnsi="Calibri"/>
                <w:color w:val="404040"/>
                <w:sz w:val="18"/>
                <w:szCs w:val="18"/>
              </w:rPr>
              <w:t xml:space="preserve">Investor admitted at fund close — commitment date = close date (pe:admittedAt)</w:t>
            </w:r>
          </w:p>
          <w:p>
            <w:pPr>
              <w:pStyle w:val="ListParagraph"/>
              <w:numPr>
                <w:ilvl w:val="0"/>
                <w:numId w:val="1"/>
              </w:numPr>
              <w:spacing w:after="40" w:before="0"/>
            </w:pPr>
            <w:r>
              <w:rPr>
                <w:rFonts w:ascii="Calibri" w:cs="Calibri" w:eastAsia="Calibri" w:hAnsi="Calibri"/>
                <w:color w:val="404040"/>
                <w:sz w:val="18"/>
                <w:szCs w:val="18"/>
              </w:rPr>
              <w:t xml:space="preserve">Equalization calculation for late closers — called % × committed × eq. rate × time fraction</w:t>
            </w:r>
          </w:p>
          <w:p>
            <w:pPr>
              <w:pStyle w:val="ListParagraph"/>
              <w:numPr>
                <w:ilvl w:val="0"/>
                <w:numId w:val="1"/>
              </w:numPr>
              <w:spacing w:after="40" w:before="0"/>
            </w:pPr>
            <w:r>
              <w:rPr>
                <w:rFonts w:ascii="Calibri" w:cs="Calibri" w:eastAsia="Calibri" w:hAnsi="Calibri"/>
                <w:color w:val="404040"/>
                <w:sz w:val="18"/>
                <w:szCs w:val="18"/>
              </w:rPr>
              <w:t xml:space="preserve">Capital account opening — transfer agent creates LP record, issues interest / unit allocation</w:t>
            </w:r>
          </w:p>
        </w:tc>
        <w:tc>
          <w:tcPr>
            <w:tcW w:type="pct" w:w="20%"/>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IR / Business Development</w:t>
            </w:r>
          </w:p>
          <w:p>
            <w:pPr>
              <w:pStyle w:val="ListParagraph"/>
              <w:numPr>
                <w:ilvl w:val="0"/>
                <w:numId w:val="1"/>
              </w:numPr>
              <w:spacing w:after="40" w:before="0"/>
            </w:pPr>
            <w:r>
              <w:rPr>
                <w:rFonts w:ascii="Calibri" w:cs="Calibri" w:eastAsia="Calibri" w:hAnsi="Calibri"/>
                <w:color w:val="404040"/>
                <w:sz w:val="18"/>
                <w:szCs w:val="18"/>
              </w:rPr>
              <w:t xml:space="preserve">Legal Counsel</w:t>
            </w:r>
          </w:p>
          <w:p>
            <w:pPr>
              <w:pStyle w:val="ListParagraph"/>
              <w:numPr>
                <w:ilvl w:val="0"/>
                <w:numId w:val="1"/>
              </w:numPr>
              <w:spacing w:after="40" w:before="0"/>
            </w:pPr>
            <w:r>
              <w:rPr>
                <w:rFonts w:ascii="Calibri" w:cs="Calibri" w:eastAsia="Calibri" w:hAnsi="Calibri"/>
                <w:color w:val="404040"/>
                <w:sz w:val="18"/>
                <w:szCs w:val="18"/>
              </w:rPr>
              <w:t xml:space="preserve">Compliance / KYC</w:t>
            </w:r>
          </w:p>
          <w:p>
            <w:pPr>
              <w:pStyle w:val="ListParagraph"/>
              <w:numPr>
                <w:ilvl w:val="0"/>
                <w:numId w:val="1"/>
              </w:numPr>
              <w:spacing w:after="40" w:before="0"/>
            </w:pPr>
            <w:r>
              <w:rPr>
                <w:rFonts w:ascii="Calibri" w:cs="Calibri" w:eastAsia="Calibri" w:hAnsi="Calibri"/>
                <w:color w:val="404040"/>
                <w:sz w:val="18"/>
                <w:szCs w:val="18"/>
              </w:rPr>
              <w:t xml:space="preserve">Transfer Agent</w:t>
            </w:r>
          </w:p>
          <w:p>
            <w:pPr>
              <w:pStyle w:val="ListParagraph"/>
              <w:numPr>
                <w:ilvl w:val="0"/>
                <w:numId w:val="1"/>
              </w:numPr>
              <w:spacing w:after="40" w:before="0"/>
            </w:pPr>
            <w:r>
              <w:rPr>
                <w:rFonts w:ascii="Calibri" w:cs="Calibri" w:eastAsia="Calibri" w:hAnsi="Calibri"/>
                <w:color w:val="404040"/>
                <w:sz w:val="18"/>
                <w:szCs w:val="18"/>
              </w:rPr>
              <w:t xml:space="preserve">Fund Administrator</w:t>
            </w:r>
          </w:p>
        </w:tc>
        <w:tc>
          <w:tcPr>
            <w:tcW w:type="pct" w:w="15%"/>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pe:Commitment</w:t>
            </w:r>
          </w:p>
          <w:p>
            <w:pPr>
              <w:pStyle w:val="ListParagraph"/>
              <w:numPr>
                <w:ilvl w:val="0"/>
                <w:numId w:val="1"/>
              </w:numPr>
              <w:spacing w:after="40" w:before="0"/>
            </w:pPr>
            <w:r>
              <w:rPr>
                <w:rFonts w:ascii="Calibri" w:cs="Calibri" w:eastAsia="Calibri" w:hAnsi="Calibri"/>
                <w:color w:val="404040"/>
                <w:sz w:val="18"/>
                <w:szCs w:val="18"/>
              </w:rPr>
              <w:t xml:space="preserve">pe:FundClose</w:t>
            </w:r>
          </w:p>
          <w:p>
            <w:pPr>
              <w:pStyle w:val="ListParagraph"/>
              <w:numPr>
                <w:ilvl w:val="0"/>
                <w:numId w:val="1"/>
              </w:numPr>
              <w:spacing w:after="40" w:before="0"/>
            </w:pPr>
            <w:r>
              <w:rPr>
                <w:rFonts w:ascii="Calibri" w:cs="Calibri" w:eastAsia="Calibri" w:hAnsi="Calibri"/>
                <w:color w:val="404040"/>
                <w:sz w:val="18"/>
                <w:szCs w:val="18"/>
              </w:rPr>
              <w:t xml:space="preserve">pe:Offering</w:t>
            </w:r>
          </w:p>
          <w:p>
            <w:pPr>
              <w:pStyle w:val="ListParagraph"/>
              <w:numPr>
                <w:ilvl w:val="0"/>
                <w:numId w:val="1"/>
              </w:numPr>
              <w:spacing w:after="40" w:before="0"/>
            </w:pPr>
            <w:r>
              <w:rPr>
                <w:rFonts w:ascii="Calibri" w:cs="Calibri" w:eastAsia="Calibri" w:hAnsi="Calibri"/>
                <w:color w:val="404040"/>
                <w:sz w:val="18"/>
                <w:szCs w:val="18"/>
              </w:rPr>
              <w:t xml:space="preserve">pe:Investor (regulatory fields)</w:t>
            </w:r>
          </w:p>
        </w:tc>
      </w:tr>
    </w:tbl>
    <w:p>
      <w:pPr>
        <w:spacing w:after="160" w:before="0"/>
      </w:pPr>
      <w:r>
        <w:t xml:space="preserve"/>
      </w:r>
    </w:p>
    <w:p>
      <w:pPr>
        <w:spacing w:after="80" w:before="200"/>
      </w:pPr>
      <w:r>
        <w:rPr>
          <w:rFonts w:ascii="Calibri" w:cs="Calibri" w:eastAsia="Calibri" w:hAnsi="Calibri"/>
          <w:b/>
          <w:bCs/>
          <w:color w:val="1F3864"/>
          <w:sz w:val="24"/>
          <w:szCs w:val="24"/>
        </w:rPr>
        <w:t xml:space="preserve">Reporting Outputs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tblGrid>
      <w:tr>
        <w:trPr>
          <w:tblHeader/>
        </w:trPr>
        <w:tc>
          <w:tcPr>
            <w:tcW w:type="pct" w:w="5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Report / Output</w:t>
            </w:r>
          </w:p>
        </w:tc>
        <w:tc>
          <w:tcPr>
            <w:tcW w:type="pct" w:w="5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Data Flow</w:t>
            </w:r>
          </w:p>
        </w:tc>
      </w:tr>
      <w:tr>
        <w:tc>
          <w:tcPr>
            <w:tcW w:type="pct" w:w="50%"/>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Fundraising progress vs. target / hard cap (by fund, by close)</w:t>
            </w:r>
          </w:p>
          <w:p>
            <w:pPr>
              <w:pStyle w:val="ListParagraph"/>
              <w:numPr>
                <w:ilvl w:val="0"/>
                <w:numId w:val="1"/>
              </w:numPr>
              <w:spacing w:after="40" w:before="0"/>
            </w:pPr>
            <w:r>
              <w:rPr>
                <w:rFonts w:ascii="Calibri" w:cs="Calibri" w:eastAsia="Calibri" w:hAnsi="Calibri"/>
                <w:color w:val="404040"/>
                <w:sz w:val="18"/>
                <w:szCs w:val="18"/>
              </w:rPr>
              <w:t xml:space="preserve">Subscription pipeline by investor and close deadline</w:t>
            </w:r>
          </w:p>
          <w:p>
            <w:pPr>
              <w:pStyle w:val="ListParagraph"/>
              <w:numPr>
                <w:ilvl w:val="0"/>
                <w:numId w:val="1"/>
              </w:numPr>
              <w:spacing w:after="40" w:before="0"/>
            </w:pPr>
            <w:r>
              <w:rPr>
                <w:rFonts w:ascii="Calibri" w:cs="Calibri" w:eastAsia="Calibri" w:hAnsi="Calibri"/>
                <w:color w:val="404040"/>
                <w:sz w:val="18"/>
                <w:szCs w:val="18"/>
              </w:rPr>
              <w:t xml:space="preserve">KYC / AML status dashboard — approved, pending, refresh due, PEP flags</w:t>
            </w:r>
          </w:p>
          <w:p>
            <w:pPr>
              <w:pStyle w:val="ListParagraph"/>
              <w:numPr>
                <w:ilvl w:val="0"/>
                <w:numId w:val="1"/>
              </w:numPr>
              <w:spacing w:after="40" w:before="0"/>
            </w:pPr>
            <w:r>
              <w:rPr>
                <w:rFonts w:ascii="Calibri" w:cs="Calibri" w:eastAsia="Calibri" w:hAnsi="Calibri"/>
                <w:color w:val="404040"/>
                <w:sz w:val="18"/>
                <w:szCs w:val="18"/>
              </w:rPr>
              <w:t xml:space="preserve">ERISA plan asset utilization — % benefit plan investor per fund</w:t>
            </w:r>
          </w:p>
          <w:p>
            <w:pPr>
              <w:pStyle w:val="ListParagraph"/>
              <w:numPr>
                <w:ilvl w:val="0"/>
                <w:numId w:val="1"/>
              </w:numPr>
              <w:spacing w:after="40" w:before="0"/>
            </w:pPr>
            <w:r>
              <w:rPr>
                <w:rFonts w:ascii="Calibri" w:cs="Calibri" w:eastAsia="Calibri" w:hAnsi="Calibri"/>
                <w:color w:val="404040"/>
                <w:sz w:val="18"/>
                <w:szCs w:val="18"/>
              </w:rPr>
              <w:t xml:space="preserve">Close economics summary — investors admitted, aggregate commitments, equalization collected</w:t>
            </w:r>
          </w:p>
          <w:p>
            <w:pPr>
              <w:pStyle w:val="ListParagraph"/>
              <w:numPr>
                <w:ilvl w:val="0"/>
                <w:numId w:val="1"/>
              </w:numPr>
              <w:spacing w:after="40" w:before="0"/>
            </w:pPr>
            <w:r>
              <w:rPr>
                <w:rFonts w:ascii="Calibri" w:cs="Calibri" w:eastAsia="Calibri" w:hAnsi="Calibri"/>
                <w:color w:val="404040"/>
                <w:sz w:val="18"/>
                <w:szCs w:val="18"/>
              </w:rPr>
              <w:t xml:space="preserve">Placement agent fee accrual and payment schedule</w:t>
            </w:r>
          </w:p>
        </w:tc>
        <w:tc>
          <w:tcPr>
            <w:tcW w:type="pct" w:w="50%"/>
            <w:tcMar>
              <w:top w:type="dxa" w:w="50"/>
              <w:left w:type="dxa" w:w="80"/>
              <w:bottom w:type="dxa" w:w="50"/>
              <w:right w:type="dxa" w:w="80"/>
            </w:tcMar>
          </w:tcPr>
          <w:p>
            <w:r>
              <w:rPr>
                <w:rFonts w:ascii="Calibri" w:cs="Calibri" w:eastAsia="Calibri" w:hAnsi="Calibri"/>
                <w:color w:val="404040"/>
                <w:sz w:val="19"/>
                <w:szCs w:val="19"/>
              </w:rPr>
              <w:t xml:space="preserve">Opportunity (Won) → Commitment → FundClose admission → CapitalAccount created at Transfer Agent</w:t>
            </w:r>
          </w:p>
        </w:tc>
      </w:tr>
    </w:tbl>
    <w:p>
      <w:pPr>
        <w:spacing w:after="160" w:before="0"/>
      </w:pPr>
      <w:r>
        <w:t xml:space="preserve"/>
      </w:r>
    </w:p>
    <w:p>
      <w:r>
        <w:br w:type="page"/>
      </w:r>
    </w:p>
    <w:p>
      <w:pPr>
        <w:pStyle w:val="Heading2"/>
        <w:spacing w:after="120" w:before="320"/>
      </w:pPr>
      <w:r>
        <w:t xml:space="preserve">G.4  Capital Calls</w:t>
      </w:r>
    </w:p>
    <w:p>
      <w:pPr>
        <w:spacing w:after="120" w:before="0"/>
      </w:pPr>
      <w:r>
        <w:rPr>
          <w:rFonts w:ascii="Calibri" w:cs="Calibri" w:eastAsia="Calibri" w:hAnsi="Calibri"/>
          <w:color w:val="404040"/>
          <w:sz w:val="22"/>
          <w:szCs w:val="22"/>
        </w:rPr>
        <w:t xml:space="preserve">When the GP identifies an investment opportunity or needs to cover fund expenses, it issues a capital call. The call is pro-rated across all LP commitments in proportion to each LP's committed amount. Feeders aggregate their LP proceeds and remit to the Main Fund.</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tblGrid>
      <w:tr>
        <w:trPr>
          <w:tblHeader/>
        </w:trPr>
        <w:tc>
          <w:tcPr>
            <w:tcW w:type="pct" w:w="65%"/>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Key Activities</w:t>
            </w:r>
          </w:p>
        </w:tc>
        <w:tc>
          <w:tcPr>
            <w:tcW w:type="pct" w:w="20%"/>
            <w:shd w:fill="404040" w:color="404040" w:val="clear"/>
            <w:tcMar>
              <w:top w:type="dxa" w:w="60"/>
              <w:left w:type="dxa" w:w="80"/>
              <w:bottom w:type="dxa" w:w="60"/>
              <w:right w:type="dxa" w:w="80"/>
            </w:tcMar>
          </w:tcPr>
          <w:p>
            <w:r>
              <w:rPr>
                <w:rFonts w:ascii="Calibri" w:cs="Calibri" w:eastAsia="Calibri" w:hAnsi="Calibri"/>
                <w:b/>
                <w:bCs/>
                <w:color w:val="FFFFFF"/>
                <w:sz w:val="18"/>
                <w:szCs w:val="18"/>
              </w:rPr>
              <w:t xml:space="preserve">Participants</w:t>
            </w:r>
          </w:p>
        </w:tc>
        <w:tc>
          <w:tcPr>
            <w:tcW w:type="pct" w:w="15%"/>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Data Objects</w:t>
            </w:r>
          </w:p>
        </w:tc>
      </w:tr>
      <w:tr>
        <w:tc>
          <w:tcPr>
            <w:tcW w:type="pct" w:w="65%"/>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Investment Committee (IC) approval of the capital deployment or expense requiring a call</w:t>
            </w:r>
          </w:p>
          <w:p>
            <w:pPr>
              <w:pStyle w:val="ListParagraph"/>
              <w:numPr>
                <w:ilvl w:val="0"/>
                <w:numId w:val="1"/>
              </w:numPr>
              <w:spacing w:after="40" w:before="0"/>
            </w:pPr>
            <w:r>
              <w:rPr>
                <w:rFonts w:ascii="Calibri" w:cs="Calibri" w:eastAsia="Calibri" w:hAnsi="Calibri"/>
                <w:color w:val="404040"/>
                <w:sz w:val="18"/>
                <w:szCs w:val="18"/>
              </w:rPr>
              <w:t xml:space="preserve">Calculate total call amount and pro-rata allocation per LP commitment (call % × committed amount)</w:t>
            </w:r>
          </w:p>
          <w:p>
            <w:pPr>
              <w:pStyle w:val="ListParagraph"/>
              <w:numPr>
                <w:ilvl w:val="0"/>
                <w:numId w:val="1"/>
              </w:numPr>
              <w:spacing w:after="40" w:before="0"/>
            </w:pPr>
            <w:r>
              <w:rPr>
                <w:rFonts w:ascii="Calibri" w:cs="Calibri" w:eastAsia="Calibri" w:hAnsi="Calibri"/>
                <w:color w:val="404040"/>
                <w:sz w:val="18"/>
                <w:szCs w:val="18"/>
              </w:rPr>
              <w:t xml:space="preserve">Issue capital call notice to each LP — due date typically T+10 business days</w:t>
            </w:r>
          </w:p>
          <w:p>
            <w:pPr>
              <w:pStyle w:val="ListParagraph"/>
              <w:numPr>
                <w:ilvl w:val="0"/>
                <w:numId w:val="1"/>
              </w:numPr>
              <w:spacing w:after="40" w:before="0"/>
            </w:pPr>
            <w:r>
              <w:rPr>
                <w:rFonts w:ascii="Calibri" w:cs="Calibri" w:eastAsia="Calibri" w:hAnsi="Calibri"/>
                <w:color w:val="404040"/>
                <w:sz w:val="18"/>
                <w:szCs w:val="18"/>
              </w:rPr>
              <w:t xml:space="preserve">Monitor incoming wires — reconcile expected vs. received amounts daily until settlement</w:t>
            </w:r>
          </w:p>
          <w:p>
            <w:pPr>
              <w:pStyle w:val="ListParagraph"/>
              <w:numPr>
                <w:ilvl w:val="0"/>
                <w:numId w:val="1"/>
              </w:numPr>
              <w:spacing w:after="40" w:before="0"/>
            </w:pPr>
            <w:r>
              <w:rPr>
                <w:rFonts w:ascii="Calibri" w:cs="Calibri" w:eastAsia="Calibri" w:hAnsi="Calibri"/>
                <w:color w:val="404040"/>
                <w:sz w:val="18"/>
                <w:szCs w:val="18"/>
              </w:rPr>
              <w:t xml:space="preserve">Follow up on late / missing payments — default notices if LP fails to fund by due date</w:t>
            </w:r>
          </w:p>
          <w:p>
            <w:pPr>
              <w:pStyle w:val="ListParagraph"/>
              <w:numPr>
                <w:ilvl w:val="0"/>
                <w:numId w:val="1"/>
              </w:numPr>
              <w:spacing w:after="40" w:before="0"/>
            </w:pPr>
            <w:r>
              <w:rPr>
                <w:rFonts w:ascii="Calibri" w:cs="Calibri" w:eastAsia="Calibri" w:hAnsi="Calibri"/>
                <w:color w:val="404040"/>
                <w:sz w:val="18"/>
                <w:szCs w:val="18"/>
              </w:rPr>
              <w:t xml:space="preserve">Feeder-level aggregation — each feeder sweeps LP proceeds into feeder account</w:t>
            </w:r>
          </w:p>
          <w:p>
            <w:pPr>
              <w:pStyle w:val="ListParagraph"/>
              <w:numPr>
                <w:ilvl w:val="0"/>
                <w:numId w:val="1"/>
              </w:numPr>
              <w:spacing w:after="40" w:before="0"/>
            </w:pPr>
            <w:r>
              <w:rPr>
                <w:rFonts w:ascii="Calibri" w:cs="Calibri" w:eastAsia="Calibri" w:hAnsi="Calibri"/>
                <w:color w:val="404040"/>
                <w:sz w:val="18"/>
                <w:szCs w:val="18"/>
              </w:rPr>
              <w:t xml:space="preserve">Feeder remittance to Main Fund — feeder wires aggregate proceeds to Main Fund account (T+1 after settlement)</w:t>
            </w:r>
          </w:p>
          <w:p>
            <w:pPr>
              <w:pStyle w:val="ListParagraph"/>
              <w:numPr>
                <w:ilvl w:val="0"/>
                <w:numId w:val="1"/>
              </w:numPr>
              <w:spacing w:after="40" w:before="0"/>
            </w:pPr>
            <w:r>
              <w:rPr>
                <w:rFonts w:ascii="Calibri" w:cs="Calibri" w:eastAsia="Calibri" w:hAnsi="Calibri"/>
                <w:color w:val="404040"/>
                <w:sz w:val="18"/>
                <w:szCs w:val="18"/>
              </w:rPr>
              <w:t xml:space="preserve">Unfunded commitment update — reduce each LP's remaining unfunded balance</w:t>
            </w:r>
          </w:p>
          <w:p>
            <w:pPr>
              <w:pStyle w:val="ListParagraph"/>
              <w:numPr>
                <w:ilvl w:val="0"/>
                <w:numId w:val="1"/>
              </w:numPr>
              <w:spacing w:after="40" w:before="0"/>
            </w:pPr>
            <w:r>
              <w:rPr>
                <w:rFonts w:ascii="Calibri" w:cs="Calibri" w:eastAsia="Calibri" w:hAnsi="Calibri"/>
                <w:color w:val="404040"/>
                <w:sz w:val="18"/>
                <w:szCs w:val="18"/>
              </w:rPr>
              <w:t xml:space="preserve">Management fee call — quarterly management fee billed via capital call or separately invoiced</w:t>
            </w:r>
          </w:p>
        </w:tc>
        <w:tc>
          <w:tcPr>
            <w:tcW w:type="pct" w:w="20%"/>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Fund Administrator</w:t>
            </w:r>
          </w:p>
          <w:p>
            <w:pPr>
              <w:pStyle w:val="ListParagraph"/>
              <w:numPr>
                <w:ilvl w:val="0"/>
                <w:numId w:val="1"/>
              </w:numPr>
              <w:spacing w:after="40" w:before="0"/>
            </w:pPr>
            <w:r>
              <w:rPr>
                <w:rFonts w:ascii="Calibri" w:cs="Calibri" w:eastAsia="Calibri" w:hAnsi="Calibri"/>
                <w:color w:val="404040"/>
                <w:sz w:val="18"/>
                <w:szCs w:val="18"/>
              </w:rPr>
              <w:t xml:space="preserve">Transfer Agent</w:t>
            </w:r>
          </w:p>
          <w:p>
            <w:pPr>
              <w:pStyle w:val="ListParagraph"/>
              <w:numPr>
                <w:ilvl w:val="0"/>
                <w:numId w:val="1"/>
              </w:numPr>
              <w:spacing w:after="40" w:before="0"/>
            </w:pPr>
            <w:r>
              <w:rPr>
                <w:rFonts w:ascii="Calibri" w:cs="Calibri" w:eastAsia="Calibri" w:hAnsi="Calibri"/>
                <w:color w:val="404040"/>
                <w:sz w:val="18"/>
                <w:szCs w:val="18"/>
              </w:rPr>
              <w:t xml:space="preserve">Controller / CFO</w:t>
            </w:r>
          </w:p>
          <w:p>
            <w:pPr>
              <w:pStyle w:val="ListParagraph"/>
              <w:numPr>
                <w:ilvl w:val="0"/>
                <w:numId w:val="1"/>
              </w:numPr>
              <w:spacing w:after="40" w:before="0"/>
            </w:pPr>
            <w:r>
              <w:rPr>
                <w:rFonts w:ascii="Calibri" w:cs="Calibri" w:eastAsia="Calibri" w:hAnsi="Calibri"/>
                <w:color w:val="404040"/>
                <w:sz w:val="18"/>
                <w:szCs w:val="18"/>
              </w:rPr>
              <w:t xml:space="preserve">Relationship Manager</w:t>
            </w:r>
          </w:p>
          <w:p>
            <w:pPr>
              <w:pStyle w:val="ListParagraph"/>
              <w:numPr>
                <w:ilvl w:val="0"/>
                <w:numId w:val="1"/>
              </w:numPr>
              <w:spacing w:after="40" w:before="0"/>
            </w:pPr>
            <w:r>
              <w:rPr>
                <w:rFonts w:ascii="Calibri" w:cs="Calibri" w:eastAsia="Calibri" w:hAnsi="Calibri"/>
                <w:color w:val="404040"/>
                <w:sz w:val="18"/>
                <w:szCs w:val="18"/>
              </w:rPr>
              <w:t xml:space="preserve">Legal (default notices)</w:t>
            </w:r>
          </w:p>
        </w:tc>
        <w:tc>
          <w:tcPr>
            <w:tcW w:type="pct" w:w="15%"/>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pe:CapitalCall</w:t>
            </w:r>
          </w:p>
          <w:p>
            <w:pPr>
              <w:pStyle w:val="ListParagraph"/>
              <w:numPr>
                <w:ilvl w:val="0"/>
                <w:numId w:val="1"/>
              </w:numPr>
              <w:spacing w:after="40" w:before="0"/>
            </w:pPr>
            <w:r>
              <w:rPr>
                <w:rFonts w:ascii="Calibri" w:cs="Calibri" w:eastAsia="Calibri" w:hAnsi="Calibri"/>
                <w:color w:val="404040"/>
                <w:sz w:val="18"/>
                <w:szCs w:val="18"/>
              </w:rPr>
              <w:t xml:space="preserve">pe:CapitalCallNotice</w:t>
            </w:r>
          </w:p>
          <w:p>
            <w:pPr>
              <w:pStyle w:val="ListParagraph"/>
              <w:numPr>
                <w:ilvl w:val="0"/>
                <w:numId w:val="1"/>
              </w:numPr>
              <w:spacing w:after="40" w:before="0"/>
            </w:pPr>
            <w:r>
              <w:rPr>
                <w:rFonts w:ascii="Calibri" w:cs="Calibri" w:eastAsia="Calibri" w:hAnsi="Calibri"/>
                <w:color w:val="404040"/>
                <w:sz w:val="18"/>
                <w:szCs w:val="18"/>
              </w:rPr>
              <w:t xml:space="preserve">pe:Commitment (unfunded balance)</w:t>
            </w:r>
          </w:p>
        </w:tc>
      </w:tr>
    </w:tbl>
    <w:p>
      <w:pPr>
        <w:spacing w:after="160" w:before="0"/>
      </w:pPr>
      <w:r>
        <w:t xml:space="preserve"/>
      </w:r>
    </w:p>
    <w:p>
      <w:pPr>
        <w:spacing w:after="80" w:before="200"/>
      </w:pPr>
      <w:r>
        <w:rPr>
          <w:rFonts w:ascii="Calibri" w:cs="Calibri" w:eastAsia="Calibri" w:hAnsi="Calibri"/>
          <w:b/>
          <w:bCs/>
          <w:color w:val="1F3864"/>
          <w:sz w:val="24"/>
          <w:szCs w:val="24"/>
        </w:rPr>
        <w:t xml:space="preserve">Reporting Outputs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tblGrid>
      <w:tr>
        <w:trPr>
          <w:tblHeader/>
        </w:trPr>
        <w:tc>
          <w:tcPr>
            <w:tcW w:type="pct" w:w="5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Report / Output</w:t>
            </w:r>
          </w:p>
        </w:tc>
        <w:tc>
          <w:tcPr>
            <w:tcW w:type="pct" w:w="5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Data Flow</w:t>
            </w:r>
          </w:p>
        </w:tc>
      </w:tr>
      <w:tr>
        <w:tc>
          <w:tcPr>
            <w:tcW w:type="pct" w:w="50%"/>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Capital call notice register — notice ID, investor, amount due, due date, payment status</w:t>
            </w:r>
          </w:p>
          <w:p>
            <w:pPr>
              <w:pStyle w:val="ListParagraph"/>
              <w:numPr>
                <w:ilvl w:val="0"/>
                <w:numId w:val="1"/>
              </w:numPr>
              <w:spacing w:after="40" w:before="0"/>
            </w:pPr>
            <w:r>
              <w:rPr>
                <w:rFonts w:ascii="Calibri" w:cs="Calibri" w:eastAsia="Calibri" w:hAnsi="Calibri"/>
                <w:color w:val="404040"/>
                <w:sz w:val="18"/>
                <w:szCs w:val="18"/>
              </w:rPr>
              <w:t xml:space="preserve">Outstanding / overdue notices — aging by days past due, default risk flags</w:t>
            </w:r>
          </w:p>
          <w:p>
            <w:pPr>
              <w:pStyle w:val="ListParagraph"/>
              <w:numPr>
                <w:ilvl w:val="0"/>
                <w:numId w:val="1"/>
              </w:numPr>
              <w:spacing w:after="40" w:before="0"/>
            </w:pPr>
            <w:r>
              <w:rPr>
                <w:rFonts w:ascii="Calibri" w:cs="Calibri" w:eastAsia="Calibri" w:hAnsi="Calibri"/>
                <w:color w:val="404040"/>
                <w:sz w:val="18"/>
                <w:szCs w:val="18"/>
              </w:rPr>
              <w:t xml:space="preserve">Cash flow forecast — expected wire receipts by settlement date</w:t>
            </w:r>
          </w:p>
          <w:p>
            <w:pPr>
              <w:pStyle w:val="ListParagraph"/>
              <w:numPr>
                <w:ilvl w:val="0"/>
                <w:numId w:val="1"/>
              </w:numPr>
              <w:spacing w:after="40" w:before="0"/>
            </w:pPr>
            <w:r>
              <w:rPr>
                <w:rFonts w:ascii="Calibri" w:cs="Calibri" w:eastAsia="Calibri" w:hAnsi="Calibri"/>
                <w:color w:val="404040"/>
                <w:sz w:val="18"/>
                <w:szCs w:val="18"/>
              </w:rPr>
              <w:t xml:space="preserve">Cumulative called % per fund and per LP (vs. commitment)</w:t>
            </w:r>
          </w:p>
          <w:p>
            <w:pPr>
              <w:pStyle w:val="ListParagraph"/>
              <w:numPr>
                <w:ilvl w:val="0"/>
                <w:numId w:val="1"/>
              </w:numPr>
              <w:spacing w:after="40" w:before="0"/>
            </w:pPr>
            <w:r>
              <w:rPr>
                <w:rFonts w:ascii="Calibri" w:cs="Calibri" w:eastAsia="Calibri" w:hAnsi="Calibri"/>
                <w:color w:val="404040"/>
                <w:sz w:val="18"/>
                <w:szCs w:val="18"/>
              </w:rPr>
              <w:t xml:space="preserve">Unfunded commitment schedule — remaining dry powder by fund and investor</w:t>
            </w:r>
          </w:p>
          <w:p>
            <w:pPr>
              <w:pStyle w:val="ListParagraph"/>
              <w:numPr>
                <w:ilvl w:val="0"/>
                <w:numId w:val="1"/>
              </w:numPr>
              <w:spacing w:after="40" w:before="0"/>
            </w:pPr>
            <w:r>
              <w:rPr>
                <w:rFonts w:ascii="Calibri" w:cs="Calibri" w:eastAsia="Calibri" w:hAnsi="Calibri"/>
                <w:color w:val="404040"/>
                <w:sz w:val="18"/>
                <w:szCs w:val="18"/>
              </w:rPr>
              <w:t xml:space="preserve">Failed payment / default tracking report</w:t>
            </w:r>
          </w:p>
        </w:tc>
        <w:tc>
          <w:tcPr>
            <w:tcW w:type="pct" w:w="50%"/>
            <w:tcMar>
              <w:top w:type="dxa" w:w="50"/>
              <w:left w:type="dxa" w:w="80"/>
              <w:bottom w:type="dxa" w:w="50"/>
              <w:right w:type="dxa" w:w="80"/>
            </w:tcMar>
          </w:tcPr>
          <w:p>
            <w:r>
              <w:rPr>
                <w:rFonts w:ascii="Calibri" w:cs="Calibri" w:eastAsia="Calibri" w:hAnsi="Calibri"/>
                <w:color w:val="404040"/>
                <w:sz w:val="19"/>
                <w:szCs w:val="19"/>
              </w:rPr>
              <w:t xml:space="preserve">CapitalCall (fund level) → CapitalCallNotice (per LP) → Wire receipt → Feeder remittance → Main Fund</w:t>
            </w:r>
          </w:p>
        </w:tc>
      </w:tr>
    </w:tbl>
    <w:p>
      <w:pPr>
        <w:spacing w:after="160" w:before="0"/>
      </w:pPr>
      <w:r>
        <w:t xml:space="preserve"/>
      </w:r>
    </w:p>
    <w:p>
      <w:r>
        <w:br w:type="page"/>
      </w:r>
    </w:p>
    <w:p>
      <w:pPr>
        <w:pStyle w:val="Heading2"/>
        <w:spacing w:after="120" w:before="320"/>
      </w:pPr>
      <w:r>
        <w:t xml:space="preserve">G.5  Fund Administration &amp; Transfer Agent Processing</w:t>
      </w:r>
    </w:p>
    <w:p>
      <w:pPr>
        <w:spacing w:after="120" w:before="0"/>
      </w:pPr>
      <w:r>
        <w:rPr>
          <w:rFonts w:ascii="Calibri" w:cs="Calibri" w:eastAsia="Calibri" w:hAnsi="Calibri"/>
          <w:color w:val="404040"/>
          <w:sz w:val="22"/>
          <w:szCs w:val="22"/>
        </w:rPr>
        <w:t xml:space="preserve">Post capital call, the fund administrator and transfer agent record all GL journal entries at both feeder and main fund levels. The transfer agent maintains the official register of LP interests, updates unit balances, and produces LP capital account statements. NAV is calculated quarterly.</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tblGrid>
      <w:tr>
        <w:trPr>
          <w:tblHeader/>
        </w:trPr>
        <w:tc>
          <w:tcPr>
            <w:tcW w:type="pct" w:w="65%"/>
            <w:shd w:fill="4472C4" w:color="4472C4" w:val="clear"/>
            <w:tcMar>
              <w:top w:type="dxa" w:w="60"/>
              <w:left w:type="dxa" w:w="80"/>
              <w:bottom w:type="dxa" w:w="60"/>
              <w:right w:type="dxa" w:w="80"/>
            </w:tcMar>
          </w:tcPr>
          <w:p>
            <w:r>
              <w:rPr>
                <w:rFonts w:ascii="Calibri" w:cs="Calibri" w:eastAsia="Calibri" w:hAnsi="Calibri"/>
                <w:b/>
                <w:bCs/>
                <w:color w:val="FFFFFF"/>
                <w:sz w:val="18"/>
                <w:szCs w:val="18"/>
              </w:rPr>
              <w:t xml:space="preserve">Key Activities</w:t>
            </w:r>
          </w:p>
        </w:tc>
        <w:tc>
          <w:tcPr>
            <w:tcW w:type="pct" w:w="20%"/>
            <w:shd w:fill="404040" w:color="404040" w:val="clear"/>
            <w:tcMar>
              <w:top w:type="dxa" w:w="60"/>
              <w:left w:type="dxa" w:w="80"/>
              <w:bottom w:type="dxa" w:w="60"/>
              <w:right w:type="dxa" w:w="80"/>
            </w:tcMar>
          </w:tcPr>
          <w:p>
            <w:r>
              <w:rPr>
                <w:rFonts w:ascii="Calibri" w:cs="Calibri" w:eastAsia="Calibri" w:hAnsi="Calibri"/>
                <w:b/>
                <w:bCs/>
                <w:color w:val="FFFFFF"/>
                <w:sz w:val="18"/>
                <w:szCs w:val="18"/>
              </w:rPr>
              <w:t xml:space="preserve">Participants</w:t>
            </w:r>
          </w:p>
        </w:tc>
        <w:tc>
          <w:tcPr>
            <w:tcW w:type="pct" w:w="15%"/>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Data Objects</w:t>
            </w:r>
          </w:p>
        </w:tc>
      </w:tr>
      <w:tr>
        <w:tc>
          <w:tcPr>
            <w:tcW w:type="pct" w:w="65%"/>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Feeder GL: DR Capital Call Receivable / CR Contributions Payable — on call date</w:t>
            </w:r>
          </w:p>
          <w:p>
            <w:pPr>
              <w:pStyle w:val="ListParagraph"/>
              <w:numPr>
                <w:ilvl w:val="0"/>
                <w:numId w:val="1"/>
              </w:numPr>
              <w:spacing w:after="40" w:before="0"/>
            </w:pPr>
            <w:r>
              <w:rPr>
                <w:rFonts w:ascii="Calibri" w:cs="Calibri" w:eastAsia="Calibri" w:hAnsi="Calibri"/>
                <w:color w:val="404040"/>
                <w:sz w:val="18"/>
                <w:szCs w:val="18"/>
              </w:rPr>
              <w:t xml:space="preserve">Feeder GL: DR Cash / CR Capital Call Receivable — on settlement date (wire received)</w:t>
            </w:r>
          </w:p>
          <w:p>
            <w:pPr>
              <w:pStyle w:val="ListParagraph"/>
              <w:numPr>
                <w:ilvl w:val="0"/>
                <w:numId w:val="1"/>
              </w:numPr>
              <w:spacing w:after="40" w:before="0"/>
            </w:pPr>
            <w:r>
              <w:rPr>
                <w:rFonts w:ascii="Calibri" w:cs="Calibri" w:eastAsia="Calibri" w:hAnsi="Calibri"/>
                <w:color w:val="404040"/>
                <w:sz w:val="18"/>
                <w:szCs w:val="18"/>
              </w:rPr>
              <w:t xml:space="preserve">Feeder GL: DR Investment in Main Fund / CR Cash — on remittance to Main Fund</w:t>
            </w:r>
          </w:p>
          <w:p>
            <w:pPr>
              <w:pStyle w:val="ListParagraph"/>
              <w:numPr>
                <w:ilvl w:val="0"/>
                <w:numId w:val="1"/>
              </w:numPr>
              <w:spacing w:after="40" w:before="0"/>
            </w:pPr>
            <w:r>
              <w:rPr>
                <w:rFonts w:ascii="Calibri" w:cs="Calibri" w:eastAsia="Calibri" w:hAnsi="Calibri"/>
                <w:color w:val="404040"/>
                <w:sz w:val="18"/>
                <w:szCs w:val="18"/>
              </w:rPr>
              <w:t xml:space="preserve">Main Fund GL: DR Cash / CR LP Capital Account — on receipt of feeder remittance</w:t>
            </w:r>
          </w:p>
          <w:p>
            <w:pPr>
              <w:pStyle w:val="ListParagraph"/>
              <w:numPr>
                <w:ilvl w:val="0"/>
                <w:numId w:val="1"/>
              </w:numPr>
              <w:spacing w:after="40" w:before="0"/>
            </w:pPr>
            <w:r>
              <w:rPr>
                <w:rFonts w:ascii="Calibri" w:cs="Calibri" w:eastAsia="Calibri" w:hAnsi="Calibri"/>
                <w:color w:val="404040"/>
                <w:sz w:val="18"/>
                <w:szCs w:val="18"/>
              </w:rPr>
              <w:t xml:space="preserve">Main Fund GL: DR Portfolio Investment — Cost / CR Cash — on portfolio deployment</w:t>
            </w:r>
          </w:p>
          <w:p>
            <w:pPr>
              <w:pStyle w:val="ListParagraph"/>
              <w:numPr>
                <w:ilvl w:val="0"/>
                <w:numId w:val="1"/>
              </w:numPr>
              <w:spacing w:after="40" w:before="0"/>
            </w:pPr>
            <w:r>
              <w:rPr>
                <w:rFonts w:ascii="Calibri" w:cs="Calibri" w:eastAsia="Calibri" w:hAnsi="Calibri"/>
                <w:color w:val="404040"/>
                <w:sz w:val="18"/>
                <w:szCs w:val="18"/>
              </w:rPr>
              <w:t xml:space="preserve">Transfer agent unit register update — LP interests recalculated post each call</w:t>
            </w:r>
          </w:p>
          <w:p>
            <w:pPr>
              <w:pStyle w:val="ListParagraph"/>
              <w:numPr>
                <w:ilvl w:val="0"/>
                <w:numId w:val="1"/>
              </w:numPr>
              <w:spacing w:after="40" w:before="0"/>
            </w:pPr>
            <w:r>
              <w:rPr>
                <w:rFonts w:ascii="Calibri" w:cs="Calibri" w:eastAsia="Calibri" w:hAnsi="Calibri"/>
                <w:color w:val="404040"/>
                <w:sz w:val="18"/>
                <w:szCs w:val="18"/>
              </w:rPr>
              <w:t xml:space="preserve">Equalization entries — redistribute equalization proceeds to existing LPs</w:t>
            </w:r>
          </w:p>
          <w:p>
            <w:pPr>
              <w:pStyle w:val="ListParagraph"/>
              <w:numPr>
                <w:ilvl w:val="0"/>
                <w:numId w:val="1"/>
              </w:numPr>
              <w:spacing w:after="40" w:before="0"/>
            </w:pPr>
            <w:r>
              <w:rPr>
                <w:rFonts w:ascii="Calibri" w:cs="Calibri" w:eastAsia="Calibri" w:hAnsi="Calibri"/>
                <w:color w:val="404040"/>
                <w:sz w:val="18"/>
                <w:szCs w:val="18"/>
              </w:rPr>
              <w:t xml:space="preserve">Quarterly NAV calculation — mark portfolio companies to fair value (Level 2 / Level 3)</w:t>
            </w:r>
          </w:p>
          <w:p>
            <w:pPr>
              <w:pStyle w:val="ListParagraph"/>
              <w:numPr>
                <w:ilvl w:val="0"/>
                <w:numId w:val="1"/>
              </w:numPr>
              <w:spacing w:after="40" w:before="0"/>
            </w:pPr>
            <w:r>
              <w:rPr>
                <w:rFonts w:ascii="Calibri" w:cs="Calibri" w:eastAsia="Calibri" w:hAnsi="Calibri"/>
                <w:color w:val="404040"/>
                <w:sz w:val="18"/>
                <w:szCs w:val="18"/>
              </w:rPr>
              <w:t xml:space="preserve">LP capital account statement production — per LP, per feeder, per quarter</w:t>
            </w:r>
          </w:p>
          <w:p>
            <w:pPr>
              <w:pStyle w:val="ListParagraph"/>
              <w:numPr>
                <w:ilvl w:val="0"/>
                <w:numId w:val="1"/>
              </w:numPr>
              <w:spacing w:after="40" w:before="0"/>
            </w:pPr>
            <w:r>
              <w:rPr>
                <w:rFonts w:ascii="Calibri" w:cs="Calibri" w:eastAsia="Calibri" w:hAnsi="Calibri"/>
                <w:color w:val="404040"/>
                <w:sz w:val="18"/>
                <w:szCs w:val="18"/>
              </w:rPr>
              <w:t xml:space="preserve">Management fee accrual and billing — calculated on committed or invested capital per LPA</w:t>
            </w:r>
          </w:p>
          <w:p>
            <w:pPr>
              <w:pStyle w:val="ListParagraph"/>
              <w:numPr>
                <w:ilvl w:val="0"/>
                <w:numId w:val="1"/>
              </w:numPr>
              <w:spacing w:after="40" w:before="0"/>
            </w:pPr>
            <w:r>
              <w:rPr>
                <w:rFonts w:ascii="Calibri" w:cs="Calibri" w:eastAsia="Calibri" w:hAnsi="Calibri"/>
                <w:color w:val="404040"/>
                <w:sz w:val="18"/>
                <w:szCs w:val="18"/>
              </w:rPr>
              <w:t xml:space="preserve">Expense allocation — fund expenses pro-rated to LPs per their ownership percentage</w:t>
            </w:r>
          </w:p>
          <w:p>
            <w:pPr>
              <w:pStyle w:val="ListParagraph"/>
              <w:numPr>
                <w:ilvl w:val="0"/>
                <w:numId w:val="1"/>
              </w:numPr>
              <w:spacing w:after="40" w:before="0"/>
            </w:pPr>
            <w:r>
              <w:rPr>
                <w:rFonts w:ascii="Calibri" w:cs="Calibri" w:eastAsia="Calibri" w:hAnsi="Calibri"/>
                <w:color w:val="404040"/>
                <w:sz w:val="18"/>
                <w:szCs w:val="18"/>
              </w:rPr>
              <w:t xml:space="preserve">Annual audit — GAAP / IFRS financial statements, schedule of investments, auditor sign-off</w:t>
            </w:r>
          </w:p>
        </w:tc>
        <w:tc>
          <w:tcPr>
            <w:tcW w:type="pct" w:w="20%"/>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Fund Administrator (Citco, SS&amp;C, etc.)</w:t>
            </w:r>
          </w:p>
          <w:p>
            <w:pPr>
              <w:pStyle w:val="ListParagraph"/>
              <w:numPr>
                <w:ilvl w:val="0"/>
                <w:numId w:val="1"/>
              </w:numPr>
              <w:spacing w:after="40" w:before="0"/>
            </w:pPr>
            <w:r>
              <w:rPr>
                <w:rFonts w:ascii="Calibri" w:cs="Calibri" w:eastAsia="Calibri" w:hAnsi="Calibri"/>
                <w:color w:val="404040"/>
                <w:sz w:val="18"/>
                <w:szCs w:val="18"/>
              </w:rPr>
              <w:t xml:space="preserve">Transfer Agent (State Street, etc.)</w:t>
            </w:r>
          </w:p>
          <w:p>
            <w:pPr>
              <w:pStyle w:val="ListParagraph"/>
              <w:numPr>
                <w:ilvl w:val="0"/>
                <w:numId w:val="1"/>
              </w:numPr>
              <w:spacing w:after="40" w:before="0"/>
            </w:pPr>
            <w:r>
              <w:rPr>
                <w:rFonts w:ascii="Calibri" w:cs="Calibri" w:eastAsia="Calibri" w:hAnsi="Calibri"/>
                <w:color w:val="404040"/>
                <w:sz w:val="18"/>
                <w:szCs w:val="18"/>
              </w:rPr>
              <w:t xml:space="preserve">Auditor</w:t>
            </w:r>
          </w:p>
          <w:p>
            <w:pPr>
              <w:pStyle w:val="ListParagraph"/>
              <w:numPr>
                <w:ilvl w:val="0"/>
                <w:numId w:val="1"/>
              </w:numPr>
              <w:spacing w:after="40" w:before="0"/>
            </w:pPr>
            <w:r>
              <w:rPr>
                <w:rFonts w:ascii="Calibri" w:cs="Calibri" w:eastAsia="Calibri" w:hAnsi="Calibri"/>
                <w:color w:val="404040"/>
                <w:sz w:val="18"/>
                <w:szCs w:val="18"/>
              </w:rPr>
              <w:t xml:space="preserve">Controller / CFO</w:t>
            </w:r>
          </w:p>
        </w:tc>
        <w:tc>
          <w:tcPr>
            <w:tcW w:type="pct" w:w="15%"/>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pe:Transaction (GL entries)</w:t>
            </w:r>
          </w:p>
          <w:p>
            <w:pPr>
              <w:pStyle w:val="ListParagraph"/>
              <w:numPr>
                <w:ilvl w:val="0"/>
                <w:numId w:val="1"/>
              </w:numPr>
              <w:spacing w:after="40" w:before="0"/>
            </w:pPr>
            <w:r>
              <w:rPr>
                <w:rFonts w:ascii="Calibri" w:cs="Calibri" w:eastAsia="Calibri" w:hAnsi="Calibri"/>
                <w:color w:val="404040"/>
                <w:sz w:val="18"/>
                <w:szCs w:val="18"/>
              </w:rPr>
              <w:t xml:space="preserve">pe:CapitalCallNotice</w:t>
            </w:r>
          </w:p>
          <w:p>
            <w:pPr>
              <w:pStyle w:val="ListParagraph"/>
              <w:numPr>
                <w:ilvl w:val="0"/>
                <w:numId w:val="1"/>
              </w:numPr>
              <w:spacing w:after="40" w:before="0"/>
            </w:pPr>
            <w:r>
              <w:rPr>
                <w:rFonts w:ascii="Calibri" w:cs="Calibri" w:eastAsia="Calibri" w:hAnsi="Calibri"/>
                <w:color w:val="404040"/>
                <w:sz w:val="18"/>
                <w:szCs w:val="18"/>
              </w:rPr>
              <w:t xml:space="preserve">pe:Commitment</w:t>
            </w:r>
          </w:p>
          <w:p>
            <w:pPr>
              <w:pStyle w:val="ListParagraph"/>
              <w:numPr>
                <w:ilvl w:val="0"/>
                <w:numId w:val="1"/>
              </w:numPr>
              <w:spacing w:after="40" w:before="0"/>
            </w:pPr>
            <w:r>
              <w:rPr>
                <w:rFonts w:ascii="Calibri" w:cs="Calibri" w:eastAsia="Calibri" w:hAnsi="Calibri"/>
                <w:color w:val="404040"/>
                <w:sz w:val="18"/>
                <w:szCs w:val="18"/>
              </w:rPr>
              <w:t xml:space="preserve">pe:NAV</w:t>
            </w:r>
          </w:p>
        </w:tc>
      </w:tr>
    </w:tbl>
    <w:p>
      <w:pPr>
        <w:spacing w:after="160" w:before="0"/>
      </w:pPr>
      <w:r>
        <w:t xml:space="preserve"/>
      </w:r>
    </w:p>
    <w:p>
      <w:pPr>
        <w:spacing w:after="80" w:before="200"/>
      </w:pPr>
      <w:r>
        <w:rPr>
          <w:rFonts w:ascii="Calibri" w:cs="Calibri" w:eastAsia="Calibri" w:hAnsi="Calibri"/>
          <w:b/>
          <w:bCs/>
          <w:color w:val="1F3864"/>
          <w:sz w:val="24"/>
          <w:szCs w:val="24"/>
        </w:rPr>
        <w:t xml:space="preserve">Reporting Outputs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tblGrid>
      <w:tr>
        <w:trPr>
          <w:tblHeader/>
        </w:trPr>
        <w:tc>
          <w:tcPr>
            <w:tcW w:type="pct" w:w="5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Report / Output</w:t>
            </w:r>
          </w:p>
        </w:tc>
        <w:tc>
          <w:tcPr>
            <w:tcW w:type="pct" w:w="5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Data Flow</w:t>
            </w:r>
          </w:p>
        </w:tc>
      </w:tr>
      <w:tr>
        <w:tc>
          <w:tcPr>
            <w:tcW w:type="pct" w:w="50%"/>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GL trial balance — by fund entity (feeder and main fund), by period</w:t>
            </w:r>
          </w:p>
          <w:p>
            <w:pPr>
              <w:pStyle w:val="ListParagraph"/>
              <w:numPr>
                <w:ilvl w:val="0"/>
                <w:numId w:val="1"/>
              </w:numPr>
              <w:spacing w:after="40" w:before="0"/>
            </w:pPr>
            <w:r>
              <w:rPr>
                <w:rFonts w:ascii="Calibri" w:cs="Calibri" w:eastAsia="Calibri" w:hAnsi="Calibri"/>
                <w:color w:val="404040"/>
                <w:sz w:val="18"/>
                <w:szCs w:val="18"/>
              </w:rPr>
              <w:t xml:space="preserve">Cash reconciliation — expected vs. received wires, open items</w:t>
            </w:r>
          </w:p>
          <w:p>
            <w:pPr>
              <w:pStyle w:val="ListParagraph"/>
              <w:numPr>
                <w:ilvl w:val="0"/>
                <w:numId w:val="1"/>
              </w:numPr>
              <w:spacing w:after="40" w:before="0"/>
            </w:pPr>
            <w:r>
              <w:rPr>
                <w:rFonts w:ascii="Calibri" w:cs="Calibri" w:eastAsia="Calibri" w:hAnsi="Calibri"/>
                <w:color w:val="404040"/>
                <w:sz w:val="18"/>
                <w:szCs w:val="18"/>
              </w:rPr>
              <w:t xml:space="preserve">Unit / interest register — LP ownership %, units held, cost basis</w:t>
            </w:r>
          </w:p>
          <w:p>
            <w:pPr>
              <w:pStyle w:val="ListParagraph"/>
              <w:numPr>
                <w:ilvl w:val="0"/>
                <w:numId w:val="1"/>
              </w:numPr>
              <w:spacing w:after="40" w:before="0"/>
            </w:pPr>
            <w:r>
              <w:rPr>
                <w:rFonts w:ascii="Calibri" w:cs="Calibri" w:eastAsia="Calibri" w:hAnsi="Calibri"/>
                <w:color w:val="404040"/>
                <w:sz w:val="18"/>
                <w:szCs w:val="18"/>
              </w:rPr>
              <w:t xml:space="preserve">LP capital account statement — contributions, distributions, NAV, unrealised G/L</w:t>
            </w:r>
          </w:p>
          <w:p>
            <w:pPr>
              <w:pStyle w:val="ListParagraph"/>
              <w:numPr>
                <w:ilvl w:val="0"/>
                <w:numId w:val="1"/>
              </w:numPr>
              <w:spacing w:after="40" w:before="0"/>
            </w:pPr>
            <w:r>
              <w:rPr>
                <w:rFonts w:ascii="Calibri" w:cs="Calibri" w:eastAsia="Calibri" w:hAnsi="Calibri"/>
                <w:color w:val="404040"/>
                <w:sz w:val="18"/>
                <w:szCs w:val="18"/>
              </w:rPr>
              <w:t xml:space="preserve">Feeder-to-Main Fund remittance reconciliation</w:t>
            </w:r>
          </w:p>
          <w:p>
            <w:pPr>
              <w:pStyle w:val="ListParagraph"/>
              <w:numPr>
                <w:ilvl w:val="0"/>
                <w:numId w:val="1"/>
              </w:numPr>
              <w:spacing w:after="40" w:before="0"/>
            </w:pPr>
            <w:r>
              <w:rPr>
                <w:rFonts w:ascii="Calibri" w:cs="Calibri" w:eastAsia="Calibri" w:hAnsi="Calibri"/>
                <w:color w:val="404040"/>
                <w:sz w:val="18"/>
                <w:szCs w:val="18"/>
              </w:rPr>
              <w:t xml:space="preserve">Management fee accrual and billing report</w:t>
            </w:r>
          </w:p>
          <w:p>
            <w:pPr>
              <w:pStyle w:val="ListParagraph"/>
              <w:numPr>
                <w:ilvl w:val="0"/>
                <w:numId w:val="1"/>
              </w:numPr>
              <w:spacing w:after="40" w:before="0"/>
            </w:pPr>
            <w:r>
              <w:rPr>
                <w:rFonts w:ascii="Calibri" w:cs="Calibri" w:eastAsia="Calibri" w:hAnsi="Calibri"/>
                <w:color w:val="404040"/>
                <w:sz w:val="18"/>
                <w:szCs w:val="18"/>
              </w:rPr>
              <w:t xml:space="preserve">Expense allocation report — by fund, by LP pro-rata share</w:t>
            </w:r>
          </w:p>
          <w:p>
            <w:pPr>
              <w:pStyle w:val="ListParagraph"/>
              <w:numPr>
                <w:ilvl w:val="0"/>
                <w:numId w:val="1"/>
              </w:numPr>
              <w:spacing w:after="40" w:before="0"/>
            </w:pPr>
            <w:r>
              <w:rPr>
                <w:rFonts w:ascii="Calibri" w:cs="Calibri" w:eastAsia="Calibri" w:hAnsi="Calibri"/>
                <w:color w:val="404040"/>
                <w:sz w:val="18"/>
                <w:szCs w:val="18"/>
              </w:rPr>
              <w:t xml:space="preserve">Quarterly NAV report — by portfolio company, by fund, by LP</w:t>
            </w:r>
          </w:p>
          <w:p>
            <w:pPr>
              <w:pStyle w:val="ListParagraph"/>
              <w:numPr>
                <w:ilvl w:val="0"/>
                <w:numId w:val="1"/>
              </w:numPr>
              <w:spacing w:after="40" w:before="0"/>
            </w:pPr>
            <w:r>
              <w:rPr>
                <w:rFonts w:ascii="Calibri" w:cs="Calibri" w:eastAsia="Calibri" w:hAnsi="Calibri"/>
                <w:color w:val="404040"/>
                <w:sz w:val="18"/>
                <w:szCs w:val="18"/>
              </w:rPr>
              <w:t xml:space="preserve">Annual financial statements — Balance Sheet, P&amp;L, Cash Flow Statement</w:t>
            </w:r>
          </w:p>
        </w:tc>
        <w:tc>
          <w:tcPr>
            <w:tcW w:type="pct" w:w="50%"/>
            <w:tcMar>
              <w:top w:type="dxa" w:w="50"/>
              <w:left w:type="dxa" w:w="80"/>
              <w:bottom w:type="dxa" w:w="50"/>
              <w:right w:type="dxa" w:w="80"/>
            </w:tcMar>
          </w:tcPr>
          <w:p>
            <w:r>
              <w:rPr>
                <w:rFonts w:ascii="Calibri" w:cs="Calibri" w:eastAsia="Calibri" w:hAnsi="Calibri"/>
                <w:color w:val="404040"/>
                <w:sz w:val="19"/>
                <w:szCs w:val="19"/>
              </w:rPr>
              <w:t xml:space="preserve">CapitalCallNotice → 5 GL entries per notice → NAV update → LP capital account statement</w:t>
            </w:r>
          </w:p>
        </w:tc>
      </w:tr>
    </w:tbl>
    <w:p>
      <w:pPr>
        <w:spacing w:after="160" w:before="0"/>
      </w:pPr>
      <w:r>
        <w:t xml:space="preserve"/>
      </w:r>
    </w:p>
    <w:p>
      <w:r>
        <w:br w:type="page"/>
      </w:r>
    </w:p>
    <w:p>
      <w:pPr>
        <w:pStyle w:val="Heading2"/>
        <w:spacing w:after="120" w:before="320"/>
      </w:pPr>
      <w:r>
        <w:t xml:space="preserve">G.6  Investment &amp; Portfolio Deployment</w:t>
      </w:r>
    </w:p>
    <w:p>
      <w:pPr>
        <w:spacing w:after="120" w:before="0"/>
      </w:pPr>
      <w:r>
        <w:rPr>
          <w:rFonts w:ascii="Calibri" w:cs="Calibri" w:eastAsia="Calibri" w:hAnsi="Calibri"/>
          <w:color w:val="404040"/>
          <w:sz w:val="22"/>
          <w:szCs w:val="22"/>
        </w:rPr>
        <w:t xml:space="preserve">The Main Fund deploys the called capital into portfolio companies through acquisitions, co-investments, or credit facilities. Each investment is recorded at cost and subsequently marked to fair value each quarter. The GP's Investment Committee monitors pacing against the fund's commitment period.</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tblGrid>
      <w:tr>
        <w:trPr>
          <w:tblHeader/>
        </w:trPr>
        <w:tc>
          <w:tcPr>
            <w:tcW w:type="pct" w:w="65%"/>
            <w:shd w:fill="375623" w:color="375623" w:val="clear"/>
            <w:tcMar>
              <w:top w:type="dxa" w:w="60"/>
              <w:left w:type="dxa" w:w="80"/>
              <w:bottom w:type="dxa" w:w="60"/>
              <w:right w:type="dxa" w:w="80"/>
            </w:tcMar>
          </w:tcPr>
          <w:p>
            <w:r>
              <w:rPr>
                <w:rFonts w:ascii="Calibri" w:cs="Calibri" w:eastAsia="Calibri" w:hAnsi="Calibri"/>
                <w:b/>
                <w:bCs/>
                <w:color w:val="FFFFFF"/>
                <w:sz w:val="18"/>
                <w:szCs w:val="18"/>
              </w:rPr>
              <w:t xml:space="preserve">Key Activities</w:t>
            </w:r>
          </w:p>
        </w:tc>
        <w:tc>
          <w:tcPr>
            <w:tcW w:type="pct" w:w="20%"/>
            <w:shd w:fill="404040" w:color="404040" w:val="clear"/>
            <w:tcMar>
              <w:top w:type="dxa" w:w="60"/>
              <w:left w:type="dxa" w:w="80"/>
              <w:bottom w:type="dxa" w:w="60"/>
              <w:right w:type="dxa" w:w="80"/>
            </w:tcMar>
          </w:tcPr>
          <w:p>
            <w:r>
              <w:rPr>
                <w:rFonts w:ascii="Calibri" w:cs="Calibri" w:eastAsia="Calibri" w:hAnsi="Calibri"/>
                <w:b/>
                <w:bCs/>
                <w:color w:val="FFFFFF"/>
                <w:sz w:val="18"/>
                <w:szCs w:val="18"/>
              </w:rPr>
              <w:t xml:space="preserve">Participants</w:t>
            </w:r>
          </w:p>
        </w:tc>
        <w:tc>
          <w:tcPr>
            <w:tcW w:type="pct" w:w="15%"/>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Data Objects</w:t>
            </w:r>
          </w:p>
        </w:tc>
      </w:tr>
      <w:tr>
        <w:tc>
          <w:tcPr>
            <w:tcW w:type="pct" w:w="65%"/>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Source and evaluate investment opportunities — IC memo, due diligence, legal review</w:t>
            </w:r>
          </w:p>
          <w:p>
            <w:pPr>
              <w:pStyle w:val="ListParagraph"/>
              <w:numPr>
                <w:ilvl w:val="0"/>
                <w:numId w:val="1"/>
              </w:numPr>
              <w:spacing w:after="40" w:before="0"/>
            </w:pPr>
            <w:r>
              <w:rPr>
                <w:rFonts w:ascii="Calibri" w:cs="Calibri" w:eastAsia="Calibri" w:hAnsi="Calibri"/>
                <w:color w:val="404040"/>
                <w:sz w:val="18"/>
                <w:szCs w:val="18"/>
              </w:rPr>
              <w:t xml:space="preserve">Investment Committee approval — final approval with investment thesis, entry valuation, structure</w:t>
            </w:r>
          </w:p>
          <w:p>
            <w:pPr>
              <w:pStyle w:val="ListParagraph"/>
              <w:numPr>
                <w:ilvl w:val="0"/>
                <w:numId w:val="1"/>
              </w:numPr>
              <w:spacing w:after="40" w:before="0"/>
            </w:pPr>
            <w:r>
              <w:rPr>
                <w:rFonts w:ascii="Calibri" w:cs="Calibri" w:eastAsia="Calibri" w:hAnsi="Calibri"/>
                <w:color w:val="404040"/>
                <w:sz w:val="18"/>
                <w:szCs w:val="18"/>
              </w:rPr>
              <w:t xml:space="preserve">Legal execution — SPA / credit agreement / co-invest side letter signed</w:t>
            </w:r>
          </w:p>
          <w:p>
            <w:pPr>
              <w:pStyle w:val="ListParagraph"/>
              <w:numPr>
                <w:ilvl w:val="0"/>
                <w:numId w:val="1"/>
              </w:numPr>
              <w:spacing w:after="40" w:before="0"/>
            </w:pPr>
            <w:r>
              <w:rPr>
                <w:rFonts w:ascii="Calibri" w:cs="Calibri" w:eastAsia="Calibri" w:hAnsi="Calibri"/>
                <w:color w:val="404040"/>
                <w:sz w:val="18"/>
                <w:szCs w:val="18"/>
              </w:rPr>
              <w:t xml:space="preserve">Funding wire to portfolio company or borrower</w:t>
            </w:r>
          </w:p>
          <w:p>
            <w:pPr>
              <w:pStyle w:val="ListParagraph"/>
              <w:numPr>
                <w:ilvl w:val="0"/>
                <w:numId w:val="1"/>
              </w:numPr>
              <w:spacing w:after="40" w:before="0"/>
            </w:pPr>
            <w:r>
              <w:rPr>
                <w:rFonts w:ascii="Calibri" w:cs="Calibri" w:eastAsia="Calibri" w:hAnsi="Calibri"/>
                <w:color w:val="404040"/>
                <w:sz w:val="18"/>
                <w:szCs w:val="18"/>
              </w:rPr>
              <w:t xml:space="preserve">Cost basis recording — DR Portfolio Investment — Cost / CR Cash at Main Fund</w:t>
            </w:r>
          </w:p>
          <w:p>
            <w:pPr>
              <w:pStyle w:val="ListParagraph"/>
              <w:numPr>
                <w:ilvl w:val="0"/>
                <w:numId w:val="1"/>
              </w:numPr>
              <w:spacing w:after="40" w:before="0"/>
            </w:pPr>
            <w:r>
              <w:rPr>
                <w:rFonts w:ascii="Calibri" w:cs="Calibri" w:eastAsia="Calibri" w:hAnsi="Calibri"/>
                <w:color w:val="404040"/>
                <w:sz w:val="18"/>
                <w:szCs w:val="18"/>
              </w:rPr>
              <w:t xml:space="preserve">Purchase price allocation (PPA) — allocate purchase price to tangible and intangible assets</w:t>
            </w:r>
          </w:p>
          <w:p>
            <w:pPr>
              <w:pStyle w:val="ListParagraph"/>
              <w:numPr>
                <w:ilvl w:val="0"/>
                <w:numId w:val="1"/>
              </w:numPr>
              <w:spacing w:after="40" w:before="0"/>
            </w:pPr>
            <w:r>
              <w:rPr>
                <w:rFonts w:ascii="Calibri" w:cs="Calibri" w:eastAsia="Calibri" w:hAnsi="Calibri"/>
                <w:color w:val="404040"/>
                <w:sz w:val="18"/>
                <w:szCs w:val="18"/>
              </w:rPr>
              <w:t xml:space="preserve">Monitoring plan — board representation, information rights, quarterly reporting from portfolio company</w:t>
            </w:r>
          </w:p>
          <w:p>
            <w:pPr>
              <w:pStyle w:val="ListParagraph"/>
              <w:numPr>
                <w:ilvl w:val="0"/>
                <w:numId w:val="1"/>
              </w:numPr>
              <w:spacing w:after="40" w:before="0"/>
            </w:pPr>
            <w:r>
              <w:rPr>
                <w:rFonts w:ascii="Calibri" w:cs="Calibri" w:eastAsia="Calibri" w:hAnsi="Calibri"/>
                <w:color w:val="404040"/>
                <w:sz w:val="18"/>
                <w:szCs w:val="18"/>
              </w:rPr>
              <w:t xml:space="preserve">Add-on acquisitions — follow-on capital calls for bolt-on acquisitions or capital injections</w:t>
            </w:r>
          </w:p>
          <w:p>
            <w:pPr>
              <w:pStyle w:val="ListParagraph"/>
              <w:numPr>
                <w:ilvl w:val="0"/>
                <w:numId w:val="1"/>
              </w:numPr>
              <w:spacing w:after="40" w:before="0"/>
            </w:pPr>
            <w:r>
              <w:rPr>
                <w:rFonts w:ascii="Calibri" w:cs="Calibri" w:eastAsia="Calibri" w:hAnsi="Calibri"/>
                <w:color w:val="404040"/>
                <w:sz w:val="18"/>
                <w:szCs w:val="18"/>
              </w:rPr>
              <w:t xml:space="preserve">Co-investment management — allocate co-invest opportunities to eligible LPs or third parties</w:t>
            </w:r>
          </w:p>
        </w:tc>
        <w:tc>
          <w:tcPr>
            <w:tcW w:type="pct" w:w="20%"/>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Investment / Deal Team</w:t>
            </w:r>
          </w:p>
          <w:p>
            <w:pPr>
              <w:pStyle w:val="ListParagraph"/>
              <w:numPr>
                <w:ilvl w:val="0"/>
                <w:numId w:val="1"/>
              </w:numPr>
              <w:spacing w:after="40" w:before="0"/>
            </w:pPr>
            <w:r>
              <w:rPr>
                <w:rFonts w:ascii="Calibri" w:cs="Calibri" w:eastAsia="Calibri" w:hAnsi="Calibri"/>
                <w:color w:val="404040"/>
                <w:sz w:val="18"/>
                <w:szCs w:val="18"/>
              </w:rPr>
              <w:t xml:space="preserve">Investment Committee</w:t>
            </w:r>
          </w:p>
          <w:p>
            <w:pPr>
              <w:pStyle w:val="ListParagraph"/>
              <w:numPr>
                <w:ilvl w:val="0"/>
                <w:numId w:val="1"/>
              </w:numPr>
              <w:spacing w:after="40" w:before="0"/>
            </w:pPr>
            <w:r>
              <w:rPr>
                <w:rFonts w:ascii="Calibri" w:cs="Calibri" w:eastAsia="Calibri" w:hAnsi="Calibri"/>
                <w:color w:val="404040"/>
                <w:sz w:val="18"/>
                <w:szCs w:val="18"/>
              </w:rPr>
              <w:t xml:space="preserve">Legal Counsel (external)</w:t>
            </w:r>
          </w:p>
          <w:p>
            <w:pPr>
              <w:pStyle w:val="ListParagraph"/>
              <w:numPr>
                <w:ilvl w:val="0"/>
                <w:numId w:val="1"/>
              </w:numPr>
              <w:spacing w:after="40" w:before="0"/>
            </w:pPr>
            <w:r>
              <w:rPr>
                <w:rFonts w:ascii="Calibri" w:cs="Calibri" w:eastAsia="Calibri" w:hAnsi="Calibri"/>
                <w:color w:val="404040"/>
                <w:sz w:val="18"/>
                <w:szCs w:val="18"/>
              </w:rPr>
              <w:t xml:space="preserve">Portfolio Company Management</w:t>
            </w:r>
          </w:p>
        </w:tc>
        <w:tc>
          <w:tcPr>
            <w:tcW w:type="pct" w:w="15%"/>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pe:PortfolioCompany</w:t>
            </w:r>
          </w:p>
          <w:p>
            <w:pPr>
              <w:pStyle w:val="ListParagraph"/>
              <w:numPr>
                <w:ilvl w:val="0"/>
                <w:numId w:val="1"/>
              </w:numPr>
              <w:spacing w:after="40" w:before="0"/>
            </w:pPr>
            <w:r>
              <w:rPr>
                <w:rFonts w:ascii="Calibri" w:cs="Calibri" w:eastAsia="Calibri" w:hAnsi="Calibri"/>
                <w:color w:val="404040"/>
                <w:sz w:val="18"/>
                <w:szCs w:val="18"/>
              </w:rPr>
              <w:t xml:space="preserve">pe:Investment</w:t>
            </w:r>
          </w:p>
          <w:p>
            <w:pPr>
              <w:pStyle w:val="ListParagraph"/>
              <w:numPr>
                <w:ilvl w:val="0"/>
                <w:numId w:val="1"/>
              </w:numPr>
              <w:spacing w:after="40" w:before="0"/>
            </w:pPr>
            <w:r>
              <w:rPr>
                <w:rFonts w:ascii="Calibri" w:cs="Calibri" w:eastAsia="Calibri" w:hAnsi="Calibri"/>
                <w:color w:val="404040"/>
                <w:sz w:val="18"/>
                <w:szCs w:val="18"/>
              </w:rPr>
              <w:t xml:space="preserve">pe:CoInvestment</w:t>
            </w:r>
          </w:p>
          <w:p>
            <w:pPr>
              <w:pStyle w:val="ListParagraph"/>
              <w:numPr>
                <w:ilvl w:val="0"/>
                <w:numId w:val="1"/>
              </w:numPr>
              <w:spacing w:after="40" w:before="0"/>
            </w:pPr>
            <w:r>
              <w:rPr>
                <w:rFonts w:ascii="Calibri" w:cs="Calibri" w:eastAsia="Calibri" w:hAnsi="Calibri"/>
                <w:color w:val="404040"/>
                <w:sz w:val="18"/>
                <w:szCs w:val="18"/>
              </w:rPr>
              <w:t xml:space="preserve">pe:FundTransaction</w:t>
            </w:r>
          </w:p>
        </w:tc>
      </w:tr>
    </w:tbl>
    <w:p>
      <w:pPr>
        <w:spacing w:after="160" w:before="0"/>
      </w:pPr>
      <w:r>
        <w:t xml:space="preserve"/>
      </w:r>
    </w:p>
    <w:p>
      <w:pPr>
        <w:spacing w:after="80" w:before="200"/>
      </w:pPr>
      <w:r>
        <w:rPr>
          <w:rFonts w:ascii="Calibri" w:cs="Calibri" w:eastAsia="Calibri" w:hAnsi="Calibri"/>
          <w:b/>
          <w:bCs/>
          <w:color w:val="1F3864"/>
          <w:sz w:val="24"/>
          <w:szCs w:val="24"/>
        </w:rPr>
        <w:t xml:space="preserve">Reporting Outputs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tblGrid>
      <w:tr>
        <w:trPr>
          <w:tblHeader/>
        </w:trPr>
        <w:tc>
          <w:tcPr>
            <w:tcW w:type="pct" w:w="5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Report / Output</w:t>
            </w:r>
          </w:p>
        </w:tc>
        <w:tc>
          <w:tcPr>
            <w:tcW w:type="pct" w:w="5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Data Flow</w:t>
            </w:r>
          </w:p>
        </w:tc>
      </w:tr>
      <w:tr>
        <w:tc>
          <w:tcPr>
            <w:tcW w:type="pct" w:w="50%"/>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Investment pacing report — deployed vs. target, by period and by commitment period year</w:t>
            </w:r>
          </w:p>
          <w:p>
            <w:pPr>
              <w:pStyle w:val="ListParagraph"/>
              <w:numPr>
                <w:ilvl w:val="0"/>
                <w:numId w:val="1"/>
              </w:numPr>
              <w:spacing w:after="40" w:before="0"/>
            </w:pPr>
            <w:r>
              <w:rPr>
                <w:rFonts w:ascii="Calibri" w:cs="Calibri" w:eastAsia="Calibri" w:hAnsi="Calibri"/>
                <w:color w:val="404040"/>
                <w:sz w:val="18"/>
                <w:szCs w:val="18"/>
              </w:rPr>
              <w:t xml:space="preserve">Portfolio company acquisition summary — cost, structure, ownership %, deal type</w:t>
            </w:r>
          </w:p>
          <w:p>
            <w:pPr>
              <w:pStyle w:val="ListParagraph"/>
              <w:numPr>
                <w:ilvl w:val="0"/>
                <w:numId w:val="1"/>
              </w:numPr>
              <w:spacing w:after="40" w:before="0"/>
            </w:pPr>
            <w:r>
              <w:rPr>
                <w:rFonts w:ascii="Calibri" w:cs="Calibri" w:eastAsia="Calibri" w:hAnsi="Calibri"/>
                <w:color w:val="404040"/>
                <w:sz w:val="18"/>
                <w:szCs w:val="18"/>
              </w:rPr>
              <w:t xml:space="preserve">Commitment period utilization — % of commitments deployed vs. period-end deadline</w:t>
            </w:r>
          </w:p>
          <w:p>
            <w:pPr>
              <w:pStyle w:val="ListParagraph"/>
              <w:numPr>
                <w:ilvl w:val="0"/>
                <w:numId w:val="1"/>
              </w:numPr>
              <w:spacing w:after="40" w:before="0"/>
            </w:pPr>
            <w:r>
              <w:rPr>
                <w:rFonts w:ascii="Calibri" w:cs="Calibri" w:eastAsia="Calibri" w:hAnsi="Calibri"/>
                <w:color w:val="404040"/>
                <w:sz w:val="18"/>
                <w:szCs w:val="18"/>
              </w:rPr>
              <w:t xml:space="preserve">Co-investment allocation report — LP participation alongside main fund</w:t>
            </w:r>
          </w:p>
          <w:p>
            <w:pPr>
              <w:pStyle w:val="ListParagraph"/>
              <w:numPr>
                <w:ilvl w:val="0"/>
                <w:numId w:val="1"/>
              </w:numPr>
              <w:spacing w:after="40" w:before="0"/>
            </w:pPr>
            <w:r>
              <w:rPr>
                <w:rFonts w:ascii="Calibri" w:cs="Calibri" w:eastAsia="Calibri" w:hAnsi="Calibri"/>
                <w:color w:val="404040"/>
                <w:sz w:val="18"/>
                <w:szCs w:val="18"/>
              </w:rPr>
              <w:t xml:space="preserve">Deal sourcing and IC approval log</w:t>
            </w:r>
          </w:p>
          <w:p>
            <w:pPr>
              <w:pStyle w:val="ListParagraph"/>
              <w:numPr>
                <w:ilvl w:val="0"/>
                <w:numId w:val="1"/>
              </w:numPr>
              <w:spacing w:after="40" w:before="0"/>
            </w:pPr>
            <w:r>
              <w:rPr>
                <w:rFonts w:ascii="Calibri" w:cs="Calibri" w:eastAsia="Calibri" w:hAnsi="Calibri"/>
                <w:color w:val="404040"/>
                <w:sz w:val="18"/>
                <w:szCs w:val="18"/>
              </w:rPr>
              <w:t xml:space="preserve">Portfolio concentration report — by sector, geography, holding size</w:t>
            </w:r>
          </w:p>
        </w:tc>
        <w:tc>
          <w:tcPr>
            <w:tcW w:type="pct" w:w="50%"/>
            <w:tcMar>
              <w:top w:type="dxa" w:w="50"/>
              <w:left w:type="dxa" w:w="80"/>
              <w:bottom w:type="dxa" w:w="50"/>
              <w:right w:type="dxa" w:w="80"/>
            </w:tcMar>
          </w:tcPr>
          <w:p>
            <w:r>
              <w:rPr>
                <w:rFonts w:ascii="Calibri" w:cs="Calibri" w:eastAsia="Calibri" w:hAnsi="Calibri"/>
                <w:color w:val="404040"/>
                <w:sz w:val="19"/>
                <w:szCs w:val="19"/>
              </w:rPr>
              <w:t xml:space="preserve">IC approval → Wire → Portfolio Investment (cost) recorded → Quarterly fair value marks applied</w:t>
            </w:r>
          </w:p>
        </w:tc>
      </w:tr>
    </w:tbl>
    <w:p>
      <w:pPr>
        <w:spacing w:after="160" w:before="0"/>
      </w:pPr>
      <w:r>
        <w:t xml:space="preserve"/>
      </w:r>
    </w:p>
    <w:p>
      <w:r>
        <w:br w:type="page"/>
      </w:r>
    </w:p>
    <w:p>
      <w:pPr>
        <w:pStyle w:val="Heading2"/>
        <w:spacing w:after="120" w:before="320"/>
      </w:pPr>
      <w:r>
        <w:t xml:space="preserve">G.7  Portfolio Monitoring &amp; Reporting</w:t>
      </w:r>
    </w:p>
    <w:p>
      <w:pPr>
        <w:spacing w:after="120" w:before="0"/>
      </w:pPr>
      <w:r>
        <w:rPr>
          <w:rFonts w:ascii="Calibri" w:cs="Calibri" w:eastAsia="Calibri" w:hAnsi="Calibri"/>
          <w:color w:val="404040"/>
          <w:sz w:val="22"/>
          <w:szCs w:val="22"/>
        </w:rPr>
        <w:t xml:space="preserve">Throughout the fund's life the GP monitors each portfolio company, produces quarterly and annual LP reports, and marks investments to fair value. Performance metrics (IRR, TVPI, DPI, RVPI) are calculated at fund and portfolio company level. ILPA-standard reporting is delivered to all LPs.</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tblGrid>
      <w:tr>
        <w:trPr>
          <w:tblHeader/>
        </w:trPr>
        <w:tc>
          <w:tcPr>
            <w:tcW w:type="pct" w:w="65%"/>
            <w:shd w:fill="2F5496" w:color="2F5496" w:val="clear"/>
            <w:tcMar>
              <w:top w:type="dxa" w:w="60"/>
              <w:left w:type="dxa" w:w="80"/>
              <w:bottom w:type="dxa" w:w="60"/>
              <w:right w:type="dxa" w:w="80"/>
            </w:tcMar>
          </w:tcPr>
          <w:p>
            <w:r>
              <w:rPr>
                <w:rFonts w:ascii="Calibri" w:cs="Calibri" w:eastAsia="Calibri" w:hAnsi="Calibri"/>
                <w:b/>
                <w:bCs/>
                <w:color w:val="FFFFFF"/>
                <w:sz w:val="18"/>
                <w:szCs w:val="18"/>
              </w:rPr>
              <w:t xml:space="preserve">Key Activities</w:t>
            </w:r>
          </w:p>
        </w:tc>
        <w:tc>
          <w:tcPr>
            <w:tcW w:type="pct" w:w="20%"/>
            <w:shd w:fill="404040" w:color="404040" w:val="clear"/>
            <w:tcMar>
              <w:top w:type="dxa" w:w="60"/>
              <w:left w:type="dxa" w:w="80"/>
              <w:bottom w:type="dxa" w:w="60"/>
              <w:right w:type="dxa" w:w="80"/>
            </w:tcMar>
          </w:tcPr>
          <w:p>
            <w:r>
              <w:rPr>
                <w:rFonts w:ascii="Calibri" w:cs="Calibri" w:eastAsia="Calibri" w:hAnsi="Calibri"/>
                <w:b/>
                <w:bCs/>
                <w:color w:val="FFFFFF"/>
                <w:sz w:val="18"/>
                <w:szCs w:val="18"/>
              </w:rPr>
              <w:t xml:space="preserve">Participants</w:t>
            </w:r>
          </w:p>
        </w:tc>
        <w:tc>
          <w:tcPr>
            <w:tcW w:type="pct" w:w="15%"/>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Data Objects</w:t>
            </w:r>
          </w:p>
        </w:tc>
      </w:tr>
      <w:tr>
        <w:tc>
          <w:tcPr>
            <w:tcW w:type="pct" w:w="65%"/>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Quarterly valuation — Level 2 or Level 3 fair value assessment per portfolio company</w:t>
            </w:r>
          </w:p>
          <w:p>
            <w:pPr>
              <w:pStyle w:val="ListParagraph"/>
              <w:numPr>
                <w:ilvl w:val="0"/>
                <w:numId w:val="1"/>
              </w:numPr>
              <w:spacing w:after="40" w:before="0"/>
            </w:pPr>
            <w:r>
              <w:rPr>
                <w:rFonts w:ascii="Calibri" w:cs="Calibri" w:eastAsia="Calibri" w:hAnsi="Calibri"/>
                <w:color w:val="404040"/>
                <w:sz w:val="18"/>
                <w:szCs w:val="18"/>
              </w:rPr>
              <w:t xml:space="preserve">Performance attribution — gross IRR and MOIC per deal; net IRR, TVPI, DPI, RVPI at fund level</w:t>
            </w:r>
          </w:p>
          <w:p>
            <w:pPr>
              <w:pStyle w:val="ListParagraph"/>
              <w:numPr>
                <w:ilvl w:val="0"/>
                <w:numId w:val="1"/>
              </w:numPr>
              <w:spacing w:after="40" w:before="0"/>
            </w:pPr>
            <w:r>
              <w:rPr>
                <w:rFonts w:ascii="Calibri" w:cs="Calibri" w:eastAsia="Calibri" w:hAnsi="Calibri"/>
                <w:color w:val="404040"/>
                <w:sz w:val="18"/>
                <w:szCs w:val="18"/>
              </w:rPr>
              <w:t xml:space="preserve">GP quarterly letter — narrative update on portfolio, market conditions, pipeline</w:t>
            </w:r>
          </w:p>
          <w:p>
            <w:pPr>
              <w:pStyle w:val="ListParagraph"/>
              <w:numPr>
                <w:ilvl w:val="0"/>
                <w:numId w:val="1"/>
              </w:numPr>
              <w:spacing w:after="40" w:before="0"/>
            </w:pPr>
            <w:r>
              <w:rPr>
                <w:rFonts w:ascii="Calibri" w:cs="Calibri" w:eastAsia="Calibri" w:hAnsi="Calibri"/>
                <w:color w:val="404040"/>
                <w:sz w:val="18"/>
                <w:szCs w:val="18"/>
              </w:rPr>
              <w:t xml:space="preserve">ILPA-format quarterly report — financial statements, schedule of investments, capital account activity</w:t>
            </w:r>
          </w:p>
          <w:p>
            <w:pPr>
              <w:pStyle w:val="ListParagraph"/>
              <w:numPr>
                <w:ilvl w:val="0"/>
                <w:numId w:val="1"/>
              </w:numPr>
              <w:spacing w:after="40" w:before="0"/>
            </w:pPr>
            <w:r>
              <w:rPr>
                <w:rFonts w:ascii="Calibri" w:cs="Calibri" w:eastAsia="Calibri" w:hAnsi="Calibri"/>
                <w:color w:val="404040"/>
                <w:sz w:val="18"/>
                <w:szCs w:val="18"/>
              </w:rPr>
              <w:t xml:space="preserve">Annual audit — GAAP / IFRS financial statements; auditor issues signed opinion</w:t>
            </w:r>
          </w:p>
          <w:p>
            <w:pPr>
              <w:pStyle w:val="ListParagraph"/>
              <w:numPr>
                <w:ilvl w:val="0"/>
                <w:numId w:val="1"/>
              </w:numPr>
              <w:spacing w:after="40" w:before="0"/>
            </w:pPr>
            <w:r>
              <w:rPr>
                <w:rFonts w:ascii="Calibri" w:cs="Calibri" w:eastAsia="Calibri" w:hAnsi="Calibri"/>
                <w:color w:val="404040"/>
                <w:sz w:val="18"/>
                <w:szCs w:val="18"/>
              </w:rPr>
              <w:t xml:space="preserve">LP advisory committee (LPAC) meetings — approval of conflicts, extensions, valuation policies</w:t>
            </w:r>
          </w:p>
          <w:p>
            <w:pPr>
              <w:pStyle w:val="ListParagraph"/>
              <w:numPr>
                <w:ilvl w:val="0"/>
                <w:numId w:val="1"/>
              </w:numPr>
              <w:spacing w:after="40" w:before="0"/>
            </w:pPr>
            <w:r>
              <w:rPr>
                <w:rFonts w:ascii="Calibri" w:cs="Calibri" w:eastAsia="Calibri" w:hAnsi="Calibri"/>
                <w:color w:val="404040"/>
                <w:sz w:val="18"/>
                <w:szCs w:val="18"/>
              </w:rPr>
              <w:t xml:space="preserve">ESG / impact reporting — sustainability metrics for Article 8/9 funds or LP-mandated reporting</w:t>
            </w:r>
          </w:p>
          <w:p>
            <w:pPr>
              <w:pStyle w:val="ListParagraph"/>
              <w:numPr>
                <w:ilvl w:val="0"/>
                <w:numId w:val="1"/>
              </w:numPr>
              <w:spacing w:after="40" w:before="0"/>
            </w:pPr>
            <w:r>
              <w:rPr>
                <w:rFonts w:ascii="Calibri" w:cs="Calibri" w:eastAsia="Calibri" w:hAnsi="Calibri"/>
                <w:color w:val="404040"/>
                <w:sz w:val="18"/>
                <w:szCs w:val="18"/>
              </w:rPr>
              <w:t xml:space="preserve">Benchmark comparison — fund performance vs. Cambridge, Preqin, or custom peer group</w:t>
            </w:r>
          </w:p>
          <w:p>
            <w:pPr>
              <w:pStyle w:val="ListParagraph"/>
              <w:numPr>
                <w:ilvl w:val="0"/>
                <w:numId w:val="1"/>
              </w:numPr>
              <w:spacing w:after="40" w:before="0"/>
            </w:pPr>
            <w:r>
              <w:rPr>
                <w:rFonts w:ascii="Calibri" w:cs="Calibri" w:eastAsia="Calibri" w:hAnsi="Calibri"/>
                <w:color w:val="404040"/>
                <w:sz w:val="18"/>
                <w:szCs w:val="18"/>
              </w:rPr>
              <w:t xml:space="preserve">Bridge facility monitoring — subscription line drawdowns, repayment schedule, covenant compliance</w:t>
            </w:r>
          </w:p>
        </w:tc>
        <w:tc>
          <w:tcPr>
            <w:tcW w:type="pct" w:w="20%"/>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Portfolio Management / Value Creation team</w:t>
            </w:r>
          </w:p>
          <w:p>
            <w:pPr>
              <w:pStyle w:val="ListParagraph"/>
              <w:numPr>
                <w:ilvl w:val="0"/>
                <w:numId w:val="1"/>
              </w:numPr>
              <w:spacing w:after="40" w:before="0"/>
            </w:pPr>
            <w:r>
              <w:rPr>
                <w:rFonts w:ascii="Calibri" w:cs="Calibri" w:eastAsia="Calibri" w:hAnsi="Calibri"/>
                <w:color w:val="404040"/>
                <w:sz w:val="18"/>
                <w:szCs w:val="18"/>
              </w:rPr>
              <w:t xml:space="preserve">Finance / Accounting</w:t>
            </w:r>
          </w:p>
          <w:p>
            <w:pPr>
              <w:pStyle w:val="ListParagraph"/>
              <w:numPr>
                <w:ilvl w:val="0"/>
                <w:numId w:val="1"/>
              </w:numPr>
              <w:spacing w:after="40" w:before="0"/>
            </w:pPr>
            <w:r>
              <w:rPr>
                <w:rFonts w:ascii="Calibri" w:cs="Calibri" w:eastAsia="Calibri" w:hAnsi="Calibri"/>
                <w:color w:val="404040"/>
                <w:sz w:val="18"/>
                <w:szCs w:val="18"/>
              </w:rPr>
              <w:t xml:space="preserve">IR</w:t>
            </w:r>
          </w:p>
          <w:p>
            <w:pPr>
              <w:pStyle w:val="ListParagraph"/>
              <w:numPr>
                <w:ilvl w:val="0"/>
                <w:numId w:val="1"/>
              </w:numPr>
              <w:spacing w:after="40" w:before="0"/>
            </w:pPr>
            <w:r>
              <w:rPr>
                <w:rFonts w:ascii="Calibri" w:cs="Calibri" w:eastAsia="Calibri" w:hAnsi="Calibri"/>
                <w:color w:val="404040"/>
                <w:sz w:val="18"/>
                <w:szCs w:val="18"/>
              </w:rPr>
              <w:t xml:space="preserve">External Auditor</w:t>
            </w:r>
          </w:p>
          <w:p>
            <w:pPr>
              <w:pStyle w:val="ListParagraph"/>
              <w:numPr>
                <w:ilvl w:val="0"/>
                <w:numId w:val="1"/>
              </w:numPr>
              <w:spacing w:after="40" w:before="0"/>
            </w:pPr>
            <w:r>
              <w:rPr>
                <w:rFonts w:ascii="Calibri" w:cs="Calibri" w:eastAsia="Calibri" w:hAnsi="Calibri"/>
                <w:color w:val="404040"/>
                <w:sz w:val="18"/>
                <w:szCs w:val="18"/>
              </w:rPr>
              <w:t xml:space="preserve">Valuation Specialist</w:t>
            </w:r>
          </w:p>
        </w:tc>
        <w:tc>
          <w:tcPr>
            <w:tcW w:type="pct" w:w="15%"/>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pe:PortfolioCompany (FMV)</w:t>
            </w:r>
          </w:p>
          <w:p>
            <w:pPr>
              <w:pStyle w:val="ListParagraph"/>
              <w:numPr>
                <w:ilvl w:val="0"/>
                <w:numId w:val="1"/>
              </w:numPr>
              <w:spacing w:after="40" w:before="0"/>
            </w:pPr>
            <w:r>
              <w:rPr>
                <w:rFonts w:ascii="Calibri" w:cs="Calibri" w:eastAsia="Calibri" w:hAnsi="Calibri"/>
                <w:color w:val="404040"/>
                <w:sz w:val="18"/>
                <w:szCs w:val="18"/>
              </w:rPr>
              <w:t xml:space="preserve">pe:FundNAV</w:t>
            </w:r>
          </w:p>
          <w:p>
            <w:pPr>
              <w:pStyle w:val="ListParagraph"/>
              <w:numPr>
                <w:ilvl w:val="0"/>
                <w:numId w:val="1"/>
              </w:numPr>
              <w:spacing w:after="40" w:before="0"/>
            </w:pPr>
            <w:r>
              <w:rPr>
                <w:rFonts w:ascii="Calibri" w:cs="Calibri" w:eastAsia="Calibri" w:hAnsi="Calibri"/>
                <w:color w:val="404040"/>
                <w:sz w:val="18"/>
                <w:szCs w:val="18"/>
              </w:rPr>
              <w:t xml:space="preserve">pe:PerformanceMetrics</w:t>
            </w:r>
          </w:p>
          <w:p>
            <w:pPr>
              <w:pStyle w:val="ListParagraph"/>
              <w:numPr>
                <w:ilvl w:val="0"/>
                <w:numId w:val="1"/>
              </w:numPr>
              <w:spacing w:after="40" w:before="0"/>
            </w:pPr>
            <w:r>
              <w:rPr>
                <w:rFonts w:ascii="Calibri" w:cs="Calibri" w:eastAsia="Calibri" w:hAnsi="Calibri"/>
                <w:color w:val="404040"/>
                <w:sz w:val="18"/>
                <w:szCs w:val="18"/>
              </w:rPr>
              <w:t xml:space="preserve">pe:LPReport</w:t>
            </w:r>
          </w:p>
        </w:tc>
      </w:tr>
    </w:tbl>
    <w:p>
      <w:pPr>
        <w:spacing w:after="160" w:before="0"/>
      </w:pPr>
      <w:r>
        <w:t xml:space="preserve"/>
      </w:r>
    </w:p>
    <w:p>
      <w:pPr>
        <w:spacing w:after="80" w:before="200"/>
      </w:pPr>
      <w:r>
        <w:rPr>
          <w:rFonts w:ascii="Calibri" w:cs="Calibri" w:eastAsia="Calibri" w:hAnsi="Calibri"/>
          <w:b/>
          <w:bCs/>
          <w:color w:val="1F3864"/>
          <w:sz w:val="24"/>
          <w:szCs w:val="24"/>
        </w:rPr>
        <w:t xml:space="preserve">Reporting Outputs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tblGrid>
      <w:tr>
        <w:trPr>
          <w:tblHeader/>
        </w:trPr>
        <w:tc>
          <w:tcPr>
            <w:tcW w:type="pct" w:w="5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Report / Output</w:t>
            </w:r>
          </w:p>
        </w:tc>
        <w:tc>
          <w:tcPr>
            <w:tcW w:type="pct" w:w="5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Data Flow</w:t>
            </w:r>
          </w:p>
        </w:tc>
      </w:tr>
      <w:tr>
        <w:tc>
          <w:tcPr>
            <w:tcW w:type="pct" w:w="50%"/>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ILPA quarterly report — schedule of investments, capital account activity, financial statements</w:t>
            </w:r>
          </w:p>
          <w:p>
            <w:pPr>
              <w:pStyle w:val="ListParagraph"/>
              <w:numPr>
                <w:ilvl w:val="0"/>
                <w:numId w:val="1"/>
              </w:numPr>
              <w:spacing w:after="40" w:before="0"/>
            </w:pPr>
            <w:r>
              <w:rPr>
                <w:rFonts w:ascii="Calibri" w:cs="Calibri" w:eastAsia="Calibri" w:hAnsi="Calibri"/>
                <w:color w:val="404040"/>
                <w:sz w:val="18"/>
                <w:szCs w:val="18"/>
              </w:rPr>
              <w:t xml:space="preserve">NAV per unit / LP interest — by feeder and main fund</w:t>
            </w:r>
          </w:p>
          <w:p>
            <w:pPr>
              <w:pStyle w:val="ListParagraph"/>
              <w:numPr>
                <w:ilvl w:val="0"/>
                <w:numId w:val="1"/>
              </w:numPr>
              <w:spacing w:after="40" w:before="0"/>
            </w:pPr>
            <w:r>
              <w:rPr>
                <w:rFonts w:ascii="Calibri" w:cs="Calibri" w:eastAsia="Calibri" w:hAnsi="Calibri"/>
                <w:color w:val="404040"/>
                <w:sz w:val="18"/>
                <w:szCs w:val="18"/>
              </w:rPr>
              <w:t xml:space="preserve">IRR / TVPI / DPI / RVPI — at fund, vintage, and portfolio company level</w:t>
            </w:r>
          </w:p>
          <w:p>
            <w:pPr>
              <w:pStyle w:val="ListParagraph"/>
              <w:numPr>
                <w:ilvl w:val="0"/>
                <w:numId w:val="1"/>
              </w:numPr>
              <w:spacing w:after="40" w:before="0"/>
            </w:pPr>
            <w:r>
              <w:rPr>
                <w:rFonts w:ascii="Calibri" w:cs="Calibri" w:eastAsia="Calibri" w:hAnsi="Calibri"/>
                <w:color w:val="404040"/>
                <w:sz w:val="18"/>
                <w:szCs w:val="18"/>
              </w:rPr>
              <w:t xml:space="preserve">LP capital account statement — YTD contributions, distributions, ending NAV</w:t>
            </w:r>
          </w:p>
          <w:p>
            <w:pPr>
              <w:pStyle w:val="ListParagraph"/>
              <w:numPr>
                <w:ilvl w:val="0"/>
                <w:numId w:val="1"/>
              </w:numPr>
              <w:spacing w:after="40" w:before="0"/>
            </w:pPr>
            <w:r>
              <w:rPr>
                <w:rFonts w:ascii="Calibri" w:cs="Calibri" w:eastAsia="Calibri" w:hAnsi="Calibri"/>
                <w:color w:val="404040"/>
                <w:sz w:val="18"/>
                <w:szCs w:val="18"/>
              </w:rPr>
              <w:t xml:space="preserve">Annual financial statements — full GAAP / IFRS package with auditor opinion</w:t>
            </w:r>
          </w:p>
          <w:p>
            <w:pPr>
              <w:pStyle w:val="ListParagraph"/>
              <w:numPr>
                <w:ilvl w:val="0"/>
                <w:numId w:val="1"/>
              </w:numPr>
              <w:spacing w:after="40" w:before="0"/>
            </w:pPr>
            <w:r>
              <w:rPr>
                <w:rFonts w:ascii="Calibri" w:cs="Calibri" w:eastAsia="Calibri" w:hAnsi="Calibri"/>
                <w:color w:val="404040"/>
                <w:sz w:val="18"/>
                <w:szCs w:val="18"/>
              </w:rPr>
              <w:t xml:space="preserve">Benchmark performance report — fund vs. Cambridge Associates / Preqin quartile</w:t>
            </w:r>
          </w:p>
          <w:p>
            <w:pPr>
              <w:pStyle w:val="ListParagraph"/>
              <w:numPr>
                <w:ilvl w:val="0"/>
                <w:numId w:val="1"/>
              </w:numPr>
              <w:spacing w:after="40" w:before="0"/>
            </w:pPr>
            <w:r>
              <w:rPr>
                <w:rFonts w:ascii="Calibri" w:cs="Calibri" w:eastAsia="Calibri" w:hAnsi="Calibri"/>
                <w:color w:val="404040"/>
                <w:sz w:val="18"/>
                <w:szCs w:val="18"/>
              </w:rPr>
              <w:t xml:space="preserve">ESG / impact metrics report — per SFDR or LP mandate</w:t>
            </w:r>
          </w:p>
          <w:p>
            <w:pPr>
              <w:pStyle w:val="ListParagraph"/>
              <w:numPr>
                <w:ilvl w:val="0"/>
                <w:numId w:val="1"/>
              </w:numPr>
              <w:spacing w:after="40" w:before="0"/>
            </w:pPr>
            <w:r>
              <w:rPr>
                <w:rFonts w:ascii="Calibri" w:cs="Calibri" w:eastAsia="Calibri" w:hAnsi="Calibri"/>
                <w:color w:val="404040"/>
                <w:sz w:val="18"/>
                <w:szCs w:val="18"/>
              </w:rPr>
              <w:t xml:space="preserve">Bridge facility utilisation — outstanding balance, available capacity, days outstanding</w:t>
            </w:r>
          </w:p>
        </w:tc>
        <w:tc>
          <w:tcPr>
            <w:tcW w:type="pct" w:w="50%"/>
            <w:tcMar>
              <w:top w:type="dxa" w:w="50"/>
              <w:left w:type="dxa" w:w="80"/>
              <w:bottom w:type="dxa" w:w="50"/>
              <w:right w:type="dxa" w:w="80"/>
            </w:tcMar>
          </w:tcPr>
          <w:p>
            <w:r>
              <w:rPr>
                <w:rFonts w:ascii="Calibri" w:cs="Calibri" w:eastAsia="Calibri" w:hAnsi="Calibri"/>
                <w:color w:val="404040"/>
                <w:sz w:val="19"/>
                <w:szCs w:val="19"/>
              </w:rPr>
              <w:t xml:space="preserve">Portfolio company financials → Fair value → Fund NAV → LP capital accounts → ILPA reports</w:t>
            </w:r>
          </w:p>
        </w:tc>
      </w:tr>
    </w:tbl>
    <w:p>
      <w:pPr>
        <w:spacing w:after="160" w:before="0"/>
      </w:pPr>
      <w:r>
        <w:t xml:space="preserve"/>
      </w:r>
    </w:p>
    <w:p>
      <w:r>
        <w:br w:type="page"/>
      </w:r>
    </w:p>
    <w:p>
      <w:pPr>
        <w:pStyle w:val="Heading2"/>
        <w:spacing w:after="120" w:before="320"/>
      </w:pPr>
      <w:r>
        <w:t xml:space="preserve">G.8  Fund Closes — Equalization</w:t>
      </w:r>
    </w:p>
    <w:p>
      <w:pPr>
        <w:spacing w:after="120" w:before="0"/>
      </w:pPr>
      <w:r>
        <w:rPr>
          <w:rFonts w:ascii="Calibri" w:cs="Calibri" w:eastAsia="Calibri" w:hAnsi="Calibri"/>
          <w:color w:val="404040"/>
          <w:sz w:val="22"/>
          <w:szCs w:val="22"/>
        </w:rPr>
        <w:t xml:space="preserve">In a multi-close fund structure, LPs admitted at a later close must pay equalization so that all LPs are treated as if they invested at the first close. Equalization is calculated as the late LP's pro-rata share of prior called capital, plus a preferred return on that amount for the period between closes.</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tblGrid>
      <w:tr>
        <w:trPr>
          <w:tblHeader/>
        </w:trPr>
        <w:tc>
          <w:tcPr>
            <w:tcW w:type="pct" w:w="65%"/>
            <w:shd w:fill="7030A0" w:color="7030A0" w:val="clear"/>
            <w:tcMar>
              <w:top w:type="dxa" w:w="60"/>
              <w:left w:type="dxa" w:w="80"/>
              <w:bottom w:type="dxa" w:w="60"/>
              <w:right w:type="dxa" w:w="80"/>
            </w:tcMar>
          </w:tcPr>
          <w:p>
            <w:r>
              <w:rPr>
                <w:rFonts w:ascii="Calibri" w:cs="Calibri" w:eastAsia="Calibri" w:hAnsi="Calibri"/>
                <w:b/>
                <w:bCs/>
                <w:color w:val="FFFFFF"/>
                <w:sz w:val="18"/>
                <w:szCs w:val="18"/>
              </w:rPr>
              <w:t xml:space="preserve">Key Activities</w:t>
            </w:r>
          </w:p>
        </w:tc>
        <w:tc>
          <w:tcPr>
            <w:tcW w:type="pct" w:w="20%"/>
            <w:shd w:fill="404040" w:color="404040" w:val="clear"/>
            <w:tcMar>
              <w:top w:type="dxa" w:w="60"/>
              <w:left w:type="dxa" w:w="80"/>
              <w:bottom w:type="dxa" w:w="60"/>
              <w:right w:type="dxa" w:w="80"/>
            </w:tcMar>
          </w:tcPr>
          <w:p>
            <w:r>
              <w:rPr>
                <w:rFonts w:ascii="Calibri" w:cs="Calibri" w:eastAsia="Calibri" w:hAnsi="Calibri"/>
                <w:b/>
                <w:bCs/>
                <w:color w:val="FFFFFF"/>
                <w:sz w:val="18"/>
                <w:szCs w:val="18"/>
              </w:rPr>
              <w:t xml:space="preserve">Participants</w:t>
            </w:r>
          </w:p>
        </w:tc>
        <w:tc>
          <w:tcPr>
            <w:tcW w:type="pct" w:w="15%"/>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Data Objects</w:t>
            </w:r>
          </w:p>
        </w:tc>
      </w:tr>
      <w:tr>
        <w:tc>
          <w:tcPr>
            <w:tcW w:type="pct" w:w="65%"/>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Determine equalization amount per late LP: Eq = Committed × Prior Called% × Eq Rate × (Days / 365)</w:t>
            </w:r>
          </w:p>
          <w:p>
            <w:pPr>
              <w:pStyle w:val="ListParagraph"/>
              <w:numPr>
                <w:ilvl w:val="0"/>
                <w:numId w:val="1"/>
              </w:numPr>
              <w:spacing w:after="40" w:before="0"/>
            </w:pPr>
            <w:r>
              <w:rPr>
                <w:rFonts w:ascii="Calibri" w:cs="Calibri" w:eastAsia="Calibri" w:hAnsi="Calibri"/>
                <w:color w:val="404040"/>
                <w:sz w:val="18"/>
                <w:szCs w:val="18"/>
              </w:rPr>
              <w:t xml:space="preserve">Issue equalization notice alongside the first capital call notice to the late LP</w:t>
            </w:r>
          </w:p>
          <w:p>
            <w:pPr>
              <w:pStyle w:val="ListParagraph"/>
              <w:numPr>
                <w:ilvl w:val="0"/>
                <w:numId w:val="1"/>
              </w:numPr>
              <w:spacing w:after="40" w:before="0"/>
            </w:pPr>
            <w:r>
              <w:rPr>
                <w:rFonts w:ascii="Calibri" w:cs="Calibri" w:eastAsia="Calibri" w:hAnsi="Calibri"/>
                <w:color w:val="404040"/>
                <w:sz w:val="18"/>
                <w:szCs w:val="18"/>
              </w:rPr>
              <w:t xml:space="preserve">Collect equalization proceeds via wire on or before close date</w:t>
            </w:r>
          </w:p>
          <w:p>
            <w:pPr>
              <w:pStyle w:val="ListParagraph"/>
              <w:numPr>
                <w:ilvl w:val="0"/>
                <w:numId w:val="1"/>
              </w:numPr>
              <w:spacing w:after="40" w:before="0"/>
            </w:pPr>
            <w:r>
              <w:rPr>
                <w:rFonts w:ascii="Calibri" w:cs="Calibri" w:eastAsia="Calibri" w:hAnsi="Calibri"/>
                <w:color w:val="404040"/>
                <w:sz w:val="18"/>
                <w:szCs w:val="18"/>
              </w:rPr>
              <w:t xml:space="preserve">Redistribute equalization proceeds to existing LPs in proportion to their capital accounts</w:t>
            </w:r>
          </w:p>
          <w:p>
            <w:pPr>
              <w:pStyle w:val="ListParagraph"/>
              <w:numPr>
                <w:ilvl w:val="0"/>
                <w:numId w:val="1"/>
              </w:numPr>
              <w:spacing w:after="40" w:before="0"/>
            </w:pPr>
            <w:r>
              <w:rPr>
                <w:rFonts w:ascii="Calibri" w:cs="Calibri" w:eastAsia="Calibri" w:hAnsi="Calibri"/>
                <w:color w:val="404040"/>
                <w:sz w:val="18"/>
                <w:szCs w:val="18"/>
              </w:rPr>
              <w:t xml:space="preserve">Adjust all LP capital accounts to reflect equalization receipt and redistribution</w:t>
            </w:r>
          </w:p>
          <w:p>
            <w:pPr>
              <w:pStyle w:val="ListParagraph"/>
              <w:numPr>
                <w:ilvl w:val="0"/>
                <w:numId w:val="1"/>
              </w:numPr>
              <w:spacing w:after="40" w:before="0"/>
            </w:pPr>
            <w:r>
              <w:rPr>
                <w:rFonts w:ascii="Calibri" w:cs="Calibri" w:eastAsia="Calibri" w:hAnsi="Calibri"/>
                <w:color w:val="404040"/>
                <w:sz w:val="18"/>
                <w:szCs w:val="18"/>
              </w:rPr>
              <w:t xml:space="preserve">Transfer agent updates unit register — late LP receives units priced to reflect prior NAV plus equalization</w:t>
            </w:r>
          </w:p>
          <w:p>
            <w:pPr>
              <w:pStyle w:val="ListParagraph"/>
              <w:numPr>
                <w:ilvl w:val="0"/>
                <w:numId w:val="1"/>
              </w:numPr>
              <w:spacing w:after="40" w:before="0"/>
            </w:pPr>
            <w:r>
              <w:rPr>
                <w:rFonts w:ascii="Calibri" w:cs="Calibri" w:eastAsia="Calibri" w:hAnsi="Calibri"/>
                <w:color w:val="404040"/>
                <w:sz w:val="18"/>
                <w:szCs w:val="18"/>
              </w:rPr>
              <w:t xml:space="preserve">Produce revised close economics summary — total committed at each close, equalization collected, aggregate</w:t>
            </w:r>
          </w:p>
        </w:tc>
        <w:tc>
          <w:tcPr>
            <w:tcW w:type="pct" w:w="20%"/>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Fund Administrator</w:t>
            </w:r>
          </w:p>
          <w:p>
            <w:pPr>
              <w:pStyle w:val="ListParagraph"/>
              <w:numPr>
                <w:ilvl w:val="0"/>
                <w:numId w:val="1"/>
              </w:numPr>
              <w:spacing w:after="40" w:before="0"/>
            </w:pPr>
            <w:r>
              <w:rPr>
                <w:rFonts w:ascii="Calibri" w:cs="Calibri" w:eastAsia="Calibri" w:hAnsi="Calibri"/>
                <w:color w:val="404040"/>
                <w:sz w:val="18"/>
                <w:szCs w:val="18"/>
              </w:rPr>
              <w:t xml:space="preserve">Transfer Agent</w:t>
            </w:r>
          </w:p>
          <w:p>
            <w:pPr>
              <w:pStyle w:val="ListParagraph"/>
              <w:numPr>
                <w:ilvl w:val="0"/>
                <w:numId w:val="1"/>
              </w:numPr>
              <w:spacing w:after="40" w:before="0"/>
            </w:pPr>
            <w:r>
              <w:rPr>
                <w:rFonts w:ascii="Calibri" w:cs="Calibri" w:eastAsia="Calibri" w:hAnsi="Calibri"/>
                <w:color w:val="404040"/>
                <w:sz w:val="18"/>
                <w:szCs w:val="18"/>
              </w:rPr>
              <w:t xml:space="preserve">Legal Counsel</w:t>
            </w:r>
          </w:p>
          <w:p>
            <w:pPr>
              <w:pStyle w:val="ListParagraph"/>
              <w:numPr>
                <w:ilvl w:val="0"/>
                <w:numId w:val="1"/>
              </w:numPr>
              <w:spacing w:after="40" w:before="0"/>
            </w:pPr>
            <w:r>
              <w:rPr>
                <w:rFonts w:ascii="Calibri" w:cs="Calibri" w:eastAsia="Calibri" w:hAnsi="Calibri"/>
                <w:color w:val="404040"/>
                <w:sz w:val="18"/>
                <w:szCs w:val="18"/>
              </w:rPr>
              <w:t xml:space="preserve">Controller</w:t>
            </w:r>
          </w:p>
        </w:tc>
        <w:tc>
          <w:tcPr>
            <w:tcW w:type="pct" w:w="15%"/>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pe:FundClose</w:t>
            </w:r>
          </w:p>
          <w:p>
            <w:pPr>
              <w:pStyle w:val="ListParagraph"/>
              <w:numPr>
                <w:ilvl w:val="0"/>
                <w:numId w:val="1"/>
              </w:numPr>
              <w:spacing w:after="40" w:before="0"/>
            </w:pPr>
            <w:r>
              <w:rPr>
                <w:rFonts w:ascii="Calibri" w:cs="Calibri" w:eastAsia="Calibri" w:hAnsi="Calibri"/>
                <w:color w:val="404040"/>
                <w:sz w:val="18"/>
                <w:szCs w:val="18"/>
              </w:rPr>
              <w:t xml:space="preserve">pe:Commitment (equalization_amount)</w:t>
            </w:r>
          </w:p>
          <w:p>
            <w:pPr>
              <w:pStyle w:val="ListParagraph"/>
              <w:numPr>
                <w:ilvl w:val="0"/>
                <w:numId w:val="1"/>
              </w:numPr>
              <w:spacing w:after="40" w:before="0"/>
            </w:pPr>
            <w:r>
              <w:rPr>
                <w:rFonts w:ascii="Calibri" w:cs="Calibri" w:eastAsia="Calibri" w:hAnsi="Calibri"/>
                <w:color w:val="404040"/>
                <w:sz w:val="18"/>
                <w:szCs w:val="18"/>
              </w:rPr>
              <w:t xml:space="preserve">pe:CapitalCallNotice</w:t>
            </w:r>
          </w:p>
        </w:tc>
      </w:tr>
    </w:tbl>
    <w:p>
      <w:pPr>
        <w:spacing w:after="160" w:before="0"/>
      </w:pPr>
      <w:r>
        <w:t xml:space="preserve"/>
      </w:r>
    </w:p>
    <w:p>
      <w:pPr>
        <w:spacing w:after="80" w:before="200"/>
      </w:pPr>
      <w:r>
        <w:rPr>
          <w:rFonts w:ascii="Calibri" w:cs="Calibri" w:eastAsia="Calibri" w:hAnsi="Calibri"/>
          <w:b/>
          <w:bCs/>
          <w:color w:val="1F3864"/>
          <w:sz w:val="24"/>
          <w:szCs w:val="24"/>
        </w:rPr>
        <w:t xml:space="preserve">Reporting Outputs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tblGrid>
      <w:tr>
        <w:trPr>
          <w:tblHeader/>
        </w:trPr>
        <w:tc>
          <w:tcPr>
            <w:tcW w:type="pct" w:w="5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Report / Output</w:t>
            </w:r>
          </w:p>
        </w:tc>
        <w:tc>
          <w:tcPr>
            <w:tcW w:type="pct" w:w="5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Data Flow</w:t>
            </w:r>
          </w:p>
        </w:tc>
      </w:tr>
      <w:tr>
        <w:tc>
          <w:tcPr>
            <w:tcW w:type="pct" w:w="50%"/>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Equalization calculation workpaper — per late-closing LP: called%, rate, time, amount</w:t>
            </w:r>
          </w:p>
          <w:p>
            <w:pPr>
              <w:pStyle w:val="ListParagraph"/>
              <w:numPr>
                <w:ilvl w:val="0"/>
                <w:numId w:val="1"/>
              </w:numPr>
              <w:spacing w:after="40" w:before="0"/>
            </w:pPr>
            <w:r>
              <w:rPr>
                <w:rFonts w:ascii="Calibri" w:cs="Calibri" w:eastAsia="Calibri" w:hAnsi="Calibri"/>
                <w:color w:val="404040"/>
                <w:sz w:val="18"/>
                <w:szCs w:val="18"/>
              </w:rPr>
              <w:t xml:space="preserve">Equalization redistribution report — existing LP shares of eq proceeds</w:t>
            </w:r>
          </w:p>
          <w:p>
            <w:pPr>
              <w:pStyle w:val="ListParagraph"/>
              <w:numPr>
                <w:ilvl w:val="0"/>
                <w:numId w:val="1"/>
              </w:numPr>
              <w:spacing w:after="40" w:before="0"/>
            </w:pPr>
            <w:r>
              <w:rPr>
                <w:rFonts w:ascii="Calibri" w:cs="Calibri" w:eastAsia="Calibri" w:hAnsi="Calibri"/>
                <w:color w:val="404040"/>
                <w:sz w:val="18"/>
                <w:szCs w:val="18"/>
              </w:rPr>
              <w:t xml:space="preserve">Revised LP capital account statements post-equalization</w:t>
            </w:r>
          </w:p>
          <w:p>
            <w:pPr>
              <w:pStyle w:val="ListParagraph"/>
              <w:numPr>
                <w:ilvl w:val="0"/>
                <w:numId w:val="1"/>
              </w:numPr>
              <w:spacing w:after="40" w:before="0"/>
            </w:pPr>
            <w:r>
              <w:rPr>
                <w:rFonts w:ascii="Calibri" w:cs="Calibri" w:eastAsia="Calibri" w:hAnsi="Calibri"/>
                <w:color w:val="404040"/>
                <w:sz w:val="18"/>
                <w:szCs w:val="18"/>
              </w:rPr>
              <w:t xml:space="preserve">Close economics summary — total committed, equalization collected, cumulative called per close</w:t>
            </w:r>
          </w:p>
        </w:tc>
        <w:tc>
          <w:tcPr>
            <w:tcW w:type="pct" w:w="50%"/>
            <w:tcMar>
              <w:top w:type="dxa" w:w="50"/>
              <w:left w:type="dxa" w:w="80"/>
              <w:bottom w:type="dxa" w:w="50"/>
              <w:right w:type="dxa" w:w="80"/>
            </w:tcMar>
          </w:tcPr>
          <w:p>
            <w:r>
              <w:rPr>
                <w:rFonts w:ascii="Calibri" w:cs="Calibri" w:eastAsia="Calibri" w:hAnsi="Calibri"/>
                <w:color w:val="404040"/>
                <w:sz w:val="19"/>
                <w:szCs w:val="19"/>
              </w:rPr>
              <w:t xml:space="preserve">FundClose → late LPs flagged → Equalization notice → Proceeds redistributed → Capital accounts adjusted</w:t>
            </w:r>
          </w:p>
        </w:tc>
      </w:tr>
    </w:tbl>
    <w:p>
      <w:pPr>
        <w:spacing w:after="160" w:before="0"/>
      </w:pPr>
      <w:r>
        <w:t xml:space="preserve"/>
      </w:r>
    </w:p>
    <w:p>
      <w:r>
        <w:br w:type="page"/>
      </w:r>
    </w:p>
    <w:p>
      <w:pPr>
        <w:pStyle w:val="Heading2"/>
        <w:spacing w:after="120" w:before="320"/>
      </w:pPr>
      <w:r>
        <w:t xml:space="preserve">G.9  Realization &amp; Exit</w:t>
      </w:r>
    </w:p>
    <w:p>
      <w:pPr>
        <w:spacing w:after="120" w:before="0"/>
      </w:pPr>
      <w:r>
        <w:rPr>
          <w:rFonts w:ascii="Calibri" w:cs="Calibri" w:eastAsia="Calibri" w:hAnsi="Calibri"/>
          <w:color w:val="404040"/>
          <w:sz w:val="22"/>
          <w:szCs w:val="22"/>
        </w:rPr>
        <w:t xml:space="preserve">When a portfolio company is mature or the market conditions are favourable, the GP executes an exit — typically via trade sale, secondary sale, recapitalization, or IPO. Proceeds flow from the portfolio company through the Main Fund to feeders and ultimately to LPs.</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tblGrid>
      <w:tr>
        <w:trPr>
          <w:tblHeader/>
        </w:trPr>
        <w:tc>
          <w:tcPr>
            <w:tcW w:type="pct" w:w="65%"/>
            <w:shd w:fill="C00000" w:color="C00000" w:val="clear"/>
            <w:tcMar>
              <w:top w:type="dxa" w:w="60"/>
              <w:left w:type="dxa" w:w="80"/>
              <w:bottom w:type="dxa" w:w="60"/>
              <w:right w:type="dxa" w:w="80"/>
            </w:tcMar>
          </w:tcPr>
          <w:p>
            <w:r>
              <w:rPr>
                <w:rFonts w:ascii="Calibri" w:cs="Calibri" w:eastAsia="Calibri" w:hAnsi="Calibri"/>
                <w:b/>
                <w:bCs/>
                <w:color w:val="FFFFFF"/>
                <w:sz w:val="18"/>
                <w:szCs w:val="18"/>
              </w:rPr>
              <w:t xml:space="preserve">Key Activities</w:t>
            </w:r>
          </w:p>
        </w:tc>
        <w:tc>
          <w:tcPr>
            <w:tcW w:type="pct" w:w="20%"/>
            <w:shd w:fill="404040" w:color="404040" w:val="clear"/>
            <w:tcMar>
              <w:top w:type="dxa" w:w="60"/>
              <w:left w:type="dxa" w:w="80"/>
              <w:bottom w:type="dxa" w:w="60"/>
              <w:right w:type="dxa" w:w="80"/>
            </w:tcMar>
          </w:tcPr>
          <w:p>
            <w:r>
              <w:rPr>
                <w:rFonts w:ascii="Calibri" w:cs="Calibri" w:eastAsia="Calibri" w:hAnsi="Calibri"/>
                <w:b/>
                <w:bCs/>
                <w:color w:val="FFFFFF"/>
                <w:sz w:val="18"/>
                <w:szCs w:val="18"/>
              </w:rPr>
              <w:t xml:space="preserve">Participants</w:t>
            </w:r>
          </w:p>
        </w:tc>
        <w:tc>
          <w:tcPr>
            <w:tcW w:type="pct" w:w="15%"/>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Data Objects</w:t>
            </w:r>
          </w:p>
        </w:tc>
      </w:tr>
      <w:tr>
        <w:tc>
          <w:tcPr>
            <w:tcW w:type="pct" w:w="65%"/>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Exit decision — IC approval of exit strategy, timeline, and price expectation</w:t>
            </w:r>
          </w:p>
          <w:p>
            <w:pPr>
              <w:pStyle w:val="ListParagraph"/>
              <w:numPr>
                <w:ilvl w:val="0"/>
                <w:numId w:val="1"/>
              </w:numPr>
              <w:spacing w:after="40" w:before="0"/>
            </w:pPr>
            <w:r>
              <w:rPr>
                <w:rFonts w:ascii="Calibri" w:cs="Calibri" w:eastAsia="Calibri" w:hAnsi="Calibri"/>
                <w:color w:val="404040"/>
                <w:sz w:val="18"/>
                <w:szCs w:val="18"/>
              </w:rPr>
              <w:t xml:space="preserve">M&amp;A / IPO process — engage investment bank, run sale process or IPO preparation</w:t>
            </w:r>
          </w:p>
          <w:p>
            <w:pPr>
              <w:pStyle w:val="ListParagraph"/>
              <w:numPr>
                <w:ilvl w:val="0"/>
                <w:numId w:val="1"/>
              </w:numPr>
              <w:spacing w:after="40" w:before="0"/>
            </w:pPr>
            <w:r>
              <w:rPr>
                <w:rFonts w:ascii="Calibri" w:cs="Calibri" w:eastAsia="Calibri" w:hAnsi="Calibri"/>
                <w:color w:val="404040"/>
                <w:sz w:val="18"/>
                <w:szCs w:val="18"/>
              </w:rPr>
              <w:t xml:space="preserve">Legal execution — SPA or underwriting agreement signed; conditions to close satisfied</w:t>
            </w:r>
          </w:p>
          <w:p>
            <w:pPr>
              <w:pStyle w:val="ListParagraph"/>
              <w:numPr>
                <w:ilvl w:val="0"/>
                <w:numId w:val="1"/>
              </w:numPr>
              <w:spacing w:after="40" w:before="0"/>
            </w:pPr>
            <w:r>
              <w:rPr>
                <w:rFonts w:ascii="Calibri" w:cs="Calibri" w:eastAsia="Calibri" w:hAnsi="Calibri"/>
                <w:color w:val="404040"/>
                <w:sz w:val="18"/>
                <w:szCs w:val="18"/>
              </w:rPr>
              <w:t xml:space="preserve">Proceeds received at Main Fund — DR Cash / CR Portfolio Investment (cost + gain)</w:t>
            </w:r>
          </w:p>
          <w:p>
            <w:pPr>
              <w:pStyle w:val="ListParagraph"/>
              <w:numPr>
                <w:ilvl w:val="0"/>
                <w:numId w:val="1"/>
              </w:numPr>
              <w:spacing w:after="40" w:before="0"/>
            </w:pPr>
            <w:r>
              <w:rPr>
                <w:rFonts w:ascii="Calibri" w:cs="Calibri" w:eastAsia="Calibri" w:hAnsi="Calibri"/>
                <w:color w:val="404040"/>
                <w:sz w:val="18"/>
                <w:szCs w:val="18"/>
              </w:rPr>
              <w:t xml:space="preserve">Realized gain / loss recorded — gross return vs. cost basis; carried interest trigger assessment</w:t>
            </w:r>
          </w:p>
          <w:p>
            <w:pPr>
              <w:pStyle w:val="ListParagraph"/>
              <w:numPr>
                <w:ilvl w:val="0"/>
                <w:numId w:val="1"/>
              </w:numPr>
              <w:spacing w:after="40" w:before="0"/>
            </w:pPr>
            <w:r>
              <w:rPr>
                <w:rFonts w:ascii="Calibri" w:cs="Calibri" w:eastAsia="Calibri" w:hAnsi="Calibri"/>
                <w:color w:val="404040"/>
                <w:sz w:val="18"/>
                <w:szCs w:val="18"/>
              </w:rPr>
              <w:t xml:space="preserve">Recapitalization — partial realisation; balance sheet restructuring distributes proceeds while retaining ownership</w:t>
            </w:r>
          </w:p>
          <w:p>
            <w:pPr>
              <w:pStyle w:val="ListParagraph"/>
              <w:numPr>
                <w:ilvl w:val="0"/>
                <w:numId w:val="1"/>
              </w:numPr>
              <w:spacing w:after="40" w:before="0"/>
            </w:pPr>
            <w:r>
              <w:rPr>
                <w:rFonts w:ascii="Calibri" w:cs="Calibri" w:eastAsia="Calibri" w:hAnsi="Calibri"/>
                <w:color w:val="404040"/>
                <w:sz w:val="18"/>
                <w:szCs w:val="18"/>
              </w:rPr>
              <w:t xml:space="preserve">Tax analysis — characterize gain (ordinary vs. capital, short vs. long-term) for each LP's jurisdiction</w:t>
            </w:r>
          </w:p>
          <w:p>
            <w:pPr>
              <w:pStyle w:val="ListParagraph"/>
              <w:numPr>
                <w:ilvl w:val="0"/>
                <w:numId w:val="1"/>
              </w:numPr>
              <w:spacing w:after="40" w:before="0"/>
            </w:pPr>
            <w:r>
              <w:rPr>
                <w:rFonts w:ascii="Calibri" w:cs="Calibri" w:eastAsia="Calibri" w:hAnsi="Calibri"/>
                <w:color w:val="404040"/>
                <w:sz w:val="18"/>
                <w:szCs w:val="18"/>
              </w:rPr>
              <w:t xml:space="preserve">Distribution notice calculation — proceeds allocated to each LP pro-rata; waterfall applied</w:t>
            </w:r>
          </w:p>
        </w:tc>
        <w:tc>
          <w:tcPr>
            <w:tcW w:type="pct" w:w="20%"/>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Investment / Deal Team</w:t>
            </w:r>
          </w:p>
          <w:p>
            <w:pPr>
              <w:pStyle w:val="ListParagraph"/>
              <w:numPr>
                <w:ilvl w:val="0"/>
                <w:numId w:val="1"/>
              </w:numPr>
              <w:spacing w:after="40" w:before="0"/>
            </w:pPr>
            <w:r>
              <w:rPr>
                <w:rFonts w:ascii="Calibri" w:cs="Calibri" w:eastAsia="Calibri" w:hAnsi="Calibri"/>
                <w:color w:val="404040"/>
                <w:sz w:val="18"/>
                <w:szCs w:val="18"/>
              </w:rPr>
              <w:t xml:space="preserve">Investment Bank (sell-side)</w:t>
            </w:r>
          </w:p>
          <w:p>
            <w:pPr>
              <w:pStyle w:val="ListParagraph"/>
              <w:numPr>
                <w:ilvl w:val="0"/>
                <w:numId w:val="1"/>
              </w:numPr>
              <w:spacing w:after="40" w:before="0"/>
            </w:pPr>
            <w:r>
              <w:rPr>
                <w:rFonts w:ascii="Calibri" w:cs="Calibri" w:eastAsia="Calibri" w:hAnsi="Calibri"/>
                <w:color w:val="404040"/>
                <w:sz w:val="18"/>
                <w:szCs w:val="18"/>
              </w:rPr>
              <w:t xml:space="preserve">Legal Counsel</w:t>
            </w:r>
          </w:p>
          <w:p>
            <w:pPr>
              <w:pStyle w:val="ListParagraph"/>
              <w:numPr>
                <w:ilvl w:val="0"/>
                <w:numId w:val="1"/>
              </w:numPr>
              <w:spacing w:after="40" w:before="0"/>
            </w:pPr>
            <w:r>
              <w:rPr>
                <w:rFonts w:ascii="Calibri" w:cs="Calibri" w:eastAsia="Calibri" w:hAnsi="Calibri"/>
                <w:color w:val="404040"/>
                <w:sz w:val="18"/>
                <w:szCs w:val="18"/>
              </w:rPr>
              <w:t xml:space="preserve">Tax Counsel</w:t>
            </w:r>
          </w:p>
          <w:p>
            <w:pPr>
              <w:pStyle w:val="ListParagraph"/>
              <w:numPr>
                <w:ilvl w:val="0"/>
                <w:numId w:val="1"/>
              </w:numPr>
              <w:spacing w:after="40" w:before="0"/>
            </w:pPr>
            <w:r>
              <w:rPr>
                <w:rFonts w:ascii="Calibri" w:cs="Calibri" w:eastAsia="Calibri" w:hAnsi="Calibri"/>
                <w:color w:val="404040"/>
                <w:sz w:val="18"/>
                <w:szCs w:val="18"/>
              </w:rPr>
              <w:t xml:space="preserve">Finance</w:t>
            </w:r>
          </w:p>
        </w:tc>
        <w:tc>
          <w:tcPr>
            <w:tcW w:type="pct" w:w="15%"/>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pe:Exit</w:t>
            </w:r>
          </w:p>
          <w:p>
            <w:pPr>
              <w:pStyle w:val="ListParagraph"/>
              <w:numPr>
                <w:ilvl w:val="0"/>
                <w:numId w:val="1"/>
              </w:numPr>
              <w:spacing w:after="40" w:before="0"/>
            </w:pPr>
            <w:r>
              <w:rPr>
                <w:rFonts w:ascii="Calibri" w:cs="Calibri" w:eastAsia="Calibri" w:hAnsi="Calibri"/>
                <w:color w:val="404040"/>
                <w:sz w:val="18"/>
                <w:szCs w:val="18"/>
              </w:rPr>
              <w:t xml:space="preserve">pe:RealisedInvestment</w:t>
            </w:r>
          </w:p>
          <w:p>
            <w:pPr>
              <w:pStyle w:val="ListParagraph"/>
              <w:numPr>
                <w:ilvl w:val="0"/>
                <w:numId w:val="1"/>
              </w:numPr>
              <w:spacing w:after="40" w:before="0"/>
            </w:pPr>
            <w:r>
              <w:rPr>
                <w:rFonts w:ascii="Calibri" w:cs="Calibri" w:eastAsia="Calibri" w:hAnsi="Calibri"/>
                <w:color w:val="404040"/>
                <w:sz w:val="18"/>
                <w:szCs w:val="18"/>
              </w:rPr>
              <w:t xml:space="preserve">pe:DistributionCalculation</w:t>
            </w:r>
          </w:p>
        </w:tc>
      </w:tr>
    </w:tbl>
    <w:p>
      <w:pPr>
        <w:spacing w:after="160" w:before="0"/>
      </w:pPr>
      <w:r>
        <w:t xml:space="preserve"/>
      </w:r>
    </w:p>
    <w:p>
      <w:pPr>
        <w:spacing w:after="80" w:before="200"/>
      </w:pPr>
      <w:r>
        <w:rPr>
          <w:rFonts w:ascii="Calibri" w:cs="Calibri" w:eastAsia="Calibri" w:hAnsi="Calibri"/>
          <w:b/>
          <w:bCs/>
          <w:color w:val="1F3864"/>
          <w:sz w:val="24"/>
          <w:szCs w:val="24"/>
        </w:rPr>
        <w:t xml:space="preserve">Reporting Outputs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tblGrid>
      <w:tr>
        <w:trPr>
          <w:tblHeader/>
        </w:trPr>
        <w:tc>
          <w:tcPr>
            <w:tcW w:type="pct" w:w="5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Report / Output</w:t>
            </w:r>
          </w:p>
        </w:tc>
        <w:tc>
          <w:tcPr>
            <w:tcW w:type="pct" w:w="5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Data Flow</w:t>
            </w:r>
          </w:p>
        </w:tc>
      </w:tr>
      <w:tr>
        <w:tc>
          <w:tcPr>
            <w:tcW w:type="pct" w:w="50%"/>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Realized investment summary — exit proceeds, cost basis, realized G/L, holding period</w:t>
            </w:r>
          </w:p>
          <w:p>
            <w:pPr>
              <w:pStyle w:val="ListParagraph"/>
              <w:numPr>
                <w:ilvl w:val="0"/>
                <w:numId w:val="1"/>
              </w:numPr>
              <w:spacing w:after="40" w:before="0"/>
            </w:pPr>
            <w:r>
              <w:rPr>
                <w:rFonts w:ascii="Calibri" w:cs="Calibri" w:eastAsia="Calibri" w:hAnsi="Calibri"/>
                <w:color w:val="404040"/>
                <w:sz w:val="18"/>
                <w:szCs w:val="18"/>
              </w:rPr>
              <w:t xml:space="preserve">MOIC and gross IRR per deal</w:t>
            </w:r>
          </w:p>
          <w:p>
            <w:pPr>
              <w:pStyle w:val="ListParagraph"/>
              <w:numPr>
                <w:ilvl w:val="0"/>
                <w:numId w:val="1"/>
              </w:numPr>
              <w:spacing w:after="40" w:before="0"/>
            </w:pPr>
            <w:r>
              <w:rPr>
                <w:rFonts w:ascii="Calibri" w:cs="Calibri" w:eastAsia="Calibri" w:hAnsi="Calibri"/>
                <w:color w:val="404040"/>
                <w:sz w:val="18"/>
                <w:szCs w:val="18"/>
              </w:rPr>
              <w:t xml:space="preserve">Exit proceeds allocation by feeder and LP</w:t>
            </w:r>
          </w:p>
          <w:p>
            <w:pPr>
              <w:pStyle w:val="ListParagraph"/>
              <w:numPr>
                <w:ilvl w:val="0"/>
                <w:numId w:val="1"/>
              </w:numPr>
              <w:spacing w:after="40" w:before="0"/>
            </w:pPr>
            <w:r>
              <w:rPr>
                <w:rFonts w:ascii="Calibri" w:cs="Calibri" w:eastAsia="Calibri" w:hAnsi="Calibri"/>
                <w:color w:val="404040"/>
                <w:sz w:val="18"/>
                <w:szCs w:val="18"/>
              </w:rPr>
              <w:t xml:space="preserve">Tax lot / holding period report for LP K-1 preparation</w:t>
            </w:r>
          </w:p>
          <w:p>
            <w:pPr>
              <w:pStyle w:val="ListParagraph"/>
              <w:numPr>
                <w:ilvl w:val="0"/>
                <w:numId w:val="1"/>
              </w:numPr>
              <w:spacing w:after="40" w:before="0"/>
            </w:pPr>
            <w:r>
              <w:rPr>
                <w:rFonts w:ascii="Calibri" w:cs="Calibri" w:eastAsia="Calibri" w:hAnsi="Calibri"/>
                <w:color w:val="404040"/>
                <w:sz w:val="18"/>
                <w:szCs w:val="18"/>
              </w:rPr>
              <w:t xml:space="preserve">Carry trigger analysis — has preferred return threshold been met?</w:t>
            </w:r>
          </w:p>
        </w:tc>
        <w:tc>
          <w:tcPr>
            <w:tcW w:type="pct" w:w="50%"/>
            <w:tcMar>
              <w:top w:type="dxa" w:w="50"/>
              <w:left w:type="dxa" w:w="80"/>
              <w:bottom w:type="dxa" w:w="50"/>
              <w:right w:type="dxa" w:w="80"/>
            </w:tcMar>
          </w:tcPr>
          <w:p>
            <w:r>
              <w:rPr>
                <w:rFonts w:ascii="Calibri" w:cs="Calibri" w:eastAsia="Calibri" w:hAnsi="Calibri"/>
                <w:color w:val="404040"/>
                <w:sz w:val="19"/>
                <w:szCs w:val="19"/>
              </w:rPr>
              <w:t xml:space="preserve">Exit proceeds → Main Fund cash → Distribution calculation → Feeder wires → LP distributions</w:t>
            </w:r>
          </w:p>
        </w:tc>
      </w:tr>
    </w:tbl>
    <w:p>
      <w:pPr>
        <w:spacing w:after="160" w:before="0"/>
      </w:pPr>
      <w:r>
        <w:t xml:space="preserve"/>
      </w:r>
    </w:p>
    <w:p>
      <w:r>
        <w:br w:type="page"/>
      </w:r>
    </w:p>
    <w:p>
      <w:pPr>
        <w:pStyle w:val="Heading2"/>
        <w:spacing w:after="120" w:before="320"/>
      </w:pPr>
      <w:r>
        <w:t xml:space="preserve">G.10  Distributions &amp; Waterfall</w:t>
      </w:r>
    </w:p>
    <w:p>
      <w:pPr>
        <w:spacing w:after="120" w:before="0"/>
      </w:pPr>
      <w:r>
        <w:rPr>
          <w:rFonts w:ascii="Calibri" w:cs="Calibri" w:eastAsia="Calibri" w:hAnsi="Calibri"/>
          <w:color w:val="404040"/>
          <w:sz w:val="22"/>
          <w:szCs w:val="22"/>
        </w:rPr>
        <w:t xml:space="preserve">Distribution proceeds are allocated according to the waterfall defined in the LPA. The standard PE waterfall returns capital first, then pays the preferred return to LPs, then the GP catch-up, then carried interest. Each distribution requires a formal notice and wire to LP bank accounts.</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tblGrid>
      <w:tr>
        <w:trPr>
          <w:tblHeader/>
        </w:trPr>
        <w:tc>
          <w:tcPr>
            <w:tcW w:type="pct" w:w="65%"/>
            <w:shd w:fill="B8860B" w:color="B8860B" w:val="clear"/>
            <w:tcMar>
              <w:top w:type="dxa" w:w="60"/>
              <w:left w:type="dxa" w:w="80"/>
              <w:bottom w:type="dxa" w:w="60"/>
              <w:right w:type="dxa" w:w="80"/>
            </w:tcMar>
          </w:tcPr>
          <w:p>
            <w:r>
              <w:rPr>
                <w:rFonts w:ascii="Calibri" w:cs="Calibri" w:eastAsia="Calibri" w:hAnsi="Calibri"/>
                <w:b/>
                <w:bCs/>
                <w:color w:val="FFFFFF"/>
                <w:sz w:val="18"/>
                <w:szCs w:val="18"/>
              </w:rPr>
              <w:t xml:space="preserve">Key Activities</w:t>
            </w:r>
          </w:p>
        </w:tc>
        <w:tc>
          <w:tcPr>
            <w:tcW w:type="pct" w:w="20%"/>
            <w:shd w:fill="404040" w:color="404040" w:val="clear"/>
            <w:tcMar>
              <w:top w:type="dxa" w:w="60"/>
              <w:left w:type="dxa" w:w="80"/>
              <w:bottom w:type="dxa" w:w="60"/>
              <w:right w:type="dxa" w:w="80"/>
            </w:tcMar>
          </w:tcPr>
          <w:p>
            <w:r>
              <w:rPr>
                <w:rFonts w:ascii="Calibri" w:cs="Calibri" w:eastAsia="Calibri" w:hAnsi="Calibri"/>
                <w:b/>
                <w:bCs/>
                <w:color w:val="FFFFFF"/>
                <w:sz w:val="18"/>
                <w:szCs w:val="18"/>
              </w:rPr>
              <w:t xml:space="preserve">Participants</w:t>
            </w:r>
          </w:p>
        </w:tc>
        <w:tc>
          <w:tcPr>
            <w:tcW w:type="pct" w:w="15%"/>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Data Objects</w:t>
            </w:r>
          </w:p>
        </w:tc>
      </w:tr>
      <w:tr>
        <w:tc>
          <w:tcPr>
            <w:tcW w:type="pct" w:w="65%"/>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Waterfall calculation — apply distribution waterfall per LPA: (1) Return of Capital, (2) Preferred Return, (3) GP Catch-Up, (4) Carried Interest split</w:t>
            </w:r>
          </w:p>
          <w:p>
            <w:pPr>
              <w:pStyle w:val="ListParagraph"/>
              <w:numPr>
                <w:ilvl w:val="0"/>
                <w:numId w:val="1"/>
              </w:numPr>
              <w:spacing w:after="40" w:before="0"/>
            </w:pPr>
            <w:r>
              <w:rPr>
                <w:rFonts w:ascii="Calibri" w:cs="Calibri" w:eastAsia="Calibri" w:hAnsi="Calibri"/>
                <w:color w:val="404040"/>
                <w:sz w:val="18"/>
                <w:szCs w:val="18"/>
              </w:rPr>
              <w:t xml:space="preserve">Clawback assessment — calculate whether GP has over-received carry relative to final fund economics</w:t>
            </w:r>
          </w:p>
          <w:p>
            <w:pPr>
              <w:pStyle w:val="ListParagraph"/>
              <w:numPr>
                <w:ilvl w:val="0"/>
                <w:numId w:val="1"/>
              </w:numPr>
              <w:spacing w:after="40" w:before="0"/>
            </w:pPr>
            <w:r>
              <w:rPr>
                <w:rFonts w:ascii="Calibri" w:cs="Calibri" w:eastAsia="Calibri" w:hAnsi="Calibri"/>
                <w:color w:val="404040"/>
                <w:sz w:val="18"/>
                <w:szCs w:val="18"/>
              </w:rPr>
              <w:t xml:space="preserve">Distribution notice issuance — per LP amount, payment date, bank wire details, tax characterization</w:t>
            </w:r>
          </w:p>
          <w:p>
            <w:pPr>
              <w:pStyle w:val="ListParagraph"/>
              <w:numPr>
                <w:ilvl w:val="0"/>
                <w:numId w:val="1"/>
              </w:numPr>
              <w:spacing w:after="40" w:before="0"/>
            </w:pPr>
            <w:r>
              <w:rPr>
                <w:rFonts w:ascii="Calibri" w:cs="Calibri" w:eastAsia="Calibri" w:hAnsi="Calibri"/>
                <w:color w:val="404040"/>
                <w:sz w:val="18"/>
                <w:szCs w:val="18"/>
              </w:rPr>
              <w:t xml:space="preserve">Wire execution — fund administrator initiates wires from Main Fund → Feeders → LP bank accounts</w:t>
            </w:r>
          </w:p>
          <w:p>
            <w:pPr>
              <w:pStyle w:val="ListParagraph"/>
              <w:numPr>
                <w:ilvl w:val="0"/>
                <w:numId w:val="1"/>
              </w:numPr>
              <w:spacing w:after="40" w:before="0"/>
            </w:pPr>
            <w:r>
              <w:rPr>
                <w:rFonts w:ascii="Calibri" w:cs="Calibri" w:eastAsia="Calibri" w:hAnsi="Calibri"/>
                <w:color w:val="404040"/>
                <w:sz w:val="18"/>
                <w:szCs w:val="18"/>
              </w:rPr>
              <w:t xml:space="preserve">Transfer agent unit cancellation / NAV update — post-distribution LP interest balance reduced</w:t>
            </w:r>
          </w:p>
          <w:p>
            <w:pPr>
              <w:pStyle w:val="ListParagraph"/>
              <w:numPr>
                <w:ilvl w:val="0"/>
                <w:numId w:val="1"/>
              </w:numPr>
              <w:spacing w:after="40" w:before="0"/>
            </w:pPr>
            <w:r>
              <w:rPr>
                <w:rFonts w:ascii="Calibri" w:cs="Calibri" w:eastAsia="Calibri" w:hAnsi="Calibri"/>
                <w:color w:val="404040"/>
                <w:sz w:val="18"/>
                <w:szCs w:val="18"/>
              </w:rPr>
              <w:t xml:space="preserve">Tax characterization — ordinary income, short-term capital gain, long-term capital gain, return of capital</w:t>
            </w:r>
          </w:p>
          <w:p>
            <w:pPr>
              <w:pStyle w:val="ListParagraph"/>
              <w:numPr>
                <w:ilvl w:val="0"/>
                <w:numId w:val="1"/>
              </w:numPr>
              <w:spacing w:after="40" w:before="0"/>
            </w:pPr>
            <w:r>
              <w:rPr>
                <w:rFonts w:ascii="Calibri" w:cs="Calibri" w:eastAsia="Calibri" w:hAnsi="Calibri"/>
                <w:color w:val="404040"/>
                <w:sz w:val="18"/>
                <w:szCs w:val="18"/>
              </w:rPr>
              <w:t xml:space="preserve">DPI update — cumulative distributed / paid-in updated for all performance reporting</w:t>
            </w:r>
          </w:p>
        </w:tc>
        <w:tc>
          <w:tcPr>
            <w:tcW w:type="pct" w:w="20%"/>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Controller / CFO</w:t>
            </w:r>
          </w:p>
          <w:p>
            <w:pPr>
              <w:pStyle w:val="ListParagraph"/>
              <w:numPr>
                <w:ilvl w:val="0"/>
                <w:numId w:val="1"/>
              </w:numPr>
              <w:spacing w:after="40" w:before="0"/>
            </w:pPr>
            <w:r>
              <w:rPr>
                <w:rFonts w:ascii="Calibri" w:cs="Calibri" w:eastAsia="Calibri" w:hAnsi="Calibri"/>
                <w:color w:val="404040"/>
                <w:sz w:val="18"/>
                <w:szCs w:val="18"/>
              </w:rPr>
              <w:t xml:space="preserve">Fund Administrator</w:t>
            </w:r>
          </w:p>
          <w:p>
            <w:pPr>
              <w:pStyle w:val="ListParagraph"/>
              <w:numPr>
                <w:ilvl w:val="0"/>
                <w:numId w:val="1"/>
              </w:numPr>
              <w:spacing w:after="40" w:before="0"/>
            </w:pPr>
            <w:r>
              <w:rPr>
                <w:rFonts w:ascii="Calibri" w:cs="Calibri" w:eastAsia="Calibri" w:hAnsi="Calibri"/>
                <w:color w:val="404040"/>
                <w:sz w:val="18"/>
                <w:szCs w:val="18"/>
              </w:rPr>
              <w:t xml:space="preserve">Transfer Agent</w:t>
            </w:r>
          </w:p>
          <w:p>
            <w:pPr>
              <w:pStyle w:val="ListParagraph"/>
              <w:numPr>
                <w:ilvl w:val="0"/>
                <w:numId w:val="1"/>
              </w:numPr>
              <w:spacing w:after="40" w:before="0"/>
            </w:pPr>
            <w:r>
              <w:rPr>
                <w:rFonts w:ascii="Calibri" w:cs="Calibri" w:eastAsia="Calibri" w:hAnsi="Calibri"/>
                <w:color w:val="404040"/>
                <w:sz w:val="18"/>
                <w:szCs w:val="18"/>
              </w:rPr>
              <w:t xml:space="preserve">Tax Counsel</w:t>
            </w:r>
          </w:p>
          <w:p>
            <w:pPr>
              <w:pStyle w:val="ListParagraph"/>
              <w:numPr>
                <w:ilvl w:val="0"/>
                <w:numId w:val="1"/>
              </w:numPr>
              <w:spacing w:after="40" w:before="0"/>
            </w:pPr>
            <w:r>
              <w:rPr>
                <w:rFonts w:ascii="Calibri" w:cs="Calibri" w:eastAsia="Calibri" w:hAnsi="Calibri"/>
                <w:color w:val="404040"/>
                <w:sz w:val="18"/>
                <w:szCs w:val="18"/>
              </w:rPr>
              <w:t xml:space="preserve">LP Relations</w:t>
            </w:r>
          </w:p>
        </w:tc>
        <w:tc>
          <w:tcPr>
            <w:tcW w:type="pct" w:w="15%"/>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pe:Distribution</w:t>
            </w:r>
          </w:p>
          <w:p>
            <w:pPr>
              <w:pStyle w:val="ListParagraph"/>
              <w:numPr>
                <w:ilvl w:val="0"/>
                <w:numId w:val="1"/>
              </w:numPr>
              <w:spacing w:after="40" w:before="0"/>
            </w:pPr>
            <w:r>
              <w:rPr>
                <w:rFonts w:ascii="Calibri" w:cs="Calibri" w:eastAsia="Calibri" w:hAnsi="Calibri"/>
                <w:color w:val="404040"/>
                <w:sz w:val="18"/>
                <w:szCs w:val="18"/>
              </w:rPr>
              <w:t xml:space="preserve">pe:WaterfallCalculation</w:t>
            </w:r>
          </w:p>
          <w:p>
            <w:pPr>
              <w:pStyle w:val="ListParagraph"/>
              <w:numPr>
                <w:ilvl w:val="0"/>
                <w:numId w:val="1"/>
              </w:numPr>
              <w:spacing w:after="40" w:before="0"/>
            </w:pPr>
            <w:r>
              <w:rPr>
                <w:rFonts w:ascii="Calibri" w:cs="Calibri" w:eastAsia="Calibri" w:hAnsi="Calibri"/>
                <w:color w:val="404040"/>
                <w:sz w:val="18"/>
                <w:szCs w:val="18"/>
              </w:rPr>
              <w:t xml:space="preserve">pe:CarryAccrual</w:t>
            </w:r>
          </w:p>
          <w:p>
            <w:pPr>
              <w:pStyle w:val="ListParagraph"/>
              <w:numPr>
                <w:ilvl w:val="0"/>
                <w:numId w:val="1"/>
              </w:numPr>
              <w:spacing w:after="40" w:before="0"/>
            </w:pPr>
            <w:r>
              <w:rPr>
                <w:rFonts w:ascii="Calibri" w:cs="Calibri" w:eastAsia="Calibri" w:hAnsi="Calibri"/>
                <w:color w:val="404040"/>
                <w:sz w:val="18"/>
                <w:szCs w:val="18"/>
              </w:rPr>
              <w:t xml:space="preserve">pe:ClawbackReserve</w:t>
            </w:r>
          </w:p>
        </w:tc>
      </w:tr>
    </w:tbl>
    <w:p>
      <w:pPr>
        <w:spacing w:after="160" w:before="0"/>
      </w:pPr>
      <w:r>
        <w:t xml:space="preserve"/>
      </w:r>
    </w:p>
    <w:p>
      <w:pPr>
        <w:spacing w:after="80" w:before="200"/>
      </w:pPr>
      <w:r>
        <w:rPr>
          <w:rFonts w:ascii="Calibri" w:cs="Calibri" w:eastAsia="Calibri" w:hAnsi="Calibri"/>
          <w:b/>
          <w:bCs/>
          <w:color w:val="1F3864"/>
          <w:sz w:val="24"/>
          <w:szCs w:val="24"/>
        </w:rPr>
        <w:t xml:space="preserve">Reporting Outputs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tblGrid>
      <w:tr>
        <w:trPr>
          <w:tblHeader/>
        </w:trPr>
        <w:tc>
          <w:tcPr>
            <w:tcW w:type="pct" w:w="5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Report / Output</w:t>
            </w:r>
          </w:p>
        </w:tc>
        <w:tc>
          <w:tcPr>
            <w:tcW w:type="pct" w:w="5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Data Flow</w:t>
            </w:r>
          </w:p>
        </w:tc>
      </w:tr>
      <w:tr>
        <w:tc>
          <w:tcPr>
            <w:tcW w:type="pct" w:w="50%"/>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Waterfall calculation workpaper — step-by-step with amounts at each tier</w:t>
            </w:r>
          </w:p>
          <w:p>
            <w:pPr>
              <w:pStyle w:val="ListParagraph"/>
              <w:numPr>
                <w:ilvl w:val="0"/>
                <w:numId w:val="1"/>
              </w:numPr>
              <w:spacing w:after="40" w:before="0"/>
            </w:pPr>
            <w:r>
              <w:rPr>
                <w:rFonts w:ascii="Calibri" w:cs="Calibri" w:eastAsia="Calibri" w:hAnsi="Calibri"/>
                <w:color w:val="404040"/>
                <w:sz w:val="18"/>
                <w:szCs w:val="18"/>
              </w:rPr>
              <w:t xml:space="preserve">Carry accrual and earned-to-date report</w:t>
            </w:r>
          </w:p>
          <w:p>
            <w:pPr>
              <w:pStyle w:val="ListParagraph"/>
              <w:numPr>
                <w:ilvl w:val="0"/>
                <w:numId w:val="1"/>
              </w:numPr>
              <w:spacing w:after="40" w:before="0"/>
            </w:pPr>
            <w:r>
              <w:rPr>
                <w:rFonts w:ascii="Calibri" w:cs="Calibri" w:eastAsia="Calibri" w:hAnsi="Calibri"/>
                <w:color w:val="404040"/>
                <w:sz w:val="18"/>
                <w:szCs w:val="18"/>
              </w:rPr>
              <w:t xml:space="preserve">Clawback exposure report — potential GP obligation if exits disappoint</w:t>
            </w:r>
          </w:p>
          <w:p>
            <w:pPr>
              <w:pStyle w:val="ListParagraph"/>
              <w:numPr>
                <w:ilvl w:val="0"/>
                <w:numId w:val="1"/>
              </w:numPr>
              <w:spacing w:after="40" w:before="0"/>
            </w:pPr>
            <w:r>
              <w:rPr>
                <w:rFonts w:ascii="Calibri" w:cs="Calibri" w:eastAsia="Calibri" w:hAnsi="Calibri"/>
                <w:color w:val="404040"/>
                <w:sz w:val="18"/>
                <w:szCs w:val="18"/>
              </w:rPr>
              <w:t xml:space="preserve">LP distribution notice — amount, wire details, tax characterization per LP</w:t>
            </w:r>
          </w:p>
          <w:p>
            <w:pPr>
              <w:pStyle w:val="ListParagraph"/>
              <w:numPr>
                <w:ilvl w:val="0"/>
                <w:numId w:val="1"/>
              </w:numPr>
              <w:spacing w:after="40" w:before="0"/>
            </w:pPr>
            <w:r>
              <w:rPr>
                <w:rFonts w:ascii="Calibri" w:cs="Calibri" w:eastAsia="Calibri" w:hAnsi="Calibri"/>
                <w:color w:val="404040"/>
                <w:sz w:val="18"/>
                <w:szCs w:val="18"/>
              </w:rPr>
              <w:t xml:space="preserve">Distribution history per LP — all distributions since inception by type</w:t>
            </w:r>
          </w:p>
          <w:p>
            <w:pPr>
              <w:pStyle w:val="ListParagraph"/>
              <w:numPr>
                <w:ilvl w:val="0"/>
                <w:numId w:val="1"/>
              </w:numPr>
              <w:spacing w:after="40" w:before="0"/>
            </w:pPr>
            <w:r>
              <w:rPr>
                <w:rFonts w:ascii="Calibri" w:cs="Calibri" w:eastAsia="Calibri" w:hAnsi="Calibri"/>
                <w:color w:val="404040"/>
                <w:sz w:val="18"/>
                <w:szCs w:val="18"/>
              </w:rPr>
              <w:t xml:space="preserve">DPI progression over fund life — cumulative distributed / paid-in</w:t>
            </w:r>
          </w:p>
          <w:p>
            <w:pPr>
              <w:pStyle w:val="ListParagraph"/>
              <w:numPr>
                <w:ilvl w:val="0"/>
                <w:numId w:val="1"/>
              </w:numPr>
              <w:spacing w:after="40" w:before="0"/>
            </w:pPr>
            <w:r>
              <w:rPr>
                <w:rFonts w:ascii="Calibri" w:cs="Calibri" w:eastAsia="Calibri" w:hAnsi="Calibri"/>
                <w:color w:val="404040"/>
                <w:sz w:val="18"/>
                <w:szCs w:val="18"/>
              </w:rPr>
              <w:t xml:space="preserve">Tax distribution report — ordinary income, capital gains, UBTI per LP</w:t>
            </w:r>
          </w:p>
        </w:tc>
        <w:tc>
          <w:tcPr>
            <w:tcW w:type="pct" w:w="50%"/>
            <w:tcMar>
              <w:top w:type="dxa" w:w="50"/>
              <w:left w:type="dxa" w:w="80"/>
              <w:bottom w:type="dxa" w:w="50"/>
              <w:right w:type="dxa" w:w="80"/>
            </w:tcMar>
          </w:tcPr>
          <w:p>
            <w:r>
              <w:rPr>
                <w:rFonts w:ascii="Calibri" w:cs="Calibri" w:eastAsia="Calibri" w:hAnsi="Calibri"/>
                <w:color w:val="404040"/>
                <w:sz w:val="19"/>
                <w:szCs w:val="19"/>
              </w:rPr>
              <w:t xml:space="preserve">Exit proceeds → Waterfall calculation → Distribution notices → LP wires → Tax reporting</w:t>
            </w:r>
          </w:p>
        </w:tc>
      </w:tr>
    </w:tbl>
    <w:p>
      <w:pPr>
        <w:spacing w:after="160" w:before="0"/>
      </w:pPr>
      <w:r>
        <w:t xml:space="preserve"/>
      </w:r>
    </w:p>
    <w:p>
      <w:r>
        <w:br w:type="page"/>
      </w:r>
    </w:p>
    <w:p>
      <w:pPr>
        <w:pStyle w:val="Heading2"/>
        <w:spacing w:after="120" w:before="320"/>
      </w:pPr>
      <w:r>
        <w:t xml:space="preserve">G.11  Fund Wind-Down &amp; Dissolution</w:t>
      </w:r>
    </w:p>
    <w:p>
      <w:pPr>
        <w:spacing w:after="120" w:before="0"/>
      </w:pPr>
      <w:r>
        <w:rPr>
          <w:rFonts w:ascii="Calibri" w:cs="Calibri" w:eastAsia="Calibri" w:hAnsi="Calibri"/>
          <w:color w:val="404040"/>
          <w:sz w:val="22"/>
          <w:szCs w:val="22"/>
        </w:rPr>
        <w:t xml:space="preserve">After the commitment period expires and substantially all investments have been realised, the GP winds down the fund. This involves final audits, tax reporting, GP clawback true-up, and dissolution of all fund entities.</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tblGrid>
      <w:tr>
        <w:trPr>
          <w:tblHeader/>
        </w:trPr>
        <w:tc>
          <w:tcPr>
            <w:tcW w:type="pct" w:w="65%"/>
            <w:shd w:fill="404040" w:color="404040" w:val="clear"/>
            <w:tcMar>
              <w:top w:type="dxa" w:w="60"/>
              <w:left w:type="dxa" w:w="80"/>
              <w:bottom w:type="dxa" w:w="60"/>
              <w:right w:type="dxa" w:w="80"/>
            </w:tcMar>
          </w:tcPr>
          <w:p>
            <w:r>
              <w:rPr>
                <w:rFonts w:ascii="Calibri" w:cs="Calibri" w:eastAsia="Calibri" w:hAnsi="Calibri"/>
                <w:b/>
                <w:bCs/>
                <w:color w:val="FFFFFF"/>
                <w:sz w:val="18"/>
                <w:szCs w:val="18"/>
              </w:rPr>
              <w:t xml:space="preserve">Key Activities</w:t>
            </w:r>
          </w:p>
        </w:tc>
        <w:tc>
          <w:tcPr>
            <w:tcW w:type="pct" w:w="20%"/>
            <w:shd w:fill="404040" w:color="404040" w:val="clear"/>
            <w:tcMar>
              <w:top w:type="dxa" w:w="60"/>
              <w:left w:type="dxa" w:w="80"/>
              <w:bottom w:type="dxa" w:w="60"/>
              <w:right w:type="dxa" w:w="80"/>
            </w:tcMar>
          </w:tcPr>
          <w:p>
            <w:r>
              <w:rPr>
                <w:rFonts w:ascii="Calibri" w:cs="Calibri" w:eastAsia="Calibri" w:hAnsi="Calibri"/>
                <w:b/>
                <w:bCs/>
                <w:color w:val="FFFFFF"/>
                <w:sz w:val="18"/>
                <w:szCs w:val="18"/>
              </w:rPr>
              <w:t xml:space="preserve">Participants</w:t>
            </w:r>
          </w:p>
        </w:tc>
        <w:tc>
          <w:tcPr>
            <w:tcW w:type="pct" w:w="15%"/>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Data Objects</w:t>
            </w:r>
          </w:p>
        </w:tc>
      </w:tr>
      <w:tr>
        <w:tc>
          <w:tcPr>
            <w:tcW w:type="pct" w:w="65%"/>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Commitment period expiry — formal close of investment period; no new investments except approved follow-ons</w:t>
            </w:r>
          </w:p>
          <w:p>
            <w:pPr>
              <w:pStyle w:val="ListParagraph"/>
              <w:numPr>
                <w:ilvl w:val="0"/>
                <w:numId w:val="1"/>
              </w:numPr>
              <w:spacing w:after="40" w:before="0"/>
            </w:pPr>
            <w:r>
              <w:rPr>
                <w:rFonts w:ascii="Calibri" w:cs="Calibri" w:eastAsia="Calibri" w:hAnsi="Calibri"/>
                <w:color w:val="404040"/>
                <w:sz w:val="18"/>
                <w:szCs w:val="18"/>
              </w:rPr>
              <w:t xml:space="preserve">Fund term extensions — LP advisory committee vote for 1–2 year extensions if unrealised assets remain</w:t>
            </w:r>
          </w:p>
          <w:p>
            <w:pPr>
              <w:pStyle w:val="ListParagraph"/>
              <w:numPr>
                <w:ilvl w:val="0"/>
                <w:numId w:val="1"/>
              </w:numPr>
              <w:spacing w:after="40" w:before="0"/>
            </w:pPr>
            <w:r>
              <w:rPr>
                <w:rFonts w:ascii="Calibri" w:cs="Calibri" w:eastAsia="Calibri" w:hAnsi="Calibri"/>
                <w:color w:val="404040"/>
                <w:sz w:val="18"/>
                <w:szCs w:val="18"/>
              </w:rPr>
              <w:t xml:space="preserve">Final portfolio realization — sell remaining holdings; wind down any restructured positions</w:t>
            </w:r>
          </w:p>
          <w:p>
            <w:pPr>
              <w:pStyle w:val="ListParagraph"/>
              <w:numPr>
                <w:ilvl w:val="0"/>
                <w:numId w:val="1"/>
              </w:numPr>
              <w:spacing w:after="40" w:before="0"/>
            </w:pPr>
            <w:r>
              <w:rPr>
                <w:rFonts w:ascii="Calibri" w:cs="Calibri" w:eastAsia="Calibri" w:hAnsi="Calibri"/>
                <w:color w:val="404040"/>
                <w:sz w:val="18"/>
                <w:szCs w:val="18"/>
              </w:rPr>
              <w:t xml:space="preserve">Final audit — GAAP / IFRS financial statements; sign-off by independent auditor</w:t>
            </w:r>
          </w:p>
          <w:p>
            <w:pPr>
              <w:pStyle w:val="ListParagraph"/>
              <w:numPr>
                <w:ilvl w:val="0"/>
                <w:numId w:val="1"/>
              </w:numPr>
              <w:spacing w:after="40" w:before="0"/>
            </w:pPr>
            <w:r>
              <w:rPr>
                <w:rFonts w:ascii="Calibri" w:cs="Calibri" w:eastAsia="Calibri" w:hAnsi="Calibri"/>
                <w:color w:val="404040"/>
                <w:sz w:val="18"/>
                <w:szCs w:val="18"/>
              </w:rPr>
              <w:t xml:space="preserve">Final LP capital account reconciliation — confirm all LPs reach zero net funded balance after final distributions</w:t>
            </w:r>
          </w:p>
          <w:p>
            <w:pPr>
              <w:pStyle w:val="ListParagraph"/>
              <w:numPr>
                <w:ilvl w:val="0"/>
                <w:numId w:val="1"/>
              </w:numPr>
              <w:spacing w:after="40" w:before="0"/>
            </w:pPr>
            <w:r>
              <w:rPr>
                <w:rFonts w:ascii="Calibri" w:cs="Calibri" w:eastAsia="Calibri" w:hAnsi="Calibri"/>
                <w:color w:val="404040"/>
                <w:sz w:val="18"/>
                <w:szCs w:val="18"/>
              </w:rPr>
              <w:t xml:space="preserve">GP clawback true-up — if GP received excess carry over fund life, repay difference to LPs</w:t>
            </w:r>
          </w:p>
          <w:p>
            <w:pPr>
              <w:pStyle w:val="ListParagraph"/>
              <w:numPr>
                <w:ilvl w:val="0"/>
                <w:numId w:val="1"/>
              </w:numPr>
              <w:spacing w:after="40" w:before="0"/>
            </w:pPr>
            <w:r>
              <w:rPr>
                <w:rFonts w:ascii="Calibri" w:cs="Calibri" w:eastAsia="Calibri" w:hAnsi="Calibri"/>
                <w:color w:val="404040"/>
                <w:sz w:val="18"/>
                <w:szCs w:val="18"/>
              </w:rPr>
              <w:t xml:space="preserve">Final tax reporting — last-year Form 1065, K-1 to all LPs; PFIC final statements; state returns</w:t>
            </w:r>
          </w:p>
          <w:p>
            <w:pPr>
              <w:pStyle w:val="ListParagraph"/>
              <w:numPr>
                <w:ilvl w:val="0"/>
                <w:numId w:val="1"/>
              </w:numPr>
              <w:spacing w:after="40" w:before="0"/>
            </w:pPr>
            <w:r>
              <w:rPr>
                <w:rFonts w:ascii="Calibri" w:cs="Calibri" w:eastAsia="Calibri" w:hAnsi="Calibri"/>
                <w:color w:val="404040"/>
                <w:sz w:val="18"/>
                <w:szCs w:val="18"/>
              </w:rPr>
              <w:t xml:space="preserve">Fund entity dissolution — file dissolution / winding-up with Cayman Registry, Delaware SOS</w:t>
            </w:r>
          </w:p>
          <w:p>
            <w:pPr>
              <w:pStyle w:val="ListParagraph"/>
              <w:numPr>
                <w:ilvl w:val="0"/>
                <w:numId w:val="1"/>
              </w:numPr>
              <w:spacing w:after="40" w:before="0"/>
            </w:pPr>
            <w:r>
              <w:rPr>
                <w:rFonts w:ascii="Calibri" w:cs="Calibri" w:eastAsia="Calibri" w:hAnsi="Calibri"/>
                <w:color w:val="404040"/>
                <w:sz w:val="18"/>
                <w:szCs w:val="18"/>
              </w:rPr>
              <w:t xml:space="preserve">Regulatory de-registration — Form ADV update (remove fund), CIMA de-registration, AIFMD notification</w:t>
            </w:r>
          </w:p>
        </w:tc>
        <w:tc>
          <w:tcPr>
            <w:tcW w:type="pct" w:w="20%"/>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GP / Managing Partner</w:t>
            </w:r>
          </w:p>
          <w:p>
            <w:pPr>
              <w:pStyle w:val="ListParagraph"/>
              <w:numPr>
                <w:ilvl w:val="0"/>
                <w:numId w:val="1"/>
              </w:numPr>
              <w:spacing w:after="40" w:before="0"/>
            </w:pPr>
            <w:r>
              <w:rPr>
                <w:rFonts w:ascii="Calibri" w:cs="Calibri" w:eastAsia="Calibri" w:hAnsi="Calibri"/>
                <w:color w:val="404040"/>
                <w:sz w:val="18"/>
                <w:szCs w:val="18"/>
              </w:rPr>
              <w:t xml:space="preserve">Legal Counsel</w:t>
            </w:r>
          </w:p>
          <w:p>
            <w:pPr>
              <w:pStyle w:val="ListParagraph"/>
              <w:numPr>
                <w:ilvl w:val="0"/>
                <w:numId w:val="1"/>
              </w:numPr>
              <w:spacing w:after="40" w:before="0"/>
            </w:pPr>
            <w:r>
              <w:rPr>
                <w:rFonts w:ascii="Calibri" w:cs="Calibri" w:eastAsia="Calibri" w:hAnsi="Calibri"/>
                <w:color w:val="404040"/>
                <w:sz w:val="18"/>
                <w:szCs w:val="18"/>
              </w:rPr>
              <w:t xml:space="preserve">Auditor</w:t>
            </w:r>
          </w:p>
          <w:p>
            <w:pPr>
              <w:pStyle w:val="ListParagraph"/>
              <w:numPr>
                <w:ilvl w:val="0"/>
                <w:numId w:val="1"/>
              </w:numPr>
              <w:spacing w:after="40" w:before="0"/>
            </w:pPr>
            <w:r>
              <w:rPr>
                <w:rFonts w:ascii="Calibri" w:cs="Calibri" w:eastAsia="Calibri" w:hAnsi="Calibri"/>
                <w:color w:val="404040"/>
                <w:sz w:val="18"/>
                <w:szCs w:val="18"/>
              </w:rPr>
              <w:t xml:space="preserve">Tax Counsel</w:t>
            </w:r>
          </w:p>
          <w:p>
            <w:pPr>
              <w:pStyle w:val="ListParagraph"/>
              <w:numPr>
                <w:ilvl w:val="0"/>
                <w:numId w:val="1"/>
              </w:numPr>
              <w:spacing w:after="40" w:before="0"/>
            </w:pPr>
            <w:r>
              <w:rPr>
                <w:rFonts w:ascii="Calibri" w:cs="Calibri" w:eastAsia="Calibri" w:hAnsi="Calibri"/>
                <w:color w:val="404040"/>
                <w:sz w:val="18"/>
                <w:szCs w:val="18"/>
              </w:rPr>
              <w:t xml:space="preserve">Fund Administrator</w:t>
            </w:r>
          </w:p>
          <w:p>
            <w:pPr>
              <w:pStyle w:val="ListParagraph"/>
              <w:numPr>
                <w:ilvl w:val="0"/>
                <w:numId w:val="1"/>
              </w:numPr>
              <w:spacing w:after="40" w:before="0"/>
            </w:pPr>
            <w:r>
              <w:rPr>
                <w:rFonts w:ascii="Calibri" w:cs="Calibri" w:eastAsia="Calibri" w:hAnsi="Calibri"/>
                <w:color w:val="404040"/>
                <w:sz w:val="18"/>
                <w:szCs w:val="18"/>
              </w:rPr>
              <w:t xml:space="preserve">LP Advisory Committee</w:t>
            </w:r>
          </w:p>
        </w:tc>
        <w:tc>
          <w:tcPr>
            <w:tcW w:type="pct" w:w="15%"/>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pe:Fund (status: WindingDown → Dissolved)</w:t>
            </w:r>
          </w:p>
          <w:p>
            <w:pPr>
              <w:pStyle w:val="ListParagraph"/>
              <w:numPr>
                <w:ilvl w:val="0"/>
                <w:numId w:val="1"/>
              </w:numPr>
              <w:spacing w:after="40" w:before="0"/>
            </w:pPr>
            <w:r>
              <w:rPr>
                <w:rFonts w:ascii="Calibri" w:cs="Calibri" w:eastAsia="Calibri" w:hAnsi="Calibri"/>
                <w:color w:val="404040"/>
                <w:sz w:val="18"/>
                <w:szCs w:val="18"/>
              </w:rPr>
              <w:t xml:space="preserve">pe:FinalDistribution</w:t>
            </w:r>
          </w:p>
          <w:p>
            <w:pPr>
              <w:pStyle w:val="ListParagraph"/>
              <w:numPr>
                <w:ilvl w:val="0"/>
                <w:numId w:val="1"/>
              </w:numPr>
              <w:spacing w:after="40" w:before="0"/>
            </w:pPr>
            <w:r>
              <w:rPr>
                <w:rFonts w:ascii="Calibri" w:cs="Calibri" w:eastAsia="Calibri" w:hAnsi="Calibri"/>
                <w:color w:val="404040"/>
                <w:sz w:val="18"/>
                <w:szCs w:val="18"/>
              </w:rPr>
              <w:t xml:space="preserve">pe:ClawbackSettlement</w:t>
            </w:r>
          </w:p>
        </w:tc>
      </w:tr>
    </w:tbl>
    <w:p>
      <w:pPr>
        <w:spacing w:after="160" w:before="0"/>
      </w:pPr>
      <w:r>
        <w:t xml:space="preserve"/>
      </w:r>
    </w:p>
    <w:p>
      <w:pPr>
        <w:spacing w:after="80" w:before="200"/>
      </w:pPr>
      <w:r>
        <w:rPr>
          <w:rFonts w:ascii="Calibri" w:cs="Calibri" w:eastAsia="Calibri" w:hAnsi="Calibri"/>
          <w:b/>
          <w:bCs/>
          <w:color w:val="1F3864"/>
          <w:sz w:val="24"/>
          <w:szCs w:val="24"/>
        </w:rPr>
        <w:t xml:space="preserve">Reporting Outputs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tblGrid>
      <w:tr>
        <w:trPr>
          <w:tblHeader/>
        </w:trPr>
        <w:tc>
          <w:tcPr>
            <w:tcW w:type="pct" w:w="5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Report / Output</w:t>
            </w:r>
          </w:p>
        </w:tc>
        <w:tc>
          <w:tcPr>
            <w:tcW w:type="pct" w:w="5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Data Flow</w:t>
            </w:r>
          </w:p>
        </w:tc>
      </w:tr>
      <w:tr>
        <w:tc>
          <w:tcPr>
            <w:tcW w:type="pct" w:w="50%"/>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Final portfolio realization summary — all exits, proceeds, G/L, holding periods</w:t>
            </w:r>
          </w:p>
          <w:p>
            <w:pPr>
              <w:pStyle w:val="ListParagraph"/>
              <w:numPr>
                <w:ilvl w:val="0"/>
                <w:numId w:val="1"/>
              </w:numPr>
              <w:spacing w:after="40" w:before="0"/>
            </w:pPr>
            <w:r>
              <w:rPr>
                <w:rFonts w:ascii="Calibri" w:cs="Calibri" w:eastAsia="Calibri" w:hAnsi="Calibri"/>
                <w:color w:val="404040"/>
                <w:sz w:val="18"/>
                <w:szCs w:val="18"/>
              </w:rPr>
              <w:t xml:space="preserve">Terminal fund performance report — final net IRR, TVPI, DPI (all 1.00x RVPI)</w:t>
            </w:r>
          </w:p>
          <w:p>
            <w:pPr>
              <w:pStyle w:val="ListParagraph"/>
              <w:numPr>
                <w:ilvl w:val="0"/>
                <w:numId w:val="1"/>
              </w:numPr>
              <w:spacing w:after="40" w:before="0"/>
            </w:pPr>
            <w:r>
              <w:rPr>
                <w:rFonts w:ascii="Calibri" w:cs="Calibri" w:eastAsia="Calibri" w:hAnsi="Calibri"/>
                <w:color w:val="404040"/>
                <w:sz w:val="18"/>
                <w:szCs w:val="18"/>
              </w:rPr>
              <w:t xml:space="preserve">GP clawback true-up calculation and settlement record</w:t>
            </w:r>
          </w:p>
          <w:p>
            <w:pPr>
              <w:pStyle w:val="ListParagraph"/>
              <w:numPr>
                <w:ilvl w:val="0"/>
                <w:numId w:val="1"/>
              </w:numPr>
              <w:spacing w:after="40" w:before="0"/>
            </w:pPr>
            <w:r>
              <w:rPr>
                <w:rFonts w:ascii="Calibri" w:cs="Calibri" w:eastAsia="Calibri" w:hAnsi="Calibri"/>
                <w:color w:val="404040"/>
                <w:sz w:val="18"/>
                <w:szCs w:val="18"/>
              </w:rPr>
              <w:t xml:space="preserve">Final LP capital account reconciliation — zero balance confirmation per LP</w:t>
            </w:r>
          </w:p>
          <w:p>
            <w:pPr>
              <w:pStyle w:val="ListParagraph"/>
              <w:numPr>
                <w:ilvl w:val="0"/>
                <w:numId w:val="1"/>
              </w:numPr>
              <w:spacing w:after="40" w:before="0"/>
            </w:pPr>
            <w:r>
              <w:rPr>
                <w:rFonts w:ascii="Calibri" w:cs="Calibri" w:eastAsia="Calibri" w:hAnsi="Calibri"/>
                <w:color w:val="404040"/>
                <w:sz w:val="18"/>
                <w:szCs w:val="18"/>
              </w:rPr>
              <w:t xml:space="preserve">Final tax package — Form 1065, K-1 per LP, PFIC statements</w:t>
            </w:r>
          </w:p>
          <w:p>
            <w:pPr>
              <w:pStyle w:val="ListParagraph"/>
              <w:numPr>
                <w:ilvl w:val="0"/>
                <w:numId w:val="1"/>
              </w:numPr>
              <w:spacing w:after="40" w:before="0"/>
            </w:pPr>
            <w:r>
              <w:rPr>
                <w:rFonts w:ascii="Calibri" w:cs="Calibri" w:eastAsia="Calibri" w:hAnsi="Calibri"/>
                <w:color w:val="404040"/>
                <w:sz w:val="18"/>
                <w:szCs w:val="18"/>
              </w:rPr>
              <w:t xml:space="preserve">Fund dissolution timeline and entity liquidation tracker</w:t>
            </w:r>
          </w:p>
          <w:p>
            <w:pPr>
              <w:pStyle w:val="ListParagraph"/>
              <w:numPr>
                <w:ilvl w:val="0"/>
                <w:numId w:val="1"/>
              </w:numPr>
              <w:spacing w:after="40" w:before="0"/>
            </w:pPr>
            <w:r>
              <w:rPr>
                <w:rFonts w:ascii="Calibri" w:cs="Calibri" w:eastAsia="Calibri" w:hAnsi="Calibri"/>
                <w:color w:val="404040"/>
                <w:sz w:val="18"/>
                <w:szCs w:val="18"/>
              </w:rPr>
              <w:t xml:space="preserve">Regulatory de-registration confirmation log</w:t>
            </w:r>
          </w:p>
        </w:tc>
        <w:tc>
          <w:tcPr>
            <w:tcW w:type="pct" w:w="50%"/>
            <w:tcMar>
              <w:top w:type="dxa" w:w="50"/>
              <w:left w:type="dxa" w:w="80"/>
              <w:bottom w:type="dxa" w:w="50"/>
              <w:right w:type="dxa" w:w="80"/>
            </w:tcMar>
          </w:tcPr>
          <w:p>
            <w:r>
              <w:rPr>
                <w:rFonts w:ascii="Calibri" w:cs="Calibri" w:eastAsia="Calibri" w:hAnsi="Calibri"/>
                <w:color w:val="404040"/>
                <w:sz w:val="19"/>
                <w:szCs w:val="19"/>
              </w:rPr>
              <w:t xml:space="preserve">Final exits → Clawback calculation → Final distributions → Entity dissolution → Regulatory de-registration</w:t>
            </w:r>
          </w:p>
        </w:tc>
      </w:tr>
    </w:tbl>
    <w:p>
      <w:pPr>
        <w:spacing w:after="160" w:before="0"/>
      </w:pPr>
      <w:r>
        <w:t xml:space="preserve"/>
      </w:r>
    </w:p>
    <w:p>
      <w:r>
        <w:br w:type="page"/>
      </w:r>
    </w:p>
    <w:p>
      <w:pPr>
        <w:pStyle w:val="Heading2"/>
        <w:spacing w:after="120" w:before="320"/>
      </w:pPr>
      <w:r>
        <w:t xml:space="preserve">G.12  Cross-Cutting Firm-Level Reports</w:t>
      </w:r>
    </w:p>
    <w:p>
      <w:pPr>
        <w:spacing w:after="120" w:before="0"/>
      </w:pPr>
      <w:r>
        <w:rPr>
          <w:rFonts w:ascii="Calibri" w:cs="Calibri" w:eastAsia="Calibri" w:hAnsi="Calibri"/>
          <w:color w:val="404040"/>
          <w:sz w:val="22"/>
          <w:szCs w:val="22"/>
        </w:rPr>
        <w:t xml:space="preserve">The following reports span multiple lifecycle phases and are typically produced by the CFO or COO office. They aggregate data across all funds and strategies to give senior management a firm-wide view.</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tblGrid>
      <w:tr>
        <w:trPr>
          <w:tblHeader/>
        </w:trPr>
        <w:tc>
          <w:tcPr>
            <w:tcW w:type="pct" w:w="28%"/>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Report</w:t>
            </w:r>
          </w:p>
        </w:tc>
        <w:tc>
          <w:tcPr>
            <w:tcW w:type="pct" w:w="16%"/>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Owner</w:t>
            </w:r>
          </w:p>
        </w:tc>
        <w:tc>
          <w:tcPr>
            <w:tcW w:type="pct" w:w="12%"/>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Frequency</w:t>
            </w:r>
          </w:p>
        </w:tc>
        <w:tc>
          <w:tcPr>
            <w:tcW w:type="pct" w:w="44%"/>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Content</w:t>
            </w:r>
          </w:p>
        </w:tc>
      </w:tr>
      <w:tr>
        <w:tc>
          <w:tcPr>
            <w:tcW w:type="pct" w:w="28%"/>
            <w:tcMar>
              <w:top w:type="dxa" w:w="50"/>
              <w:left w:type="dxa" w:w="80"/>
              <w:bottom w:type="dxa" w:w="50"/>
              <w:right w:type="dxa" w:w="80"/>
            </w:tcMar>
          </w:tcPr>
          <w:p>
            <w:r>
              <w:rPr>
                <w:rFonts w:ascii="Calibri" w:cs="Calibri" w:eastAsia="Calibri" w:hAnsi="Calibri"/>
                <w:b/>
                <w:bCs/>
                <w:color w:val="1F3864"/>
                <w:sz w:val="19"/>
                <w:szCs w:val="19"/>
              </w:rPr>
              <w:t xml:space="preserve">AUM Report</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CFO / COO</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Monthly</w:t>
            </w:r>
          </w:p>
        </w:tc>
        <w:tc>
          <w:tcPr>
            <w:tcW w:type="pct" w:w="44%"/>
            <w:tcMar>
              <w:top w:type="dxa" w:w="50"/>
              <w:left w:type="dxa" w:w="80"/>
              <w:bottom w:type="dxa" w:w="50"/>
              <w:right w:type="dxa" w:w="80"/>
            </w:tcMar>
          </w:tcPr>
          <w:p>
            <w:r>
              <w:rPr>
                <w:rFonts w:ascii="Calibri" w:cs="Calibri" w:eastAsia="Calibri" w:hAnsi="Calibri"/>
                <w:color w:val="404040"/>
                <w:sz w:val="19"/>
                <w:szCs w:val="19"/>
              </w:rPr>
              <w:t xml:space="preserve">Committed, invested, and NAV-based AUM by strategy, fund, and vintage year</w:t>
            </w:r>
          </w:p>
        </w:tc>
      </w:tr>
      <w:tr>
        <w:tc>
          <w:tcPr>
            <w:tcW w:type="pct" w:w="28%"/>
            <w:tcMar>
              <w:top w:type="dxa" w:w="50"/>
              <w:left w:type="dxa" w:w="80"/>
              <w:bottom w:type="dxa" w:w="50"/>
              <w:right w:type="dxa" w:w="80"/>
            </w:tcMar>
          </w:tcPr>
          <w:p>
            <w:r>
              <w:rPr>
                <w:rFonts w:ascii="Calibri" w:cs="Calibri" w:eastAsia="Calibri" w:hAnsi="Calibri"/>
                <w:b/>
                <w:bCs/>
                <w:color w:val="1F3864"/>
                <w:sz w:val="19"/>
                <w:szCs w:val="19"/>
              </w:rPr>
              <w:t xml:space="preserve">Dry Powder Report</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CFO / COO</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Monthly</w:t>
            </w:r>
          </w:p>
        </w:tc>
        <w:tc>
          <w:tcPr>
            <w:tcW w:type="pct" w:w="44%"/>
            <w:tcMar>
              <w:top w:type="dxa" w:w="50"/>
              <w:left w:type="dxa" w:w="80"/>
              <w:bottom w:type="dxa" w:w="50"/>
              <w:right w:type="dxa" w:w="80"/>
            </w:tcMar>
          </w:tcPr>
          <w:p>
            <w:r>
              <w:rPr>
                <w:rFonts w:ascii="Calibri" w:cs="Calibri" w:eastAsia="Calibri" w:hAnsi="Calibri"/>
                <w:color w:val="404040"/>
                <w:sz w:val="19"/>
                <w:szCs w:val="19"/>
              </w:rPr>
              <w:t xml:space="preserve">Unfunded commitments available to call across all active funds</w:t>
            </w:r>
          </w:p>
        </w:tc>
      </w:tr>
      <w:tr>
        <w:tc>
          <w:tcPr>
            <w:tcW w:type="pct" w:w="28%"/>
            <w:tcMar>
              <w:top w:type="dxa" w:w="50"/>
              <w:left w:type="dxa" w:w="80"/>
              <w:bottom w:type="dxa" w:w="50"/>
              <w:right w:type="dxa" w:w="80"/>
            </w:tcMar>
          </w:tcPr>
          <w:p>
            <w:r>
              <w:rPr>
                <w:rFonts w:ascii="Calibri" w:cs="Calibri" w:eastAsia="Calibri" w:hAnsi="Calibri"/>
                <w:b/>
                <w:bCs/>
                <w:color w:val="1F3864"/>
                <w:sz w:val="19"/>
                <w:szCs w:val="19"/>
              </w:rPr>
              <w:t xml:space="preserve">Vintage Year Performance Benchmarking</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Investment / IR</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Quarterly</w:t>
            </w:r>
          </w:p>
        </w:tc>
        <w:tc>
          <w:tcPr>
            <w:tcW w:type="pct" w:w="44%"/>
            <w:tcMar>
              <w:top w:type="dxa" w:w="50"/>
              <w:left w:type="dxa" w:w="80"/>
              <w:bottom w:type="dxa" w:w="50"/>
              <w:right w:type="dxa" w:w="80"/>
            </w:tcMar>
          </w:tcPr>
          <w:p>
            <w:r>
              <w:rPr>
                <w:rFonts w:ascii="Calibri" w:cs="Calibri" w:eastAsia="Calibri" w:hAnsi="Calibri"/>
                <w:color w:val="404040"/>
                <w:sz w:val="19"/>
                <w:szCs w:val="19"/>
              </w:rPr>
              <w:t xml:space="preserve">Fund IRR, TVPI, DPI vs. Cambridge, Preqin, or custom peer set by vintage</w:t>
            </w:r>
          </w:p>
        </w:tc>
      </w:tr>
      <w:tr>
        <w:tc>
          <w:tcPr>
            <w:tcW w:type="pct" w:w="28%"/>
            <w:tcMar>
              <w:top w:type="dxa" w:w="50"/>
              <w:left w:type="dxa" w:w="80"/>
              <w:bottom w:type="dxa" w:w="50"/>
              <w:right w:type="dxa" w:w="80"/>
            </w:tcMar>
          </w:tcPr>
          <w:p>
            <w:r>
              <w:rPr>
                <w:rFonts w:ascii="Calibri" w:cs="Calibri" w:eastAsia="Calibri" w:hAnsi="Calibri"/>
                <w:b/>
                <w:bCs/>
                <w:color w:val="1F3864"/>
                <w:sz w:val="19"/>
                <w:szCs w:val="19"/>
              </w:rPr>
              <w:t xml:space="preserve">LP Relationship CRM Report</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IR / BD</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Monthly</w:t>
            </w:r>
          </w:p>
        </w:tc>
        <w:tc>
          <w:tcPr>
            <w:tcW w:type="pct" w:w="44%"/>
            <w:tcMar>
              <w:top w:type="dxa" w:w="50"/>
              <w:left w:type="dxa" w:w="80"/>
              <w:bottom w:type="dxa" w:w="50"/>
              <w:right w:type="dxa" w:w="80"/>
            </w:tcMar>
          </w:tcPr>
          <w:p>
            <w:r>
              <w:rPr>
                <w:rFonts w:ascii="Calibri" w:cs="Calibri" w:eastAsia="Calibri" w:hAnsi="Calibri"/>
                <w:color w:val="404040"/>
                <w:sz w:val="19"/>
                <w:szCs w:val="19"/>
              </w:rPr>
              <w:t xml:space="preserve">Touchpoints, meetings, open commitments, side letter obligations per LP</w:t>
            </w:r>
          </w:p>
        </w:tc>
      </w:tr>
      <w:tr>
        <w:tc>
          <w:tcPr>
            <w:tcW w:type="pct" w:w="28%"/>
            <w:tcMar>
              <w:top w:type="dxa" w:w="50"/>
              <w:left w:type="dxa" w:w="80"/>
              <w:bottom w:type="dxa" w:w="50"/>
              <w:right w:type="dxa" w:w="80"/>
            </w:tcMar>
          </w:tcPr>
          <w:p>
            <w:r>
              <w:rPr>
                <w:rFonts w:ascii="Calibri" w:cs="Calibri" w:eastAsia="Calibri" w:hAnsi="Calibri"/>
                <w:b/>
                <w:bCs/>
                <w:color w:val="1F3864"/>
                <w:sz w:val="19"/>
                <w:szCs w:val="19"/>
              </w:rPr>
              <w:t xml:space="preserve">Fee &amp; Carry Revenue Forecast</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Finance</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Quarterly</w:t>
            </w:r>
          </w:p>
        </w:tc>
        <w:tc>
          <w:tcPr>
            <w:tcW w:type="pct" w:w="44%"/>
            <w:tcMar>
              <w:top w:type="dxa" w:w="50"/>
              <w:left w:type="dxa" w:w="80"/>
              <w:bottom w:type="dxa" w:w="50"/>
              <w:right w:type="dxa" w:w="80"/>
            </w:tcMar>
          </w:tcPr>
          <w:p>
            <w:r>
              <w:rPr>
                <w:rFonts w:ascii="Calibri" w:cs="Calibri" w:eastAsia="Calibri" w:hAnsi="Calibri"/>
                <w:color w:val="404040"/>
                <w:sz w:val="19"/>
                <w:szCs w:val="19"/>
              </w:rPr>
              <w:t xml:space="preserve">Management fee run-rate and carried interest pipeline; clawback reserve</w:t>
            </w:r>
          </w:p>
        </w:tc>
      </w:tr>
      <w:tr>
        <w:tc>
          <w:tcPr>
            <w:tcW w:type="pct" w:w="28%"/>
            <w:tcMar>
              <w:top w:type="dxa" w:w="50"/>
              <w:left w:type="dxa" w:w="80"/>
              <w:bottom w:type="dxa" w:w="50"/>
              <w:right w:type="dxa" w:w="80"/>
            </w:tcMar>
          </w:tcPr>
          <w:p>
            <w:r>
              <w:rPr>
                <w:rFonts w:ascii="Calibri" w:cs="Calibri" w:eastAsia="Calibri" w:hAnsi="Calibri"/>
                <w:b/>
                <w:bCs/>
                <w:color w:val="1F3864"/>
                <w:sz w:val="19"/>
                <w:szCs w:val="19"/>
              </w:rPr>
              <w:t xml:space="preserve">ERISA Plan Asset Dashboard</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Compliance</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Quarterly</w:t>
            </w:r>
          </w:p>
        </w:tc>
        <w:tc>
          <w:tcPr>
            <w:tcW w:type="pct" w:w="44%"/>
            <w:tcMar>
              <w:top w:type="dxa" w:w="50"/>
              <w:left w:type="dxa" w:w="80"/>
              <w:bottom w:type="dxa" w:w="50"/>
              <w:right w:type="dxa" w:w="80"/>
            </w:tcMar>
          </w:tcPr>
          <w:p>
            <w:r>
              <w:rPr>
                <w:rFonts w:ascii="Calibri" w:cs="Calibri" w:eastAsia="Calibri" w:hAnsi="Calibri"/>
                <w:color w:val="404040"/>
                <w:sz w:val="19"/>
                <w:szCs w:val="19"/>
              </w:rPr>
              <w:t xml:space="preserve">% benefit plan investor per fund; proximity to 25% threshold</w:t>
            </w:r>
          </w:p>
        </w:tc>
      </w:tr>
      <w:tr>
        <w:tc>
          <w:tcPr>
            <w:tcW w:type="pct" w:w="28%"/>
            <w:tcMar>
              <w:top w:type="dxa" w:w="50"/>
              <w:left w:type="dxa" w:w="80"/>
              <w:bottom w:type="dxa" w:w="50"/>
              <w:right w:type="dxa" w:w="80"/>
            </w:tcMar>
          </w:tcPr>
          <w:p>
            <w:r>
              <w:rPr>
                <w:rFonts w:ascii="Calibri" w:cs="Calibri" w:eastAsia="Calibri" w:hAnsi="Calibri"/>
                <w:b/>
                <w:bCs/>
                <w:color w:val="1F3864"/>
                <w:sz w:val="19"/>
                <w:szCs w:val="19"/>
              </w:rPr>
              <w:t xml:space="preserve">FATCA / CRS Compliance Dashboard</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Tax / Compliance</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Annual / Event</w:t>
            </w:r>
          </w:p>
        </w:tc>
        <w:tc>
          <w:tcPr>
            <w:tcW w:type="pct" w:w="44%"/>
            <w:tcMar>
              <w:top w:type="dxa" w:w="50"/>
              <w:left w:type="dxa" w:w="80"/>
              <w:bottom w:type="dxa" w:w="50"/>
              <w:right w:type="dxa" w:w="80"/>
            </w:tcMar>
          </w:tcPr>
          <w:p>
            <w:r>
              <w:rPr>
                <w:rFonts w:ascii="Calibri" w:cs="Calibri" w:eastAsia="Calibri" w:hAnsi="Calibri"/>
                <w:color w:val="404040"/>
                <w:sz w:val="19"/>
                <w:szCs w:val="19"/>
              </w:rPr>
              <w:t xml:space="preserve">Investor classifications, reporting status, W-8 expiry tracking</w:t>
            </w:r>
          </w:p>
        </w:tc>
      </w:tr>
      <w:tr>
        <w:tc>
          <w:tcPr>
            <w:tcW w:type="pct" w:w="28%"/>
            <w:tcMar>
              <w:top w:type="dxa" w:w="50"/>
              <w:left w:type="dxa" w:w="80"/>
              <w:bottom w:type="dxa" w:w="50"/>
              <w:right w:type="dxa" w:w="80"/>
            </w:tcMar>
          </w:tcPr>
          <w:p>
            <w:r>
              <w:rPr>
                <w:rFonts w:ascii="Calibri" w:cs="Calibri" w:eastAsia="Calibri" w:hAnsi="Calibri"/>
                <w:b/>
                <w:bCs/>
                <w:color w:val="1F3864"/>
                <w:sz w:val="19"/>
                <w:szCs w:val="19"/>
              </w:rPr>
              <w:t xml:space="preserve">Regulatory Filing Calendar</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Compliance</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Ongoing</w:t>
            </w:r>
          </w:p>
        </w:tc>
        <w:tc>
          <w:tcPr>
            <w:tcW w:type="pct" w:w="44%"/>
            <w:tcMar>
              <w:top w:type="dxa" w:w="50"/>
              <w:left w:type="dxa" w:w="80"/>
              <w:bottom w:type="dxa" w:w="50"/>
              <w:right w:type="dxa" w:w="80"/>
            </w:tcMar>
          </w:tcPr>
          <w:p>
            <w:r>
              <w:rPr>
                <w:rFonts w:ascii="Calibri" w:cs="Calibri" w:eastAsia="Calibri" w:hAnsi="Calibri"/>
                <w:color w:val="404040"/>
                <w:sz w:val="19"/>
                <w:szCs w:val="19"/>
              </w:rPr>
              <w:t xml:space="preserve">All jurisdiction deadlines; filed / due / overdue status (see Appendix F)</w:t>
            </w:r>
          </w:p>
        </w:tc>
      </w:tr>
      <w:tr>
        <w:tc>
          <w:tcPr>
            <w:tcW w:type="pct" w:w="28%"/>
            <w:tcMar>
              <w:top w:type="dxa" w:w="50"/>
              <w:left w:type="dxa" w:w="80"/>
              <w:bottom w:type="dxa" w:w="50"/>
              <w:right w:type="dxa" w:w="80"/>
            </w:tcMar>
          </w:tcPr>
          <w:p>
            <w:r>
              <w:rPr>
                <w:rFonts w:ascii="Calibri" w:cs="Calibri" w:eastAsia="Calibri" w:hAnsi="Calibri"/>
                <w:b/>
                <w:bCs/>
                <w:color w:val="1F3864"/>
                <w:sz w:val="19"/>
                <w:szCs w:val="19"/>
              </w:rPr>
              <w:t xml:space="preserve">GP Commitment Pacing</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Finance</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Quarterly</w:t>
            </w:r>
          </w:p>
        </w:tc>
        <w:tc>
          <w:tcPr>
            <w:tcW w:type="pct" w:w="44%"/>
            <w:tcMar>
              <w:top w:type="dxa" w:w="50"/>
              <w:left w:type="dxa" w:w="80"/>
              <w:bottom w:type="dxa" w:w="50"/>
              <w:right w:type="dxa" w:w="80"/>
            </w:tcMar>
          </w:tcPr>
          <w:p>
            <w:r>
              <w:rPr>
                <w:rFonts w:ascii="Calibri" w:cs="Calibri" w:eastAsia="Calibri" w:hAnsi="Calibri"/>
                <w:color w:val="404040"/>
                <w:sz w:val="19"/>
                <w:szCs w:val="19"/>
              </w:rPr>
              <w:t xml:space="preserve">GP co-invest funded vs. committed; pari passu treatment verification</w:t>
            </w:r>
          </w:p>
        </w:tc>
      </w:tr>
      <w:tr>
        <w:tc>
          <w:tcPr>
            <w:tcW w:type="pct" w:w="28%"/>
            <w:tcMar>
              <w:top w:type="dxa" w:w="50"/>
              <w:left w:type="dxa" w:w="80"/>
              <w:bottom w:type="dxa" w:w="50"/>
              <w:right w:type="dxa" w:w="80"/>
            </w:tcMar>
          </w:tcPr>
          <w:p>
            <w:r>
              <w:rPr>
                <w:rFonts w:ascii="Calibri" w:cs="Calibri" w:eastAsia="Calibri" w:hAnsi="Calibri"/>
                <w:b/>
                <w:bCs/>
                <w:color w:val="1F3864"/>
                <w:sz w:val="19"/>
                <w:szCs w:val="19"/>
              </w:rPr>
              <w:t xml:space="preserve">Bridge Facility Utilisation</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Treasury / Finance</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Weekly</w:t>
            </w:r>
          </w:p>
        </w:tc>
        <w:tc>
          <w:tcPr>
            <w:tcW w:type="pct" w:w="44%"/>
            <w:tcMar>
              <w:top w:type="dxa" w:w="50"/>
              <w:left w:type="dxa" w:w="80"/>
              <w:bottom w:type="dxa" w:w="50"/>
              <w:right w:type="dxa" w:w="80"/>
            </w:tcMar>
          </w:tcPr>
          <w:p>
            <w:r>
              <w:rPr>
                <w:rFonts w:ascii="Calibri" w:cs="Calibri" w:eastAsia="Calibri" w:hAnsi="Calibri"/>
                <w:color w:val="404040"/>
                <w:sz w:val="19"/>
                <w:szCs w:val="19"/>
              </w:rPr>
              <w:t xml:space="preserve">Subscription line drawdowns, repayments, available capacity, covenant compliance</w:t>
            </w:r>
          </w:p>
        </w:tc>
      </w:tr>
      <w:tr>
        <w:tc>
          <w:tcPr>
            <w:tcW w:type="pct" w:w="28%"/>
            <w:tcMar>
              <w:top w:type="dxa" w:w="50"/>
              <w:left w:type="dxa" w:w="80"/>
              <w:bottom w:type="dxa" w:w="50"/>
              <w:right w:type="dxa" w:w="80"/>
            </w:tcMar>
          </w:tcPr>
          <w:p>
            <w:r>
              <w:rPr>
                <w:rFonts w:ascii="Calibri" w:cs="Calibri" w:eastAsia="Calibri" w:hAnsi="Calibri"/>
                <w:b/>
                <w:bCs/>
                <w:color w:val="1F3864"/>
                <w:sz w:val="19"/>
                <w:szCs w:val="19"/>
              </w:rPr>
              <w:t xml:space="preserve">ESG / Impact Dashboard</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ESG / IR</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Annual</w:t>
            </w:r>
          </w:p>
        </w:tc>
        <w:tc>
          <w:tcPr>
            <w:tcW w:type="pct" w:w="44%"/>
            <w:tcMar>
              <w:top w:type="dxa" w:w="50"/>
              <w:left w:type="dxa" w:w="80"/>
              <w:bottom w:type="dxa" w:w="50"/>
              <w:right w:type="dxa" w:w="80"/>
            </w:tcMar>
          </w:tcPr>
          <w:p>
            <w:r>
              <w:rPr>
                <w:rFonts w:ascii="Calibri" w:cs="Calibri" w:eastAsia="Calibri" w:hAnsi="Calibri"/>
                <w:color w:val="404040"/>
                <w:sz w:val="19"/>
                <w:szCs w:val="19"/>
              </w:rPr>
              <w:t xml:space="preserve">PAI indicators, portfolio company ESG scores, SFDR Article 8/9 metrics</w:t>
            </w:r>
          </w:p>
        </w:tc>
      </w:tr>
    </w:tbl>
    <w:p>
      <w:pPr>
        <w:spacing w:after="160" w:before="0"/>
      </w:pPr>
      <w:r>
        <w:t xml:space="preserve"/>
      </w:r>
    </w:p>
    <w:p>
      <w:pPr>
        <w:pStyle w:val="Heading2"/>
        <w:spacing w:after="120" w:before="320"/>
      </w:pPr>
      <w:r>
        <w:t xml:space="preserve">G.13  Data Object Lifecycle Linkage</w:t>
      </w:r>
    </w:p>
    <w:p>
      <w:pPr>
        <w:spacing w:after="120" w:before="0"/>
      </w:pPr>
      <w:r>
        <w:rPr>
          <w:rFonts w:ascii="Calibri" w:cs="Calibri" w:eastAsia="Calibri" w:hAnsi="Calibri"/>
          <w:color w:val="404040"/>
          <w:sz w:val="22"/>
          <w:szCs w:val="22"/>
        </w:rPr>
        <w:t xml:space="preserve">The diagram below shows how the core data objects created in each phase reference and depend on one another. Each arrow represents a foreign-key relationship or state transition in the underlying ontology.</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tblGrid>
      <w:tr>
        <w:trPr>
          <w:tblHeader/>
        </w:trPr>
        <w:tc>
          <w:tcPr>
            <w:tcW w:type="pct" w:w="2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Data Object</w:t>
            </w:r>
          </w:p>
        </w:tc>
        <w:tc>
          <w:tcPr>
            <w:tcW w:type="pct" w:w="2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Lifecycle Phase Created</w:t>
            </w:r>
          </w:p>
        </w:tc>
        <w:tc>
          <w:tcPr>
            <w:tcW w:type="pct" w:w="5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Downstream Dependencies / References</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Investor</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Created at origination</w:t>
            </w:r>
          </w:p>
        </w:tc>
        <w:tc>
          <w:tcPr>
            <w:tcW w:type="pct" w:w="55%"/>
            <w:tcMar>
              <w:top w:type="dxa" w:w="50"/>
              <w:left w:type="dxa" w:w="80"/>
              <w:bottom w:type="dxa" w:w="50"/>
              <w:right w:type="dxa" w:w="80"/>
            </w:tcMar>
          </w:tcPr>
          <w:p>
            <w:r>
              <w:rPr>
                <w:rFonts w:ascii="Calibri" w:cs="Calibri" w:eastAsia="Calibri" w:hAnsi="Calibri"/>
                <w:color w:val="404040"/>
                <w:sz w:val="19"/>
                <w:szCs w:val="19"/>
              </w:rPr>
              <w:t xml:space="preserve">Referenced by Opportunity, Commitment, CapitalCallNotice, Distribution, Tax K-1</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Opportunity</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Created at origination; transitions through 9 states</w:t>
            </w:r>
          </w:p>
        </w:tc>
        <w:tc>
          <w:tcPr>
            <w:tcW w:type="pct" w:w="55%"/>
            <w:tcMar>
              <w:top w:type="dxa" w:w="50"/>
              <w:left w:type="dxa" w:w="80"/>
              <w:bottom w:type="dxa" w:w="50"/>
              <w:right w:type="dxa" w:w="80"/>
            </w:tcMar>
          </w:tcPr>
          <w:p>
            <w:r>
              <w:rPr>
                <w:rFonts w:ascii="Calibri" w:cs="Calibri" w:eastAsia="Calibri" w:hAnsi="Calibri"/>
                <w:color w:val="404040"/>
                <w:sz w:val="19"/>
                <w:szCs w:val="19"/>
              </w:rPr>
              <w:t xml:space="preserve">Resolved to Commitment on Won; archived on Declined/Withdrawn</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Fund</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Created at fund structuring</w:t>
            </w:r>
          </w:p>
        </w:tc>
        <w:tc>
          <w:tcPr>
            <w:tcW w:type="pct" w:w="55%"/>
            <w:tcMar>
              <w:top w:type="dxa" w:w="50"/>
              <w:left w:type="dxa" w:w="80"/>
              <w:bottom w:type="dxa" w:w="50"/>
              <w:right w:type="dxa" w:w="80"/>
            </w:tcMar>
          </w:tcPr>
          <w:p>
            <w:r>
              <w:rPr>
                <w:rFonts w:ascii="Calibri" w:cs="Calibri" w:eastAsia="Calibri" w:hAnsi="Calibri"/>
                <w:color w:val="404040"/>
                <w:sz w:val="19"/>
                <w:szCs w:val="19"/>
              </w:rPr>
              <w:t xml:space="preserve">Parent of Vehicle, FundClose, CapitalCall, Distribution, PortfolioInvestment</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Vehicle / Feeder</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Created at fund structuring</w:t>
            </w:r>
          </w:p>
        </w:tc>
        <w:tc>
          <w:tcPr>
            <w:tcW w:type="pct" w:w="55%"/>
            <w:tcMar>
              <w:top w:type="dxa" w:w="50"/>
              <w:left w:type="dxa" w:w="80"/>
              <w:bottom w:type="dxa" w:w="50"/>
              <w:right w:type="dxa" w:w="80"/>
            </w:tcMar>
          </w:tcPr>
          <w:p>
            <w:r>
              <w:rPr>
                <w:rFonts w:ascii="Calibri" w:cs="Calibri" w:eastAsia="Calibri" w:hAnsi="Calibri"/>
                <w:color w:val="404040"/>
                <w:sz w:val="19"/>
                <w:szCs w:val="19"/>
              </w:rPr>
              <w:t xml:space="preserve">Parent of Offering; referenced by Commitment and CapitalCallNotice</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Offering</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Created at fund structuring</w:t>
            </w:r>
          </w:p>
        </w:tc>
        <w:tc>
          <w:tcPr>
            <w:tcW w:type="pct" w:w="55%"/>
            <w:tcMar>
              <w:top w:type="dxa" w:w="50"/>
              <w:left w:type="dxa" w:w="80"/>
              <w:bottom w:type="dxa" w:w="50"/>
              <w:right w:type="dxa" w:w="80"/>
            </w:tcMar>
          </w:tcPr>
          <w:p>
            <w:r>
              <w:rPr>
                <w:rFonts w:ascii="Calibri" w:cs="Calibri" w:eastAsia="Calibri" w:hAnsi="Calibri"/>
                <w:color w:val="404040"/>
                <w:sz w:val="19"/>
                <w:szCs w:val="19"/>
              </w:rPr>
              <w:t xml:space="preserve">Referenced by Commitment; defines share class and economic terms</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FundClose</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Created at fund structuring; dated on admission</w:t>
            </w:r>
          </w:p>
        </w:tc>
        <w:tc>
          <w:tcPr>
            <w:tcW w:type="pct" w:w="55%"/>
            <w:tcMar>
              <w:top w:type="dxa" w:w="50"/>
              <w:left w:type="dxa" w:w="80"/>
              <w:bottom w:type="dxa" w:w="50"/>
              <w:right w:type="dxa" w:w="80"/>
            </w:tcMar>
          </w:tcPr>
          <w:p>
            <w:r>
              <w:rPr>
                <w:rFonts w:ascii="Calibri" w:cs="Calibri" w:eastAsia="Calibri" w:hAnsi="Calibri"/>
                <w:color w:val="404040"/>
                <w:sz w:val="19"/>
                <w:szCs w:val="19"/>
              </w:rPr>
              <w:t xml:space="preserve">Referenced by Commitment (admittedAt); triggers equalization calculation</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Commitment</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Created on investor admission at FundClose</w:t>
            </w:r>
          </w:p>
        </w:tc>
        <w:tc>
          <w:tcPr>
            <w:tcW w:type="pct" w:w="55%"/>
            <w:tcMar>
              <w:top w:type="dxa" w:w="50"/>
              <w:left w:type="dxa" w:w="80"/>
              <w:bottom w:type="dxa" w:w="50"/>
              <w:right w:type="dxa" w:w="80"/>
            </w:tcMar>
          </w:tcPr>
          <w:p>
            <w:r>
              <w:rPr>
                <w:rFonts w:ascii="Calibri" w:cs="Calibri" w:eastAsia="Calibri" w:hAnsi="Calibri"/>
                <w:color w:val="404040"/>
                <w:sz w:val="19"/>
                <w:szCs w:val="19"/>
              </w:rPr>
              <w:t xml:space="preserve">Source for CapitalCallNotice (pro-rata), Distribution, LP Capital Account</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CapitalCall</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Created per fund-level call decision</w:t>
            </w:r>
          </w:p>
        </w:tc>
        <w:tc>
          <w:tcPr>
            <w:tcW w:type="pct" w:w="55%"/>
            <w:tcMar>
              <w:top w:type="dxa" w:w="50"/>
              <w:left w:type="dxa" w:w="80"/>
              <w:bottom w:type="dxa" w:w="50"/>
              <w:right w:type="dxa" w:w="80"/>
            </w:tcMar>
          </w:tcPr>
          <w:p>
            <w:r>
              <w:rPr>
                <w:rFonts w:ascii="Calibri" w:cs="Calibri" w:eastAsia="Calibri" w:hAnsi="Calibri"/>
                <w:color w:val="404040"/>
                <w:sz w:val="19"/>
                <w:szCs w:val="19"/>
              </w:rPr>
              <w:t xml:space="preserve">Parent of CapitalCallNotice per LP commitment</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CapitalCallNotice</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Created per (Commitment × CapitalCall)</w:t>
            </w:r>
          </w:p>
        </w:tc>
        <w:tc>
          <w:tcPr>
            <w:tcW w:type="pct" w:w="55%"/>
            <w:tcMar>
              <w:top w:type="dxa" w:w="50"/>
              <w:left w:type="dxa" w:w="80"/>
              <w:bottom w:type="dxa" w:w="50"/>
              <w:right w:type="dxa" w:w="80"/>
            </w:tcMar>
          </w:tcPr>
          <w:p>
            <w:r>
              <w:rPr>
                <w:rFonts w:ascii="Calibri" w:cs="Calibri" w:eastAsia="Calibri" w:hAnsi="Calibri"/>
                <w:color w:val="404040"/>
                <w:sz w:val="19"/>
                <w:szCs w:val="19"/>
              </w:rPr>
              <w:t xml:space="preserve">Triggers 5 GL Transaction entries; updates Commitment.unfunded_balance</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Transaction</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Created by fund admin per notice</w:t>
            </w:r>
          </w:p>
        </w:tc>
        <w:tc>
          <w:tcPr>
            <w:tcW w:type="pct" w:w="55%"/>
            <w:tcMar>
              <w:top w:type="dxa" w:w="50"/>
              <w:left w:type="dxa" w:w="80"/>
              <w:bottom w:type="dxa" w:w="50"/>
              <w:right w:type="dxa" w:w="80"/>
            </w:tcMar>
          </w:tcPr>
          <w:p>
            <w:r>
              <w:rPr>
                <w:rFonts w:ascii="Calibri" w:cs="Calibri" w:eastAsia="Calibri" w:hAnsi="Calibri"/>
                <w:color w:val="404040"/>
                <w:sz w:val="19"/>
                <w:szCs w:val="19"/>
              </w:rPr>
              <w:t xml:space="preserve">Feeds GL trial balance, cash reconciliation, LP capital account statement</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PortfolioInvestment</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Created on capital deployment</w:t>
            </w:r>
          </w:p>
        </w:tc>
        <w:tc>
          <w:tcPr>
            <w:tcW w:type="pct" w:w="55%"/>
            <w:tcMar>
              <w:top w:type="dxa" w:w="50"/>
              <w:left w:type="dxa" w:w="80"/>
              <w:bottom w:type="dxa" w:w="50"/>
              <w:right w:type="dxa" w:w="80"/>
            </w:tcMar>
          </w:tcPr>
          <w:p>
            <w:r>
              <w:rPr>
                <w:rFonts w:ascii="Calibri" w:cs="Calibri" w:eastAsia="Calibri" w:hAnsi="Calibri"/>
                <w:color w:val="404040"/>
                <w:sz w:val="19"/>
                <w:szCs w:val="19"/>
              </w:rPr>
              <w:t xml:space="preserve">Holds cost basis; updated quarterly to FMV; resolved on Exit</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Exit / Distribution</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Created on realisation</w:t>
            </w:r>
          </w:p>
        </w:tc>
        <w:tc>
          <w:tcPr>
            <w:tcW w:type="pct" w:w="55%"/>
            <w:tcMar>
              <w:top w:type="dxa" w:w="50"/>
              <w:left w:type="dxa" w:w="80"/>
              <w:bottom w:type="dxa" w:w="50"/>
              <w:right w:type="dxa" w:w="80"/>
            </w:tcMar>
          </w:tcPr>
          <w:p>
            <w:r>
              <w:rPr>
                <w:rFonts w:ascii="Calibri" w:cs="Calibri" w:eastAsia="Calibri" w:hAnsi="Calibri"/>
                <w:color w:val="404040"/>
                <w:sz w:val="19"/>
                <w:szCs w:val="19"/>
              </w:rPr>
              <w:t xml:space="preserve">Triggers Waterfall calculation; parent of Distribution notices to LPs</w:t>
            </w:r>
          </w:p>
        </w:tc>
      </w:tr>
    </w:tbl>
    <w:p>
      <w:pPr>
        <w:spacing w:after="160" w:before="0"/>
      </w:pPr>
      <w:r>
        <w:t xml:space="preserve"/>
      </w:r>
    </w:p>
    <w:p>
      <w:pPr>
        <w:pStyle w:val="Heading2"/>
        <w:spacing w:after="120" w:before="320"/>
      </w:pPr>
      <w:r>
        <w:t xml:space="preserve">G.14  Indicative Fund Timeline</w:t>
      </w:r>
    </w:p>
    <w:p>
      <w:pPr>
        <w:spacing w:after="120" w:before="0"/>
      </w:pPr>
      <w:r>
        <w:rPr>
          <w:rFonts w:ascii="Calibri" w:cs="Calibri" w:eastAsia="Calibri" w:hAnsi="Calibri"/>
          <w:color w:val="404040"/>
          <w:sz w:val="22"/>
          <w:szCs w:val="22"/>
        </w:rPr>
        <w:t xml:space="preserve">The table below shows the approximate timing of each lifecycle phase for a 10-year closed-end PE fund with a 5-year commitment period, assuming Fund Vintage Year = Year 1.</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tblGrid>
      <w:tr>
        <w:trPr>
          <w:tblHeader/>
        </w:trPr>
        <w:tc>
          <w:tcPr>
            <w:tcW w:type="pct" w:w="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Phase</w:t>
            </w:r>
          </w:p>
        </w:tc>
        <w:tc>
          <w:tcPr>
            <w:tcW w:type="pct" w:w="18%"/>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Name</w:t>
            </w:r>
          </w:p>
        </w:tc>
        <w:tc>
          <w:tcPr>
            <w:tcW w:type="pct" w:w="2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Typical Timing</w:t>
            </w:r>
          </w:p>
        </w:tc>
        <w:tc>
          <w:tcPr>
            <w:tcW w:type="pct" w:w="57%"/>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Notes</w:t>
            </w:r>
          </w:p>
        </w:tc>
      </w:tr>
      <w:tr>
        <w:tc>
          <w:tcPr>
            <w:tcW w:type="pct" w:w="5%"/>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G.1</w:t>
            </w:r>
          </w:p>
        </w:tc>
        <w:tc>
          <w:tcPr>
            <w:tcW w:type="pct" w:w="18%"/>
            <w:tcMar>
              <w:top w:type="dxa" w:w="50"/>
              <w:left w:type="dxa" w:w="80"/>
              <w:bottom w:type="dxa" w:w="50"/>
              <w:right w:type="dxa" w:w="80"/>
            </w:tcMar>
          </w:tcPr>
          <w:p>
            <w:r>
              <w:rPr>
                <w:rFonts w:ascii="Calibri" w:cs="Calibri" w:eastAsia="Calibri" w:hAnsi="Calibri"/>
                <w:b/>
                <w:bCs/>
                <w:color w:val="1F3864"/>
                <w:sz w:val="19"/>
                <w:szCs w:val="19"/>
              </w:rPr>
              <w:t xml:space="preserve">Origination</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Year -1 to Year 1</w:t>
            </w:r>
          </w:p>
        </w:tc>
        <w:tc>
          <w:tcPr>
            <w:tcW w:type="pct" w:w="57%"/>
            <w:tcMar>
              <w:top w:type="dxa" w:w="50"/>
              <w:left w:type="dxa" w:w="80"/>
              <w:bottom w:type="dxa" w:w="50"/>
              <w:right w:type="dxa" w:w="80"/>
            </w:tcMar>
          </w:tcPr>
          <w:p>
            <w:r>
              <w:rPr>
                <w:rFonts w:ascii="Calibri" w:cs="Calibri" w:eastAsia="Calibri" w:hAnsi="Calibri"/>
                <w:color w:val="404040"/>
                <w:sz w:val="19"/>
                <w:szCs w:val="19"/>
              </w:rPr>
              <w:t xml:space="preserve">Ongoing through final close; peaks during fundraising period</w:t>
            </w:r>
          </w:p>
        </w:tc>
      </w:tr>
      <w:tr>
        <w:tc>
          <w:tcPr>
            <w:tcW w:type="pct" w:w="5%"/>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G.2</w:t>
            </w:r>
          </w:p>
        </w:tc>
        <w:tc>
          <w:tcPr>
            <w:tcW w:type="pct" w:w="18%"/>
            <w:tcMar>
              <w:top w:type="dxa" w:w="50"/>
              <w:left w:type="dxa" w:w="80"/>
              <w:bottom w:type="dxa" w:w="50"/>
              <w:right w:type="dxa" w:w="80"/>
            </w:tcMar>
          </w:tcPr>
          <w:p>
            <w:r>
              <w:rPr>
                <w:rFonts w:ascii="Calibri" w:cs="Calibri" w:eastAsia="Calibri" w:hAnsi="Calibri"/>
                <w:b/>
                <w:bCs/>
                <w:color w:val="1F3864"/>
                <w:sz w:val="19"/>
                <w:szCs w:val="19"/>
              </w:rPr>
              <w:t xml:space="preserve">Fund Structuring</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Year -1 to Month -3</w:t>
            </w:r>
          </w:p>
        </w:tc>
        <w:tc>
          <w:tcPr>
            <w:tcW w:type="pct" w:w="57%"/>
            <w:tcMar>
              <w:top w:type="dxa" w:w="50"/>
              <w:left w:type="dxa" w:w="80"/>
              <w:bottom w:type="dxa" w:w="50"/>
              <w:right w:type="dxa" w:w="80"/>
            </w:tcMar>
          </w:tcPr>
          <w:p>
            <w:r>
              <w:rPr>
                <w:rFonts w:ascii="Calibri" w:cs="Calibri" w:eastAsia="Calibri" w:hAnsi="Calibri"/>
                <w:color w:val="404040"/>
                <w:sz w:val="19"/>
                <w:szCs w:val="19"/>
              </w:rPr>
              <w:t xml:space="preserve">Completed before first close; amendments possible through final close</w:t>
            </w:r>
          </w:p>
        </w:tc>
      </w:tr>
      <w:tr>
        <w:tc>
          <w:tcPr>
            <w:tcW w:type="pct" w:w="5%"/>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G.3</w:t>
            </w:r>
          </w:p>
        </w:tc>
        <w:tc>
          <w:tcPr>
            <w:tcW w:type="pct" w:w="18%"/>
            <w:tcMar>
              <w:top w:type="dxa" w:w="50"/>
              <w:left w:type="dxa" w:w="80"/>
              <w:bottom w:type="dxa" w:w="50"/>
              <w:right w:type="dxa" w:w="80"/>
            </w:tcMar>
          </w:tcPr>
          <w:p>
            <w:r>
              <w:rPr>
                <w:rFonts w:ascii="Calibri" w:cs="Calibri" w:eastAsia="Calibri" w:hAnsi="Calibri"/>
                <w:b/>
                <w:bCs/>
                <w:color w:val="1F3864"/>
                <w:sz w:val="19"/>
                <w:szCs w:val="19"/>
              </w:rPr>
              <w:t xml:space="preserve">Fundraising / Subscriptions</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Year 1 (First Close) to Year 1+6m (Final Close)</w:t>
            </w:r>
          </w:p>
        </w:tc>
        <w:tc>
          <w:tcPr>
            <w:tcW w:type="pct" w:w="57%"/>
            <w:tcMar>
              <w:top w:type="dxa" w:w="50"/>
              <w:left w:type="dxa" w:w="80"/>
              <w:bottom w:type="dxa" w:w="50"/>
              <w:right w:type="dxa" w:w="80"/>
            </w:tcMar>
          </w:tcPr>
          <w:p>
            <w:r>
              <w:rPr>
                <w:rFonts w:ascii="Calibri" w:cs="Calibri" w:eastAsia="Calibri" w:hAnsi="Calibri"/>
                <w:color w:val="404040"/>
                <w:sz w:val="19"/>
                <w:szCs w:val="19"/>
              </w:rPr>
              <w:t xml:space="preserve">Multi-close process; late LPs pay equalization</w:t>
            </w:r>
          </w:p>
        </w:tc>
      </w:tr>
      <w:tr>
        <w:tc>
          <w:tcPr>
            <w:tcW w:type="pct" w:w="5%"/>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G.4</w:t>
            </w:r>
          </w:p>
        </w:tc>
        <w:tc>
          <w:tcPr>
            <w:tcW w:type="pct" w:w="18%"/>
            <w:tcMar>
              <w:top w:type="dxa" w:w="50"/>
              <w:left w:type="dxa" w:w="80"/>
              <w:bottom w:type="dxa" w:w="50"/>
              <w:right w:type="dxa" w:w="80"/>
            </w:tcMar>
          </w:tcPr>
          <w:p>
            <w:r>
              <w:rPr>
                <w:rFonts w:ascii="Calibri" w:cs="Calibri" w:eastAsia="Calibri" w:hAnsi="Calibri"/>
                <w:b/>
                <w:bCs/>
                <w:color w:val="1F3864"/>
                <w:sz w:val="19"/>
                <w:szCs w:val="19"/>
              </w:rPr>
              <w:t xml:space="preserve">Capital Calls</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Year 1 to Year 5–6 (commitment period)</w:t>
            </w:r>
          </w:p>
        </w:tc>
        <w:tc>
          <w:tcPr>
            <w:tcW w:type="pct" w:w="57%"/>
            <w:tcMar>
              <w:top w:type="dxa" w:w="50"/>
              <w:left w:type="dxa" w:w="80"/>
              <w:bottom w:type="dxa" w:w="50"/>
              <w:right w:type="dxa" w:w="80"/>
            </w:tcMar>
          </w:tcPr>
          <w:p>
            <w:r>
              <w:rPr>
                <w:rFonts w:ascii="Calibri" w:cs="Calibri" w:eastAsia="Calibri" w:hAnsi="Calibri"/>
                <w:color w:val="404040"/>
                <w:sz w:val="19"/>
                <w:szCs w:val="19"/>
              </w:rPr>
              <w:t xml:space="preserve">Typically 4–8 calls over commitment period; management fee calls ongoing</w:t>
            </w:r>
          </w:p>
        </w:tc>
      </w:tr>
      <w:tr>
        <w:tc>
          <w:tcPr>
            <w:tcW w:type="pct" w:w="5%"/>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G.5</w:t>
            </w:r>
          </w:p>
        </w:tc>
        <w:tc>
          <w:tcPr>
            <w:tcW w:type="pct" w:w="18%"/>
            <w:tcMar>
              <w:top w:type="dxa" w:w="50"/>
              <w:left w:type="dxa" w:w="80"/>
              <w:bottom w:type="dxa" w:w="50"/>
              <w:right w:type="dxa" w:w="80"/>
            </w:tcMar>
          </w:tcPr>
          <w:p>
            <w:r>
              <w:rPr>
                <w:rFonts w:ascii="Calibri" w:cs="Calibri" w:eastAsia="Calibri" w:hAnsi="Calibri"/>
                <w:b/>
                <w:bCs/>
                <w:color w:val="1F3864"/>
                <w:sz w:val="19"/>
                <w:szCs w:val="19"/>
              </w:rPr>
              <w:t xml:space="preserve">Fund Administration</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Year 1 to Year 10+ (continuous)</w:t>
            </w:r>
          </w:p>
        </w:tc>
        <w:tc>
          <w:tcPr>
            <w:tcW w:type="pct" w:w="57%"/>
            <w:tcMar>
              <w:top w:type="dxa" w:w="50"/>
              <w:left w:type="dxa" w:w="80"/>
              <w:bottom w:type="dxa" w:w="50"/>
              <w:right w:type="dxa" w:w="80"/>
            </w:tcMar>
          </w:tcPr>
          <w:p>
            <w:r>
              <w:rPr>
                <w:rFonts w:ascii="Calibri" w:cs="Calibri" w:eastAsia="Calibri" w:hAnsi="Calibri"/>
                <w:color w:val="404040"/>
                <w:sz w:val="19"/>
                <w:szCs w:val="19"/>
              </w:rPr>
              <w:t xml:space="preserve">Ongoing; quarterly NAV; annual audit; LP statements quarterly</w:t>
            </w:r>
          </w:p>
        </w:tc>
      </w:tr>
      <w:tr>
        <w:tc>
          <w:tcPr>
            <w:tcW w:type="pct" w:w="5%"/>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G.6</w:t>
            </w:r>
          </w:p>
        </w:tc>
        <w:tc>
          <w:tcPr>
            <w:tcW w:type="pct" w:w="18%"/>
            <w:tcMar>
              <w:top w:type="dxa" w:w="50"/>
              <w:left w:type="dxa" w:w="80"/>
              <w:bottom w:type="dxa" w:w="50"/>
              <w:right w:type="dxa" w:w="80"/>
            </w:tcMar>
          </w:tcPr>
          <w:p>
            <w:r>
              <w:rPr>
                <w:rFonts w:ascii="Calibri" w:cs="Calibri" w:eastAsia="Calibri" w:hAnsi="Calibri"/>
                <w:b/>
                <w:bCs/>
                <w:color w:val="1F3864"/>
                <w:sz w:val="19"/>
                <w:szCs w:val="19"/>
              </w:rPr>
              <w:t xml:space="preserve">Deployment</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Year 1 to Year 5 (commitment period)</w:t>
            </w:r>
          </w:p>
        </w:tc>
        <w:tc>
          <w:tcPr>
            <w:tcW w:type="pct" w:w="57%"/>
            <w:tcMar>
              <w:top w:type="dxa" w:w="50"/>
              <w:left w:type="dxa" w:w="80"/>
              <w:bottom w:type="dxa" w:w="50"/>
              <w:right w:type="dxa" w:w="80"/>
            </w:tcMar>
          </w:tcPr>
          <w:p>
            <w:r>
              <w:rPr>
                <w:rFonts w:ascii="Calibri" w:cs="Calibri" w:eastAsia="Calibri" w:hAnsi="Calibri"/>
                <w:color w:val="404040"/>
                <w:sz w:val="19"/>
                <w:szCs w:val="19"/>
              </w:rPr>
              <w:t xml:space="preserve">Must deploy substantially all committed capital before period end</w:t>
            </w:r>
          </w:p>
        </w:tc>
      </w:tr>
      <w:tr>
        <w:tc>
          <w:tcPr>
            <w:tcW w:type="pct" w:w="5%"/>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G.7</w:t>
            </w:r>
          </w:p>
        </w:tc>
        <w:tc>
          <w:tcPr>
            <w:tcW w:type="pct" w:w="18%"/>
            <w:tcMar>
              <w:top w:type="dxa" w:w="50"/>
              <w:left w:type="dxa" w:w="80"/>
              <w:bottom w:type="dxa" w:w="50"/>
              <w:right w:type="dxa" w:w="80"/>
            </w:tcMar>
          </w:tcPr>
          <w:p>
            <w:r>
              <w:rPr>
                <w:rFonts w:ascii="Calibri" w:cs="Calibri" w:eastAsia="Calibri" w:hAnsi="Calibri"/>
                <w:b/>
                <w:bCs/>
                <w:color w:val="1F3864"/>
                <w:sz w:val="19"/>
                <w:szCs w:val="19"/>
              </w:rPr>
              <w:t xml:space="preserve">Portfolio Monitoring</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Year 1 to Year 8–10</w:t>
            </w:r>
          </w:p>
        </w:tc>
        <w:tc>
          <w:tcPr>
            <w:tcW w:type="pct" w:w="57%"/>
            <w:tcMar>
              <w:top w:type="dxa" w:w="50"/>
              <w:left w:type="dxa" w:w="80"/>
              <w:bottom w:type="dxa" w:w="50"/>
              <w:right w:type="dxa" w:w="80"/>
            </w:tcMar>
          </w:tcPr>
          <w:p>
            <w:r>
              <w:rPr>
                <w:rFonts w:ascii="Calibri" w:cs="Calibri" w:eastAsia="Calibri" w:hAnsi="Calibri"/>
                <w:color w:val="404040"/>
                <w:sz w:val="19"/>
                <w:szCs w:val="19"/>
              </w:rPr>
              <w:t xml:space="preserve">Quarterly valuation; annual audit; ILPA reports every quarter</w:t>
            </w:r>
          </w:p>
        </w:tc>
      </w:tr>
      <w:tr>
        <w:tc>
          <w:tcPr>
            <w:tcW w:type="pct" w:w="5%"/>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G.8</w:t>
            </w:r>
          </w:p>
        </w:tc>
        <w:tc>
          <w:tcPr>
            <w:tcW w:type="pct" w:w="18%"/>
            <w:tcMar>
              <w:top w:type="dxa" w:w="50"/>
              <w:left w:type="dxa" w:w="80"/>
              <w:bottom w:type="dxa" w:w="50"/>
              <w:right w:type="dxa" w:w="80"/>
            </w:tcMar>
          </w:tcPr>
          <w:p>
            <w:r>
              <w:rPr>
                <w:rFonts w:ascii="Calibri" w:cs="Calibri" w:eastAsia="Calibri" w:hAnsi="Calibri"/>
                <w:b/>
                <w:bCs/>
                <w:color w:val="1F3864"/>
                <w:sz w:val="19"/>
                <w:szCs w:val="19"/>
              </w:rPr>
              <w:t xml:space="preserve">Equalization</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Year 1 to Final Close (Year 1+6m)</w:t>
            </w:r>
          </w:p>
        </w:tc>
        <w:tc>
          <w:tcPr>
            <w:tcW w:type="pct" w:w="57%"/>
            <w:tcMar>
              <w:top w:type="dxa" w:w="50"/>
              <w:left w:type="dxa" w:w="80"/>
              <w:bottom w:type="dxa" w:w="50"/>
              <w:right w:type="dxa" w:w="80"/>
            </w:tcMar>
          </w:tcPr>
          <w:p>
            <w:r>
              <w:rPr>
                <w:rFonts w:ascii="Calibri" w:cs="Calibri" w:eastAsia="Calibri" w:hAnsi="Calibri"/>
                <w:color w:val="404040"/>
                <w:sz w:val="19"/>
                <w:szCs w:val="19"/>
              </w:rPr>
              <w:t xml:space="preserve">Applies only to LPs admitted after First Close</w:t>
            </w:r>
          </w:p>
        </w:tc>
      </w:tr>
      <w:tr>
        <w:tc>
          <w:tcPr>
            <w:tcW w:type="pct" w:w="5%"/>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G.9</w:t>
            </w:r>
          </w:p>
        </w:tc>
        <w:tc>
          <w:tcPr>
            <w:tcW w:type="pct" w:w="18%"/>
            <w:tcMar>
              <w:top w:type="dxa" w:w="50"/>
              <w:left w:type="dxa" w:w="80"/>
              <w:bottom w:type="dxa" w:w="50"/>
              <w:right w:type="dxa" w:w="80"/>
            </w:tcMar>
          </w:tcPr>
          <w:p>
            <w:r>
              <w:rPr>
                <w:rFonts w:ascii="Calibri" w:cs="Calibri" w:eastAsia="Calibri" w:hAnsi="Calibri"/>
                <w:b/>
                <w:bCs/>
                <w:color w:val="1F3864"/>
                <w:sz w:val="19"/>
                <w:szCs w:val="19"/>
              </w:rPr>
              <w:t xml:space="preserve">Realization / Exit</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Year 3 to Year 8–10</w:t>
            </w:r>
          </w:p>
        </w:tc>
        <w:tc>
          <w:tcPr>
            <w:tcW w:type="pct" w:w="57%"/>
            <w:tcMar>
              <w:top w:type="dxa" w:w="50"/>
              <w:left w:type="dxa" w:w="80"/>
              <w:bottom w:type="dxa" w:w="50"/>
              <w:right w:type="dxa" w:w="80"/>
            </w:tcMar>
          </w:tcPr>
          <w:p>
            <w:r>
              <w:rPr>
                <w:rFonts w:ascii="Calibri" w:cs="Calibri" w:eastAsia="Calibri" w:hAnsi="Calibri"/>
                <w:color w:val="404040"/>
                <w:sz w:val="19"/>
                <w:szCs w:val="19"/>
              </w:rPr>
              <w:t xml:space="preserve">Exits begin after seasoning period; concentrated in Years 5–8</w:t>
            </w:r>
          </w:p>
        </w:tc>
      </w:tr>
      <w:tr>
        <w:tc>
          <w:tcPr>
            <w:tcW w:type="pct" w:w="5%"/>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G.10</w:t>
            </w:r>
          </w:p>
        </w:tc>
        <w:tc>
          <w:tcPr>
            <w:tcW w:type="pct" w:w="18%"/>
            <w:tcMar>
              <w:top w:type="dxa" w:w="50"/>
              <w:left w:type="dxa" w:w="80"/>
              <w:bottom w:type="dxa" w:w="50"/>
              <w:right w:type="dxa" w:w="80"/>
            </w:tcMar>
          </w:tcPr>
          <w:p>
            <w:r>
              <w:rPr>
                <w:rFonts w:ascii="Calibri" w:cs="Calibri" w:eastAsia="Calibri" w:hAnsi="Calibri"/>
                <w:b/>
                <w:bCs/>
                <w:color w:val="1F3864"/>
                <w:sz w:val="19"/>
                <w:szCs w:val="19"/>
              </w:rPr>
              <w:t xml:space="preserve">Distributions</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Year 4 to Year 10+</w:t>
            </w:r>
          </w:p>
        </w:tc>
        <w:tc>
          <w:tcPr>
            <w:tcW w:type="pct" w:w="57%"/>
            <w:tcMar>
              <w:top w:type="dxa" w:w="50"/>
              <w:left w:type="dxa" w:w="80"/>
              <w:bottom w:type="dxa" w:w="50"/>
              <w:right w:type="dxa" w:w="80"/>
            </w:tcMar>
          </w:tcPr>
          <w:p>
            <w:r>
              <w:rPr>
                <w:rFonts w:ascii="Calibri" w:cs="Calibri" w:eastAsia="Calibri" w:hAnsi="Calibri"/>
                <w:color w:val="404040"/>
                <w:sz w:val="19"/>
                <w:szCs w:val="19"/>
              </w:rPr>
              <w:t xml:space="preserve">Distributions follow exits; DPI builds from Year 4 onwards</w:t>
            </w:r>
          </w:p>
        </w:tc>
      </w:tr>
      <w:tr>
        <w:tc>
          <w:tcPr>
            <w:tcW w:type="pct" w:w="5%"/>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G.11</w:t>
            </w:r>
          </w:p>
        </w:tc>
        <w:tc>
          <w:tcPr>
            <w:tcW w:type="pct" w:w="18%"/>
            <w:tcMar>
              <w:top w:type="dxa" w:w="50"/>
              <w:left w:type="dxa" w:w="80"/>
              <w:bottom w:type="dxa" w:w="50"/>
              <w:right w:type="dxa" w:w="80"/>
            </w:tcMar>
          </w:tcPr>
          <w:p>
            <w:r>
              <w:rPr>
                <w:rFonts w:ascii="Calibri" w:cs="Calibri" w:eastAsia="Calibri" w:hAnsi="Calibri"/>
                <w:b/>
                <w:bCs/>
                <w:color w:val="1F3864"/>
                <w:sz w:val="19"/>
                <w:szCs w:val="19"/>
              </w:rPr>
              <w:t xml:space="preserve">Wind-Down / Dissolution</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Year 8 to Year 10+</w:t>
            </w:r>
          </w:p>
        </w:tc>
        <w:tc>
          <w:tcPr>
            <w:tcW w:type="pct" w:w="57%"/>
            <w:tcMar>
              <w:top w:type="dxa" w:w="50"/>
              <w:left w:type="dxa" w:w="80"/>
              <w:bottom w:type="dxa" w:w="50"/>
              <w:right w:type="dxa" w:w="80"/>
            </w:tcMar>
          </w:tcPr>
          <w:p>
            <w:r>
              <w:rPr>
                <w:rFonts w:ascii="Calibri" w:cs="Calibri" w:eastAsia="Calibri" w:hAnsi="Calibri"/>
                <w:color w:val="404040"/>
                <w:sz w:val="19"/>
                <w:szCs w:val="19"/>
              </w:rPr>
              <w:t xml:space="preserve">Can be extended by LPAC vote; final dissolution after last exit</w:t>
            </w:r>
          </w:p>
        </w:tc>
      </w:tr>
    </w:tbl>
    <w:p>
      <w:pPr>
        <w:spacing w:after="160" w:before="0"/>
      </w:pPr>
      <w:r>
        <w:t xml:space="preserve"/>
      </w:r>
    </w:p>
    <w:p>
      <w:pPr>
        <w:pStyle w:val="Heading1"/>
        <w:spacing w:after="160" w:before="480"/>
      </w:pPr>
      <w:r>
        <w:t xml:space="preserve">Appendix H — Capital Call Wire Mechanics &amp; Transfer Agent Reconciliation</w:t>
      </w:r>
    </w:p>
    <w:p>
      <w:pPr>
        <w:spacing w:after="120" w:before="0"/>
      </w:pPr>
      <w:r>
        <w:rPr>
          <w:rFonts w:ascii="Calibri" w:cs="Calibri" w:eastAsia="Calibri" w:hAnsi="Calibri"/>
          <w:color w:val="404040"/>
          <w:sz w:val="22"/>
          <w:szCs w:val="22"/>
        </w:rPr>
        <w:t xml:space="preserve">This appendix describes precisely where capital call proceeds are wired, when each wire occurs, who controls the accounts, and how the transfer agent reconciles receipts against expected amounts — covering both the standard feeder-LP structure and direct investors in the Master Fund.</w:t>
      </w:r>
    </w:p>
    <w:p>
      <w:pPr>
        <w:spacing w:after="160" w:before="0"/>
      </w:pPr>
      <w:r>
        <w:t xml:space="preserve"/>
      </w:r>
    </w:p>
    <w:p>
      <w:pPr>
        <w:pStyle w:val="Heading2"/>
        <w:spacing w:after="120" w:before="320"/>
      </w:pPr>
      <w:r>
        <w:t xml:space="preserve">H.1  Who Receives the Wire — Fund Accounts, Not the GP Individually</w:t>
      </w:r>
    </w:p>
    <w:p>
      <w:pPr>
        <w:spacing w:after="120" w:before="0"/>
      </w:pPr>
      <w:r>
        <w:rPr>
          <w:rFonts w:ascii="Calibri" w:cs="Calibri" w:eastAsia="Calibri" w:hAnsi="Calibri"/>
          <w:color w:val="404040"/>
          <w:sz w:val="22"/>
          <w:szCs w:val="22"/>
        </w:rPr>
        <w:t xml:space="preserve">A common misconception is that LP wires go to the GP personally. They do not. The wire is sent to the relevant fund entity's bank account, maintained in the name of the fund legal entity. The GP acts as investment manager and signatory on that account, but the account belongs to the fund.</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tblGrid>
      <w:tr>
        <w:trPr>
          <w:tblHeader/>
        </w:trPr>
        <w:tc>
          <w:tcPr>
            <w:tcW w:type="pct" w:w="2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Entity</w:t>
            </w:r>
          </w:p>
        </w:tc>
        <w:tc>
          <w:tcPr>
            <w:tcW w:type="pct" w:w="4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Account Name (example)</w:t>
            </w:r>
          </w:p>
        </w:tc>
        <w:tc>
          <w:tcPr>
            <w:tcW w:type="pct" w:w="2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Bank</w:t>
            </w:r>
          </w:p>
        </w:tc>
        <w:tc>
          <w:tcPr>
            <w:tcW w:type="pct" w:w="1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Controller</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Domestic Feeder</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Apollo Buyout Fund X — Domestic Feeder LP</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JPMorgan Chase Bank NA</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GP / Fund Admin</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Offshore Feeder</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Apollo Buyout Fund X — Offshore Feeder LP</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Citibank NA</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GP / Fund Admin</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Master Fund</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Apollo Buyout Fund X — Master Fund LP</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JPMorgan Chase Bank NA</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GP / Fund Admin</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Portfolio Company</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Target Co. Acquisition Account</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Deal-specific</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GP / Deal Counsel</w:t>
            </w:r>
          </w:p>
        </w:tc>
      </w:tr>
    </w:tbl>
    <w:p>
      <w:pPr>
        <w:spacing w:after="160" w:before="0"/>
      </w:pPr>
      <w:r>
        <w:t xml:space="preserve"/>
      </w:r>
    </w:p>
    <w:p>
      <w:pPr>
        <w:spacing w:after="120" w:before="0"/>
      </w:pPr>
      <w:r>
        <w:rPr>
          <w:rFonts w:ascii="Calibri" w:cs="Calibri" w:eastAsia="Calibri" w:hAnsi="Calibri"/>
          <w:color w:val="404040"/>
          <w:sz w:val="22"/>
          <w:szCs w:val="22"/>
        </w:rPr>
        <w:t xml:space="preserve">Bank accounts are opened by the fund administrator or GP in the fund entity's name at fund launch. Authorised signatories are typically the GP's CFO and at least one other senior officer. The fund administrator monitors daily cash positions and initiates sweeps under dual-approval controls.</w:t>
      </w:r>
    </w:p>
    <w:p>
      <w:pPr>
        <w:spacing w:after="160" w:before="0"/>
      </w:pPr>
      <w:r>
        <w:t xml:space="preserve"/>
      </w:r>
    </w:p>
    <w:p>
      <w:pPr>
        <w:pStyle w:val="Heading2"/>
        <w:spacing w:after="120" w:before="320"/>
      </w:pPr>
      <w:r>
        <w:t xml:space="preserve">H.2  Wire Timing — Step-by-Step</w:t>
      </w:r>
    </w:p>
    <w:p>
      <w:pPr>
        <w:spacing w:after="120" w:before="0"/>
      </w:pPr>
      <w:r>
        <w:rPr>
          <w:rFonts w:ascii="Calibri" w:cs="Calibri" w:eastAsia="Calibri" w:hAnsi="Calibri"/>
          <w:color w:val="404040"/>
          <w:sz w:val="22"/>
          <w:szCs w:val="22"/>
        </w:rPr>
        <w:t xml:space="preserve">The capital call timeline is governed by the LPA, which specifies the notice period (typically 5–10 business days). The following table shows the exact sequence from notice issuance to portfolio deployment.</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tblGrid>
      <w:tr>
        <w:trPr>
          <w:tblHeader/>
        </w:trPr>
        <w:tc>
          <w:tcPr>
            <w:tcW w:type="pct" w:w="1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Day</w:t>
            </w:r>
          </w:p>
        </w:tc>
        <w:tc>
          <w:tcPr>
            <w:tcW w:type="pct" w:w="3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Event</w:t>
            </w:r>
          </w:p>
        </w:tc>
        <w:tc>
          <w:tcPr>
            <w:tcW w:type="pct" w:w="5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Detail</w:t>
            </w:r>
          </w:p>
        </w:tc>
      </w:tr>
      <w:tr>
        <w:tc>
          <w:tcPr>
            <w:tcW w:type="pct" w:w="10%"/>
            <w:shd w:fill="E8ECF4" w:color="E8ECF4" w:val="clear"/>
            <w:tcMar>
              <w:top w:type="dxa" w:w="50"/>
              <w:left w:type="dxa" w:w="80"/>
              <w:bottom w:type="dxa" w:w="50"/>
              <w:right w:type="dxa" w:w="80"/>
            </w:tcMar>
          </w:tcPr>
          <w:p>
            <w:pPr>
              <w:jc w:val="center"/>
            </w:pPr>
            <w:r>
              <w:rPr>
                <w:rFonts w:ascii="Calibri" w:cs="Calibri" w:eastAsia="Calibri" w:hAnsi="Calibri"/>
                <w:b/>
                <w:bCs/>
                <w:color w:val="1F3864"/>
                <w:sz w:val="19"/>
                <w:szCs w:val="19"/>
              </w:rPr>
              <w:t xml:space="preserve">T = 0</w:t>
            </w:r>
          </w:p>
        </w:tc>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GP / Fund Admin issues capital call notice</w:t>
            </w:r>
          </w:p>
        </w:tc>
        <w:tc>
          <w:tcPr>
            <w:tcW w:type="pct" w:w="55%"/>
            <w:tcMar>
              <w:top w:type="dxa" w:w="50"/>
              <w:left w:type="dxa" w:w="80"/>
              <w:bottom w:type="dxa" w:w="50"/>
              <w:right w:type="dxa" w:w="80"/>
            </w:tcMar>
          </w:tcPr>
          <w:p>
            <w:r>
              <w:rPr>
                <w:rFonts w:ascii="Calibri" w:cs="Calibri" w:eastAsia="Calibri" w:hAnsi="Calibri"/>
                <w:color w:val="404040"/>
                <w:sz w:val="19"/>
                <w:szCs w:val="19"/>
              </w:rPr>
              <w:t xml:space="preserve">Capital call notice (per LP) generated by fund admin. Delivered via email and secure investor portal. Includes: called amount, due date, bank wire instructions, and unique payment reference per LP.</w:t>
            </w:r>
          </w:p>
        </w:tc>
      </w:tr>
      <w:tr>
        <w:tc>
          <w:tcPr>
            <w:tcW w:type="pct" w:w="10%"/>
            <w:shd w:fill="F0F4FA" w:color="F0F4FA" w:val="clear"/>
            <w:tcMar>
              <w:top w:type="dxa" w:w="50"/>
              <w:left w:type="dxa" w:w="80"/>
              <w:bottom w:type="dxa" w:w="50"/>
              <w:right w:type="dxa" w:w="80"/>
            </w:tcMar>
          </w:tcPr>
          <w:p>
            <w:pPr>
              <w:jc w:val="center"/>
            </w:pPr>
            <w:r>
              <w:rPr>
                <w:rFonts w:ascii="Calibri" w:cs="Calibri" w:eastAsia="Calibri" w:hAnsi="Calibri"/>
                <w:b/>
                <w:bCs/>
                <w:color w:val="1F3864"/>
                <w:sz w:val="19"/>
                <w:szCs w:val="19"/>
              </w:rPr>
              <w:t xml:space="preserve">T = 0</w:t>
            </w:r>
          </w:p>
        </w:tc>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Notice delivered to LPs</w:t>
            </w:r>
          </w:p>
        </w:tc>
        <w:tc>
          <w:tcPr>
            <w:tcW w:type="pct" w:w="55%"/>
            <w:tcMar>
              <w:top w:type="dxa" w:w="50"/>
              <w:left w:type="dxa" w:w="80"/>
              <w:bottom w:type="dxa" w:w="50"/>
              <w:right w:type="dxa" w:w="80"/>
            </w:tcMar>
          </w:tcPr>
          <w:p>
            <w:r>
              <w:rPr>
                <w:rFonts w:ascii="Calibri" w:cs="Calibri" w:eastAsia="Calibri" w:hAnsi="Calibri"/>
                <w:color w:val="404040"/>
                <w:sz w:val="19"/>
                <w:szCs w:val="19"/>
              </w:rPr>
              <w:t xml:space="preserve">Fund admin / TA sends notices. Each notice carries a unique reference (e.g., CCN-00042) that the LP must include in the wire memo field.</w:t>
            </w:r>
          </w:p>
        </w:tc>
      </w:tr>
      <w:tr>
        <w:tc>
          <w:tcPr>
            <w:tcW w:type="pct" w:w="10%"/>
            <w:shd w:fill="E8ECF4" w:color="E8ECF4" w:val="clear"/>
            <w:tcMar>
              <w:top w:type="dxa" w:w="50"/>
              <w:left w:type="dxa" w:w="80"/>
              <w:bottom w:type="dxa" w:w="50"/>
              <w:right w:type="dxa" w:w="80"/>
            </w:tcMar>
          </w:tcPr>
          <w:p>
            <w:pPr>
              <w:jc w:val="center"/>
            </w:pPr>
            <w:r>
              <w:rPr>
                <w:rFonts w:ascii="Calibri" w:cs="Calibri" w:eastAsia="Calibri" w:hAnsi="Calibri"/>
                <w:b/>
                <w:bCs/>
                <w:color w:val="1F3864"/>
                <w:sz w:val="19"/>
                <w:szCs w:val="19"/>
              </w:rPr>
              <w:t xml:space="preserve">T+1 to T+9</w:t>
            </w:r>
          </w:p>
        </w:tc>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LP internal approval and payment preparation</w:t>
            </w:r>
          </w:p>
        </w:tc>
        <w:tc>
          <w:tcPr>
            <w:tcW w:type="pct" w:w="55%"/>
            <w:tcMar>
              <w:top w:type="dxa" w:w="50"/>
              <w:left w:type="dxa" w:w="80"/>
              <w:bottom w:type="dxa" w:w="50"/>
              <w:right w:type="dxa" w:w="80"/>
            </w:tcMar>
          </w:tcPr>
          <w:p>
            <w:r>
              <w:rPr>
                <w:rFonts w:ascii="Calibri" w:cs="Calibri" w:eastAsia="Calibri" w:hAnsi="Calibri"/>
                <w:color w:val="404040"/>
                <w:sz w:val="19"/>
                <w:szCs w:val="19"/>
              </w:rPr>
              <w:t xml:space="preserve">LP processes the call internally (investment ops, treasury approval, wire authorisation). Most institutional LPs wire 1–2 days before the due date.</w:t>
            </w:r>
          </w:p>
        </w:tc>
      </w:tr>
      <w:tr>
        <w:tc>
          <w:tcPr>
            <w:tcW w:type="pct" w:w="10%"/>
            <w:shd w:fill="F0F4FA" w:color="F0F4FA" w:val="clear"/>
            <w:tcMar>
              <w:top w:type="dxa" w:w="50"/>
              <w:left w:type="dxa" w:w="80"/>
              <w:bottom w:type="dxa" w:w="50"/>
              <w:right w:type="dxa" w:w="80"/>
            </w:tcMar>
          </w:tcPr>
          <w:p>
            <w:pPr>
              <w:jc w:val="center"/>
            </w:pPr>
            <w:r>
              <w:rPr>
                <w:rFonts w:ascii="Calibri" w:cs="Calibri" w:eastAsia="Calibri" w:hAnsi="Calibri"/>
                <w:b/>
                <w:bCs/>
                <w:color w:val="1F3864"/>
                <w:sz w:val="19"/>
                <w:szCs w:val="19"/>
              </w:rPr>
              <w:t xml:space="preserve">T+5 to T+10 (Due Date)</w:t>
            </w:r>
          </w:p>
        </w:tc>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LP wires pro-rata called capital to Feeder account</w:t>
            </w:r>
          </w:p>
        </w:tc>
        <w:tc>
          <w:tcPr>
            <w:tcW w:type="pct" w:w="55%"/>
            <w:tcMar>
              <w:top w:type="dxa" w:w="50"/>
              <w:left w:type="dxa" w:w="80"/>
              <w:bottom w:type="dxa" w:w="50"/>
              <w:right w:type="dxa" w:w="80"/>
            </w:tcMar>
          </w:tcPr>
          <w:p>
            <w:r>
              <w:rPr>
                <w:rFonts w:ascii="Calibri" w:cs="Calibri" w:eastAsia="Calibri" w:hAnsi="Calibri"/>
                <w:color w:val="404040"/>
                <w:sz w:val="19"/>
                <w:szCs w:val="19"/>
              </w:rPr>
              <w:t xml:space="preserve">Each LP sends an individual wire to the feeder bank account. Wire reference must match the notice ID. Feeder account receives multiple individual credits throughout this window.</w:t>
            </w:r>
          </w:p>
        </w:tc>
      </w:tr>
      <w:tr>
        <w:tc>
          <w:tcPr>
            <w:tcW w:type="pct" w:w="10%"/>
            <w:shd w:fill="E8ECF4" w:color="E8ECF4" w:val="clear"/>
            <w:tcMar>
              <w:top w:type="dxa" w:w="50"/>
              <w:left w:type="dxa" w:w="80"/>
              <w:bottom w:type="dxa" w:w="50"/>
              <w:right w:type="dxa" w:w="80"/>
            </w:tcMar>
          </w:tcPr>
          <w:p>
            <w:pPr>
              <w:jc w:val="center"/>
            </w:pPr>
            <w:r>
              <w:rPr>
                <w:rFonts w:ascii="Calibri" w:cs="Calibri" w:eastAsia="Calibri" w:hAnsi="Calibri"/>
                <w:b/>
                <w:bCs/>
                <w:color w:val="1F3864"/>
                <w:sz w:val="19"/>
                <w:szCs w:val="19"/>
              </w:rPr>
              <w:t xml:space="preserve">T+10 (Due Date — EOD)</w:t>
            </w:r>
          </w:p>
        </w:tc>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Fund Admin monitors incoming wires; flags lates</w:t>
            </w:r>
          </w:p>
        </w:tc>
        <w:tc>
          <w:tcPr>
            <w:tcW w:type="pct" w:w="55%"/>
            <w:tcMar>
              <w:top w:type="dxa" w:w="50"/>
              <w:left w:type="dxa" w:w="80"/>
              <w:bottom w:type="dxa" w:w="50"/>
              <w:right w:type="dxa" w:w="80"/>
            </w:tcMar>
          </w:tcPr>
          <w:p>
            <w:r>
              <w:rPr>
                <w:rFonts w:ascii="Calibri" w:cs="Calibri" w:eastAsia="Calibri" w:hAnsi="Calibri"/>
                <w:color w:val="404040"/>
                <w:sz w:val="19"/>
                <w:szCs w:val="19"/>
              </w:rPr>
              <w:t xml:space="preserve">Fund admin reconciles actual credits on feeder bank statement against expected amounts per notice register. Any LP not yet received is flagged for follow-up.</w:t>
            </w:r>
          </w:p>
        </w:tc>
      </w:tr>
      <w:tr>
        <w:tc>
          <w:tcPr>
            <w:tcW w:type="pct" w:w="10%"/>
            <w:shd w:fill="F0F4FA" w:color="F0F4FA" w:val="clear"/>
            <w:tcMar>
              <w:top w:type="dxa" w:w="50"/>
              <w:left w:type="dxa" w:w="80"/>
              <w:bottom w:type="dxa" w:w="50"/>
              <w:right w:type="dxa" w:w="80"/>
            </w:tcMar>
          </w:tcPr>
          <w:p>
            <w:pPr>
              <w:jc w:val="center"/>
            </w:pPr>
            <w:r>
              <w:rPr>
                <w:rFonts w:ascii="Calibri" w:cs="Calibri" w:eastAsia="Calibri" w:hAnsi="Calibri"/>
                <w:b/>
                <w:bCs/>
                <w:color w:val="1F3864"/>
                <w:sz w:val="19"/>
                <w:szCs w:val="19"/>
              </w:rPr>
              <w:t xml:space="preserve">T+10 or T+11</w:t>
            </w:r>
          </w:p>
        </w:tc>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Feeder sweeps aggregate proceeds to Master Fund</w:t>
            </w:r>
          </w:p>
        </w:tc>
        <w:tc>
          <w:tcPr>
            <w:tcW w:type="pct" w:w="55%"/>
            <w:tcMar>
              <w:top w:type="dxa" w:w="50"/>
              <w:left w:type="dxa" w:w="80"/>
              <w:bottom w:type="dxa" w:w="50"/>
              <w:right w:type="dxa" w:w="80"/>
            </w:tcMar>
          </w:tcPr>
          <w:p>
            <w:r>
              <w:rPr>
                <w:rFonts w:ascii="Calibri" w:cs="Calibri" w:eastAsia="Calibri" w:hAnsi="Calibri"/>
                <w:color w:val="404040"/>
                <w:sz w:val="19"/>
                <w:szCs w:val="19"/>
              </w:rPr>
              <w:t xml:space="preserve">Once substantially all LP proceeds are received (or on due date regardless of lates), custodian / fund admin initiates a single aggregate wire from feeder account to Master Fund account. One wire per feeder.</w:t>
            </w:r>
          </w:p>
        </w:tc>
      </w:tr>
      <w:tr>
        <w:tc>
          <w:tcPr>
            <w:tcW w:type="pct" w:w="10%"/>
            <w:shd w:fill="E8ECF4" w:color="E8ECF4" w:val="clear"/>
            <w:tcMar>
              <w:top w:type="dxa" w:w="50"/>
              <w:left w:type="dxa" w:w="80"/>
              <w:bottom w:type="dxa" w:w="50"/>
              <w:right w:type="dxa" w:w="80"/>
            </w:tcMar>
          </w:tcPr>
          <w:p>
            <w:pPr>
              <w:jc w:val="center"/>
            </w:pPr>
            <w:r>
              <w:rPr>
                <w:rFonts w:ascii="Calibri" w:cs="Calibri" w:eastAsia="Calibri" w:hAnsi="Calibri"/>
                <w:b/>
                <w:bCs/>
                <w:color w:val="1F3864"/>
                <w:sz w:val="19"/>
                <w:szCs w:val="19"/>
              </w:rPr>
              <w:t xml:space="preserve">T+11</w:t>
            </w:r>
          </w:p>
        </w:tc>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Master Fund receives proceeds; GP has investable cash</w:t>
            </w:r>
          </w:p>
        </w:tc>
        <w:tc>
          <w:tcPr>
            <w:tcW w:type="pct" w:w="55%"/>
            <w:tcMar>
              <w:top w:type="dxa" w:w="50"/>
              <w:left w:type="dxa" w:w="80"/>
              <w:bottom w:type="dxa" w:w="50"/>
              <w:right w:type="dxa" w:w="80"/>
            </w:tcMar>
          </w:tcPr>
          <w:p>
            <w:r>
              <w:rPr>
                <w:rFonts w:ascii="Calibri" w:cs="Calibri" w:eastAsia="Calibri" w:hAnsi="Calibri"/>
                <w:color w:val="404040"/>
                <w:sz w:val="19"/>
                <w:szCs w:val="19"/>
              </w:rPr>
              <w:t xml:space="preserve">Master Fund bank account credited. GP can now instruct deployment. Cash sits in Master Fund money market / overnight account until deployed.</w:t>
            </w:r>
          </w:p>
        </w:tc>
      </w:tr>
      <w:tr>
        <w:tc>
          <w:tcPr>
            <w:tcW w:type="pct" w:w="10%"/>
            <w:shd w:fill="F0F4FA" w:color="F0F4FA" w:val="clear"/>
            <w:tcMar>
              <w:top w:type="dxa" w:w="50"/>
              <w:left w:type="dxa" w:w="80"/>
              <w:bottom w:type="dxa" w:w="50"/>
              <w:right w:type="dxa" w:w="80"/>
            </w:tcMar>
          </w:tcPr>
          <w:p>
            <w:pPr>
              <w:jc w:val="center"/>
            </w:pPr>
            <w:r>
              <w:rPr>
                <w:rFonts w:ascii="Calibri" w:cs="Calibri" w:eastAsia="Calibri" w:hAnsi="Calibri"/>
                <w:b/>
                <w:bCs/>
                <w:color w:val="1F3864"/>
                <w:sz w:val="19"/>
                <w:szCs w:val="19"/>
              </w:rPr>
              <w:t xml:space="preserve">T+11 to T+30+</w:t>
            </w:r>
          </w:p>
        </w:tc>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GP wires to portfolio company / deal escrow</w:t>
            </w:r>
          </w:p>
        </w:tc>
        <w:tc>
          <w:tcPr>
            <w:tcW w:type="pct" w:w="55%"/>
            <w:tcMar>
              <w:top w:type="dxa" w:w="50"/>
              <w:left w:type="dxa" w:w="80"/>
              <w:bottom w:type="dxa" w:w="50"/>
              <w:right w:type="dxa" w:w="80"/>
            </w:tcMar>
          </w:tcPr>
          <w:p>
            <w:r>
              <w:rPr>
                <w:rFonts w:ascii="Calibri" w:cs="Calibri" w:eastAsia="Calibri" w:hAnsi="Calibri"/>
                <w:color w:val="404040"/>
                <w:sz w:val="19"/>
                <w:szCs w:val="19"/>
              </w:rPr>
              <w:t xml:space="preserve">GP issues payment instruction to custodian / bank referencing IC approval memo. Single wire per deal to target account or deal escrow.</w:t>
            </w:r>
          </w:p>
        </w:tc>
      </w:tr>
    </w:tbl>
    <w:p>
      <w:pPr>
        <w:spacing w:after="160" w:before="0"/>
      </w:pPr>
      <w:r>
        <w:t xml:space="preserve"/>
      </w:r>
    </w:p>
    <w:p>
      <w:pPr>
        <w:pStyle w:val="Heading2"/>
        <w:spacing w:after="120" w:before="320"/>
      </w:pPr>
      <w:r>
        <w:t xml:space="preserve">H.3  Individual vs. Aggregate Wires</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gridCol w:w="100"/>
      </w:tblGrid>
      <w:tr>
        <w:trPr>
          <w:tblHeader/>
        </w:trPr>
        <w:tc>
          <w:tcPr>
            <w:tcW w:type="pct" w:w="2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Wire Leg</w:t>
            </w:r>
          </w:p>
        </w:tc>
        <w:tc>
          <w:tcPr>
            <w:tcW w:type="pct" w:w="1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Type</w:t>
            </w:r>
          </w:p>
        </w:tc>
        <w:tc>
          <w:tcPr>
            <w:tcW w:type="pct" w:w="2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From</w:t>
            </w:r>
          </w:p>
        </w:tc>
        <w:tc>
          <w:tcPr>
            <w:tcW w:type="pct" w:w="2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To</w:t>
            </w:r>
          </w:p>
        </w:tc>
        <w:tc>
          <w:tcPr>
            <w:tcW w:type="pct" w:w="2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Notes</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LP → Feeder</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Individual per LP</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Each LP's bank</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Feeder account</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Unique wire ref per notice</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Feeder → Master Fund</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Single aggregate</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Feeder account</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Master Fund account</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One wire per feeder entity</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Direct LP → Master Fund</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Individual per LP</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Direct LP's bank</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Master Fund account</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Same account as feeder remittances</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Master Fund → Portfolio Co.</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Single per deal</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Master Fund account</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Portfolio company / escrow</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Requires IC approval memo</w:t>
            </w:r>
          </w:p>
        </w:tc>
      </w:tr>
    </w:tbl>
    <w:p>
      <w:pPr>
        <w:spacing w:after="160" w:before="0"/>
      </w:pPr>
      <w:r>
        <w:t xml:space="preserve"/>
      </w:r>
    </w:p>
    <w:p>
      <w:pPr>
        <w:pStyle w:val="Heading2"/>
        <w:spacing w:after="120" w:before="320"/>
      </w:pPr>
      <w:r>
        <w:t xml:space="preserve">H.4  GL Journal Entries — Full Sequence</w:t>
      </w:r>
    </w:p>
    <w:p>
      <w:pPr>
        <w:spacing w:after="120" w:before="0"/>
      </w:pPr>
      <w:r>
        <w:rPr>
          <w:rFonts w:ascii="Calibri" w:cs="Calibri" w:eastAsia="Calibri" w:hAnsi="Calibri"/>
          <w:color w:val="404040"/>
          <w:sz w:val="22"/>
          <w:szCs w:val="22"/>
        </w:rPr>
        <w:t xml:space="preserve">The fund administrator books five journal entries per settled capital call notice. The feeder and Master Fund maintain separate general ledgers. Entries at each entity are shown below.</w:t>
      </w:r>
    </w:p>
    <w:p>
      <w:pPr>
        <w:spacing w:after="160" w:before="0"/>
      </w:pPr>
      <w:r>
        <w:t xml:space="preserve"/>
      </w:r>
    </w:p>
    <w:p>
      <w:pPr>
        <w:spacing w:after="80" w:before="200"/>
      </w:pPr>
      <w:r>
        <w:rPr>
          <w:rFonts w:ascii="Calibri" w:cs="Calibri" w:eastAsia="Calibri" w:hAnsi="Calibri"/>
          <w:b/>
          <w:bCs/>
          <w:color w:val="1F3864"/>
          <w:sz w:val="24"/>
          <w:szCs w:val="24"/>
        </w:rPr>
        <w:t xml:space="preserve">H.4.1  Feeder-Level Entries (per LP notice)</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gridCol w:w="100"/>
        <w:gridCol w:w="100"/>
      </w:tblGrid>
      <w:tr>
        <w:trPr>
          <w:tblHeader/>
        </w:trPr>
        <w:tc>
          <w:tcPr>
            <w:tcW w:type="pct" w:w="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Step</w:t>
            </w:r>
          </w:p>
        </w:tc>
        <w:tc>
          <w:tcPr>
            <w:tcW w:type="pct" w:w="1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Trigger Date</w:t>
            </w:r>
          </w:p>
        </w:tc>
        <w:tc>
          <w:tcPr>
            <w:tcW w:type="pct" w:w="2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Entry Type</w:t>
            </w:r>
          </w:p>
        </w:tc>
        <w:tc>
          <w:tcPr>
            <w:tcW w:type="pct" w:w="27%"/>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Debit Account</w:t>
            </w:r>
          </w:p>
        </w:tc>
        <w:tc>
          <w:tcPr>
            <w:tcW w:type="pct" w:w="27%"/>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Credit Account</w:t>
            </w:r>
          </w:p>
        </w:tc>
        <w:tc>
          <w:tcPr>
            <w:tcW w:type="pct" w:w="6%"/>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Amount</w:t>
            </w:r>
          </w:p>
        </w:tc>
      </w:tr>
      <w:tr>
        <w:tc>
          <w:tcPr>
            <w:tcW w:type="pct" w:w="5%"/>
            <w:shd w:fill="1F3864" w:color="1F3864" w:val="clear"/>
            <w:tcMar>
              <w:top w:type="dxa" w:w="50"/>
              <w:left w:type="dxa" w:w="80"/>
              <w:bottom w:type="dxa" w:w="50"/>
              <w:right w:type="dxa" w:w="80"/>
            </w:tcMar>
          </w:tcPr>
          <w:p>
            <w:pPr>
              <w:jc w:val="center"/>
            </w:pPr>
            <w:r>
              <w:rPr>
                <w:rFonts w:ascii="Calibri" w:cs="Calibri" w:eastAsia="Calibri" w:hAnsi="Calibri"/>
                <w:b/>
                <w:bCs/>
                <w:color w:val="FFFFFF"/>
                <w:sz w:val="19"/>
                <w:szCs w:val="19"/>
              </w:rPr>
              <w:t xml:space="preserve">1</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Call date (T=0)</w:t>
            </w:r>
          </w:p>
        </w:tc>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Book Receivable</w:t>
            </w:r>
          </w:p>
        </w:tc>
        <w:tc>
          <w:tcPr>
            <w:tcW w:type="pct" w:w="27%"/>
            <w:tcMar>
              <w:top w:type="dxa" w:w="50"/>
              <w:left w:type="dxa" w:w="80"/>
              <w:bottom w:type="dxa" w:w="50"/>
              <w:right w:type="dxa" w:w="80"/>
            </w:tcMar>
          </w:tcPr>
          <w:p>
            <w:r>
              <w:rPr>
                <w:rFonts w:ascii="Calibri" w:cs="Calibri" w:eastAsia="Calibri" w:hAnsi="Calibri"/>
                <w:color w:val="404040"/>
                <w:sz w:val="19"/>
                <w:szCs w:val="19"/>
              </w:rPr>
              <w:t xml:space="preserve">Capital Call Receivable — LP</w:t>
            </w:r>
          </w:p>
        </w:tc>
        <w:tc>
          <w:tcPr>
            <w:tcW w:type="pct" w:w="27%"/>
            <w:tcMar>
              <w:top w:type="dxa" w:w="50"/>
              <w:left w:type="dxa" w:w="80"/>
              <w:bottom w:type="dxa" w:w="50"/>
              <w:right w:type="dxa" w:w="80"/>
            </w:tcMar>
          </w:tcPr>
          <w:p>
            <w:r>
              <w:rPr>
                <w:rFonts w:ascii="Calibri" w:cs="Calibri" w:eastAsia="Calibri" w:hAnsi="Calibri"/>
                <w:color w:val="404040"/>
                <w:sz w:val="19"/>
                <w:szCs w:val="19"/>
              </w:rPr>
              <w:t xml:space="preserve">Capital Contributions Payable</w:t>
            </w:r>
          </w:p>
        </w:tc>
        <w:tc>
          <w:tcPr>
            <w:tcW w:type="pct" w:w="6%"/>
            <w:tcMar>
              <w:top w:type="dxa" w:w="50"/>
              <w:left w:type="dxa" w:w="80"/>
              <w:bottom w:type="dxa" w:w="50"/>
              <w:right w:type="dxa" w:w="80"/>
            </w:tcMar>
          </w:tcPr>
          <w:p>
            <w:r>
              <w:rPr>
                <w:rFonts w:ascii="Calibri" w:cs="Calibri" w:eastAsia="Calibri" w:hAnsi="Calibri"/>
                <w:color w:val="404040"/>
                <w:sz w:val="19"/>
                <w:szCs w:val="19"/>
              </w:rPr>
              <w:t xml:space="preserve">Called $</w:t>
            </w:r>
          </w:p>
        </w:tc>
      </w:tr>
      <w:tr>
        <w:tc>
          <w:tcPr>
            <w:tcW w:type="pct" w:w="5%"/>
            <w:shd w:fill="2F5496" w:color="2F5496" w:val="clear"/>
            <w:tcMar>
              <w:top w:type="dxa" w:w="50"/>
              <w:left w:type="dxa" w:w="80"/>
              <w:bottom w:type="dxa" w:w="50"/>
              <w:right w:type="dxa" w:w="80"/>
            </w:tcMar>
          </w:tcPr>
          <w:p>
            <w:pPr>
              <w:jc w:val="center"/>
            </w:pPr>
            <w:r>
              <w:rPr>
                <w:rFonts w:ascii="Calibri" w:cs="Calibri" w:eastAsia="Calibri" w:hAnsi="Calibri"/>
                <w:b/>
                <w:bCs/>
                <w:color w:val="FFFFFF"/>
                <w:sz w:val="19"/>
                <w:szCs w:val="19"/>
              </w:rPr>
              <w:t xml:space="preserve">2</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Settlement (T+10)</w:t>
            </w:r>
          </w:p>
        </w:tc>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Receive LP Wire</w:t>
            </w:r>
          </w:p>
        </w:tc>
        <w:tc>
          <w:tcPr>
            <w:tcW w:type="pct" w:w="27%"/>
            <w:tcMar>
              <w:top w:type="dxa" w:w="50"/>
              <w:left w:type="dxa" w:w="80"/>
              <w:bottom w:type="dxa" w:w="50"/>
              <w:right w:type="dxa" w:w="80"/>
            </w:tcMar>
          </w:tcPr>
          <w:p>
            <w:r>
              <w:rPr>
                <w:rFonts w:ascii="Calibri" w:cs="Calibri" w:eastAsia="Calibri" w:hAnsi="Calibri"/>
                <w:color w:val="404040"/>
                <w:sz w:val="19"/>
                <w:szCs w:val="19"/>
              </w:rPr>
              <w:t xml:space="preserve">Cash &amp; Cash Equivalents</w:t>
            </w:r>
          </w:p>
        </w:tc>
        <w:tc>
          <w:tcPr>
            <w:tcW w:type="pct" w:w="27%"/>
            <w:tcMar>
              <w:top w:type="dxa" w:w="50"/>
              <w:left w:type="dxa" w:w="80"/>
              <w:bottom w:type="dxa" w:w="50"/>
              <w:right w:type="dxa" w:w="80"/>
            </w:tcMar>
          </w:tcPr>
          <w:p>
            <w:r>
              <w:rPr>
                <w:rFonts w:ascii="Calibri" w:cs="Calibri" w:eastAsia="Calibri" w:hAnsi="Calibri"/>
                <w:color w:val="404040"/>
                <w:sz w:val="19"/>
                <w:szCs w:val="19"/>
              </w:rPr>
              <w:t xml:space="preserve">Capital Call Receivable — LP</w:t>
            </w:r>
          </w:p>
        </w:tc>
        <w:tc>
          <w:tcPr>
            <w:tcW w:type="pct" w:w="6%"/>
            <w:tcMar>
              <w:top w:type="dxa" w:w="50"/>
              <w:left w:type="dxa" w:w="80"/>
              <w:bottom w:type="dxa" w:w="50"/>
              <w:right w:type="dxa" w:w="80"/>
            </w:tcMar>
          </w:tcPr>
          <w:p>
            <w:r>
              <w:rPr>
                <w:rFonts w:ascii="Calibri" w:cs="Calibri" w:eastAsia="Calibri" w:hAnsi="Calibri"/>
                <w:color w:val="404040"/>
                <w:sz w:val="19"/>
                <w:szCs w:val="19"/>
              </w:rPr>
              <w:t xml:space="preserve">Called $</w:t>
            </w:r>
          </w:p>
        </w:tc>
      </w:tr>
      <w:tr>
        <w:tc>
          <w:tcPr>
            <w:tcW w:type="pct" w:w="5%"/>
            <w:shd w:fill="375623" w:color="375623" w:val="clear"/>
            <w:tcMar>
              <w:top w:type="dxa" w:w="50"/>
              <w:left w:type="dxa" w:w="80"/>
              <w:bottom w:type="dxa" w:w="50"/>
              <w:right w:type="dxa" w:w="80"/>
            </w:tcMar>
          </w:tcPr>
          <w:p>
            <w:pPr>
              <w:jc w:val="center"/>
            </w:pPr>
            <w:r>
              <w:rPr>
                <w:rFonts w:ascii="Calibri" w:cs="Calibri" w:eastAsia="Calibri" w:hAnsi="Calibri"/>
                <w:b/>
                <w:bCs/>
                <w:color w:val="FFFFFF"/>
                <w:sz w:val="19"/>
                <w:szCs w:val="19"/>
              </w:rPr>
              <w:t xml:space="preserve">3</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Remittance (T+11)</w:t>
            </w:r>
          </w:p>
        </w:tc>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Sweep to Master Fund</w:t>
            </w:r>
          </w:p>
        </w:tc>
        <w:tc>
          <w:tcPr>
            <w:tcW w:type="pct" w:w="27%"/>
            <w:tcMar>
              <w:top w:type="dxa" w:w="50"/>
              <w:left w:type="dxa" w:w="80"/>
              <w:bottom w:type="dxa" w:w="50"/>
              <w:right w:type="dxa" w:w="80"/>
            </w:tcMar>
          </w:tcPr>
          <w:p>
            <w:r>
              <w:rPr>
                <w:rFonts w:ascii="Calibri" w:cs="Calibri" w:eastAsia="Calibri" w:hAnsi="Calibri"/>
                <w:color w:val="404040"/>
                <w:sz w:val="19"/>
                <w:szCs w:val="19"/>
              </w:rPr>
              <w:t xml:space="preserve">Investment in Master Fund</w:t>
            </w:r>
          </w:p>
        </w:tc>
        <w:tc>
          <w:tcPr>
            <w:tcW w:type="pct" w:w="27%"/>
            <w:tcMar>
              <w:top w:type="dxa" w:w="50"/>
              <w:left w:type="dxa" w:w="80"/>
              <w:bottom w:type="dxa" w:w="50"/>
              <w:right w:type="dxa" w:w="80"/>
            </w:tcMar>
          </w:tcPr>
          <w:p>
            <w:r>
              <w:rPr>
                <w:rFonts w:ascii="Calibri" w:cs="Calibri" w:eastAsia="Calibri" w:hAnsi="Calibri"/>
                <w:color w:val="404040"/>
                <w:sz w:val="19"/>
                <w:szCs w:val="19"/>
              </w:rPr>
              <w:t xml:space="preserve">Cash &amp; Cash Equivalents</w:t>
            </w:r>
          </w:p>
        </w:tc>
        <w:tc>
          <w:tcPr>
            <w:tcW w:type="pct" w:w="6%"/>
            <w:tcMar>
              <w:top w:type="dxa" w:w="50"/>
              <w:left w:type="dxa" w:w="80"/>
              <w:bottom w:type="dxa" w:w="50"/>
              <w:right w:type="dxa" w:w="80"/>
            </w:tcMar>
          </w:tcPr>
          <w:p>
            <w:r>
              <w:rPr>
                <w:rFonts w:ascii="Calibri" w:cs="Calibri" w:eastAsia="Calibri" w:hAnsi="Calibri"/>
                <w:color w:val="404040"/>
                <w:sz w:val="19"/>
                <w:szCs w:val="19"/>
              </w:rPr>
              <w:t xml:space="preserve">Called $</w:t>
            </w:r>
          </w:p>
        </w:tc>
      </w:tr>
    </w:tbl>
    <w:p>
      <w:pPr>
        <w:spacing w:after="160" w:before="0"/>
      </w:pPr>
      <w:r>
        <w:t xml:space="preserve"/>
      </w:r>
    </w:p>
    <w:p>
      <w:pPr>
        <w:spacing w:after="80" w:before="200"/>
      </w:pPr>
      <w:r>
        <w:rPr>
          <w:rFonts w:ascii="Calibri" w:cs="Calibri" w:eastAsia="Calibri" w:hAnsi="Calibri"/>
          <w:b/>
          <w:bCs/>
          <w:color w:val="1F3864"/>
          <w:sz w:val="24"/>
          <w:szCs w:val="24"/>
        </w:rPr>
        <w:t xml:space="preserve">H.4.2  Master Fund-Level Entries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gridCol w:w="100"/>
        <w:gridCol w:w="100"/>
      </w:tblGrid>
      <w:tr>
        <w:trPr>
          <w:tblHeader/>
        </w:trPr>
        <w:tc>
          <w:tcPr>
            <w:tcW w:type="pct" w:w="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Step</w:t>
            </w:r>
          </w:p>
        </w:tc>
        <w:tc>
          <w:tcPr>
            <w:tcW w:type="pct" w:w="1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Trigger Date</w:t>
            </w:r>
          </w:p>
        </w:tc>
        <w:tc>
          <w:tcPr>
            <w:tcW w:type="pct" w:w="2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Entry Type</w:t>
            </w:r>
          </w:p>
        </w:tc>
        <w:tc>
          <w:tcPr>
            <w:tcW w:type="pct" w:w="27%"/>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Debit Account</w:t>
            </w:r>
          </w:p>
        </w:tc>
        <w:tc>
          <w:tcPr>
            <w:tcW w:type="pct" w:w="27%"/>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Credit Account</w:t>
            </w:r>
          </w:p>
        </w:tc>
        <w:tc>
          <w:tcPr>
            <w:tcW w:type="pct" w:w="6%"/>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Amount</w:t>
            </w:r>
          </w:p>
        </w:tc>
      </w:tr>
      <w:tr>
        <w:tc>
          <w:tcPr>
            <w:tcW w:type="pct" w:w="5%"/>
            <w:shd w:fill="B8860B" w:color="B8860B" w:val="clear"/>
            <w:tcMar>
              <w:top w:type="dxa" w:w="50"/>
              <w:left w:type="dxa" w:w="80"/>
              <w:bottom w:type="dxa" w:w="50"/>
              <w:right w:type="dxa" w:w="80"/>
            </w:tcMar>
          </w:tcPr>
          <w:p>
            <w:pPr>
              <w:jc w:val="center"/>
            </w:pPr>
            <w:r>
              <w:rPr>
                <w:rFonts w:ascii="Calibri" w:cs="Calibri" w:eastAsia="Calibri" w:hAnsi="Calibri"/>
                <w:b/>
                <w:bCs/>
                <w:color w:val="FFFFFF"/>
                <w:sz w:val="19"/>
                <w:szCs w:val="19"/>
              </w:rPr>
              <w:t xml:space="preserve">4</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T+11 (feeder remittance received)</w:t>
            </w:r>
          </w:p>
        </w:tc>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Receive Feeder Proceeds</w:t>
            </w:r>
          </w:p>
        </w:tc>
        <w:tc>
          <w:tcPr>
            <w:tcW w:type="pct" w:w="27%"/>
            <w:tcMar>
              <w:top w:type="dxa" w:w="50"/>
              <w:left w:type="dxa" w:w="80"/>
              <w:bottom w:type="dxa" w:w="50"/>
              <w:right w:type="dxa" w:w="80"/>
            </w:tcMar>
          </w:tcPr>
          <w:p>
            <w:r>
              <w:rPr>
                <w:rFonts w:ascii="Calibri" w:cs="Calibri" w:eastAsia="Calibri" w:hAnsi="Calibri"/>
                <w:color w:val="404040"/>
                <w:sz w:val="19"/>
                <w:szCs w:val="19"/>
              </w:rPr>
              <w:t xml:space="preserve">Cash &amp; Cash Equivalents</w:t>
            </w:r>
          </w:p>
        </w:tc>
        <w:tc>
          <w:tcPr>
            <w:tcW w:type="pct" w:w="27%"/>
            <w:tcMar>
              <w:top w:type="dxa" w:w="50"/>
              <w:left w:type="dxa" w:w="80"/>
              <w:bottom w:type="dxa" w:w="50"/>
              <w:right w:type="dxa" w:w="80"/>
            </w:tcMar>
          </w:tcPr>
          <w:p>
            <w:r>
              <w:rPr>
                <w:rFonts w:ascii="Calibri" w:cs="Calibri" w:eastAsia="Calibri" w:hAnsi="Calibri"/>
                <w:color w:val="404040"/>
                <w:sz w:val="19"/>
                <w:szCs w:val="19"/>
              </w:rPr>
              <w:t xml:space="preserve">LP Capital Account — Feeder Contribution</w:t>
            </w:r>
          </w:p>
        </w:tc>
        <w:tc>
          <w:tcPr>
            <w:tcW w:type="pct" w:w="6%"/>
            <w:tcMar>
              <w:top w:type="dxa" w:w="50"/>
              <w:left w:type="dxa" w:w="80"/>
              <w:bottom w:type="dxa" w:w="50"/>
              <w:right w:type="dxa" w:w="80"/>
            </w:tcMar>
          </w:tcPr>
          <w:p>
            <w:r>
              <w:rPr>
                <w:rFonts w:ascii="Calibri" w:cs="Calibri" w:eastAsia="Calibri" w:hAnsi="Calibri"/>
                <w:color w:val="404040"/>
                <w:sz w:val="19"/>
                <w:szCs w:val="19"/>
              </w:rPr>
              <w:t xml:space="preserve">Aggregate $</w:t>
            </w:r>
          </w:p>
        </w:tc>
      </w:tr>
      <w:tr>
        <w:tc>
          <w:tcPr>
            <w:tcW w:type="pct" w:w="5%"/>
            <w:shd w:fill="C00000" w:color="C00000" w:val="clear"/>
            <w:tcMar>
              <w:top w:type="dxa" w:w="50"/>
              <w:left w:type="dxa" w:w="80"/>
              <w:bottom w:type="dxa" w:w="50"/>
              <w:right w:type="dxa" w:w="80"/>
            </w:tcMar>
          </w:tcPr>
          <w:p>
            <w:pPr>
              <w:jc w:val="center"/>
            </w:pPr>
            <w:r>
              <w:rPr>
                <w:rFonts w:ascii="Calibri" w:cs="Calibri" w:eastAsia="Calibri" w:hAnsi="Calibri"/>
                <w:b/>
                <w:bCs/>
                <w:color w:val="FFFFFF"/>
                <w:sz w:val="19"/>
                <w:szCs w:val="19"/>
              </w:rPr>
              <w:t xml:space="preserve">5</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T+11 to T+30</w:t>
            </w:r>
          </w:p>
        </w:tc>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Deploy Capital</w:t>
            </w:r>
          </w:p>
        </w:tc>
        <w:tc>
          <w:tcPr>
            <w:tcW w:type="pct" w:w="27%"/>
            <w:tcMar>
              <w:top w:type="dxa" w:w="50"/>
              <w:left w:type="dxa" w:w="80"/>
              <w:bottom w:type="dxa" w:w="50"/>
              <w:right w:type="dxa" w:w="80"/>
            </w:tcMar>
          </w:tcPr>
          <w:p>
            <w:r>
              <w:rPr>
                <w:rFonts w:ascii="Calibri" w:cs="Calibri" w:eastAsia="Calibri" w:hAnsi="Calibri"/>
                <w:color w:val="404040"/>
                <w:sz w:val="19"/>
                <w:szCs w:val="19"/>
              </w:rPr>
              <w:t xml:space="preserve">Portfolio Investment — Cost</w:t>
            </w:r>
          </w:p>
        </w:tc>
        <w:tc>
          <w:tcPr>
            <w:tcW w:type="pct" w:w="27%"/>
            <w:tcMar>
              <w:top w:type="dxa" w:w="50"/>
              <w:left w:type="dxa" w:w="80"/>
              <w:bottom w:type="dxa" w:w="50"/>
              <w:right w:type="dxa" w:w="80"/>
            </w:tcMar>
          </w:tcPr>
          <w:p>
            <w:r>
              <w:rPr>
                <w:rFonts w:ascii="Calibri" w:cs="Calibri" w:eastAsia="Calibri" w:hAnsi="Calibri"/>
                <w:color w:val="404040"/>
                <w:sz w:val="19"/>
                <w:szCs w:val="19"/>
              </w:rPr>
              <w:t xml:space="preserve">Cash &amp; Cash Equivalents</w:t>
            </w:r>
          </w:p>
        </w:tc>
        <w:tc>
          <w:tcPr>
            <w:tcW w:type="pct" w:w="6%"/>
            <w:tcMar>
              <w:top w:type="dxa" w:w="50"/>
              <w:left w:type="dxa" w:w="80"/>
              <w:bottom w:type="dxa" w:w="50"/>
              <w:right w:type="dxa" w:w="80"/>
            </w:tcMar>
          </w:tcPr>
          <w:p>
            <w:r>
              <w:rPr>
                <w:rFonts w:ascii="Calibri" w:cs="Calibri" w:eastAsia="Calibri" w:hAnsi="Calibri"/>
                <w:color w:val="404040"/>
                <w:sz w:val="19"/>
                <w:szCs w:val="19"/>
              </w:rPr>
              <w:t xml:space="preserve">Deal $</w:t>
            </w:r>
          </w:p>
        </w:tc>
      </w:tr>
    </w:tbl>
    <w:p>
      <w:pPr>
        <w:spacing w:after="160" w:before="0"/>
      </w:pPr>
      <w:r>
        <w:t xml:space="preserve"/>
      </w:r>
    </w:p>
    <w:p>
      <w:pPr>
        <w:spacing w:after="80" w:before="200"/>
      </w:pPr>
      <w:r>
        <w:rPr>
          <w:rFonts w:ascii="Calibri" w:cs="Calibri" w:eastAsia="Calibri" w:hAnsi="Calibri"/>
          <w:b/>
          <w:bCs/>
          <w:color w:val="1F3864"/>
          <w:sz w:val="24"/>
          <w:szCs w:val="24"/>
        </w:rPr>
        <w:t xml:space="preserve">H.4.3  Direct LP Entries (Master Fund only — no feeder)</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gridCol w:w="100"/>
        <w:gridCol w:w="100"/>
      </w:tblGrid>
      <w:tr>
        <w:trPr>
          <w:tblHeader/>
        </w:trPr>
        <w:tc>
          <w:tcPr>
            <w:tcW w:type="pct" w:w="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Step</w:t>
            </w:r>
          </w:p>
        </w:tc>
        <w:tc>
          <w:tcPr>
            <w:tcW w:type="pct" w:w="1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Trigger Date</w:t>
            </w:r>
          </w:p>
        </w:tc>
        <w:tc>
          <w:tcPr>
            <w:tcW w:type="pct" w:w="2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Entry Type</w:t>
            </w:r>
          </w:p>
        </w:tc>
        <w:tc>
          <w:tcPr>
            <w:tcW w:type="pct" w:w="27%"/>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Debit Account</w:t>
            </w:r>
          </w:p>
        </w:tc>
        <w:tc>
          <w:tcPr>
            <w:tcW w:type="pct" w:w="27%"/>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Credit Account</w:t>
            </w:r>
          </w:p>
        </w:tc>
        <w:tc>
          <w:tcPr>
            <w:tcW w:type="pct" w:w="6%"/>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Amount</w:t>
            </w:r>
          </w:p>
        </w:tc>
      </w:tr>
      <w:tr>
        <w:tc>
          <w:tcPr>
            <w:tcW w:type="pct" w:w="5%"/>
            <w:shd w:fill="1F3864" w:color="1F3864" w:val="clear"/>
            <w:tcMar>
              <w:top w:type="dxa" w:w="50"/>
              <w:left w:type="dxa" w:w="80"/>
              <w:bottom w:type="dxa" w:w="50"/>
              <w:right w:type="dxa" w:w="80"/>
            </w:tcMar>
          </w:tcPr>
          <w:p>
            <w:pPr>
              <w:jc w:val="center"/>
            </w:pPr>
            <w:r>
              <w:rPr>
                <w:rFonts w:ascii="Calibri" w:cs="Calibri" w:eastAsia="Calibri" w:hAnsi="Calibri"/>
                <w:b/>
                <w:bCs/>
                <w:color w:val="FFFFFF"/>
                <w:sz w:val="19"/>
                <w:szCs w:val="19"/>
              </w:rPr>
              <w:t xml:space="preserve">1</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Call date (T=0)</w:t>
            </w:r>
          </w:p>
        </w:tc>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Book Receivable</w:t>
            </w:r>
          </w:p>
        </w:tc>
        <w:tc>
          <w:tcPr>
            <w:tcW w:type="pct" w:w="27%"/>
            <w:tcMar>
              <w:top w:type="dxa" w:w="50"/>
              <w:left w:type="dxa" w:w="80"/>
              <w:bottom w:type="dxa" w:w="50"/>
              <w:right w:type="dxa" w:w="80"/>
            </w:tcMar>
          </w:tcPr>
          <w:p>
            <w:r>
              <w:rPr>
                <w:rFonts w:ascii="Calibri" w:cs="Calibri" w:eastAsia="Calibri" w:hAnsi="Calibri"/>
                <w:color w:val="404040"/>
                <w:sz w:val="19"/>
                <w:szCs w:val="19"/>
              </w:rPr>
              <w:t xml:space="preserve">Capital Call Receivable — Direct LP</w:t>
            </w:r>
          </w:p>
        </w:tc>
        <w:tc>
          <w:tcPr>
            <w:tcW w:type="pct" w:w="27%"/>
            <w:tcMar>
              <w:top w:type="dxa" w:w="50"/>
              <w:left w:type="dxa" w:w="80"/>
              <w:bottom w:type="dxa" w:w="50"/>
              <w:right w:type="dxa" w:w="80"/>
            </w:tcMar>
          </w:tcPr>
          <w:p>
            <w:r>
              <w:rPr>
                <w:rFonts w:ascii="Calibri" w:cs="Calibri" w:eastAsia="Calibri" w:hAnsi="Calibri"/>
                <w:color w:val="404040"/>
                <w:sz w:val="19"/>
                <w:szCs w:val="19"/>
              </w:rPr>
              <w:t xml:space="preserve">Capital Contributions Payable</w:t>
            </w:r>
          </w:p>
        </w:tc>
        <w:tc>
          <w:tcPr>
            <w:tcW w:type="pct" w:w="6%"/>
            <w:tcMar>
              <w:top w:type="dxa" w:w="50"/>
              <w:left w:type="dxa" w:w="80"/>
              <w:bottom w:type="dxa" w:w="50"/>
              <w:right w:type="dxa" w:w="80"/>
            </w:tcMar>
          </w:tcPr>
          <w:p>
            <w:r>
              <w:rPr>
                <w:rFonts w:ascii="Calibri" w:cs="Calibri" w:eastAsia="Calibri" w:hAnsi="Calibri"/>
                <w:color w:val="404040"/>
                <w:sz w:val="19"/>
                <w:szCs w:val="19"/>
              </w:rPr>
              <w:t xml:space="preserve">Called $</w:t>
            </w:r>
          </w:p>
        </w:tc>
      </w:tr>
      <w:tr>
        <w:tc>
          <w:tcPr>
            <w:tcW w:type="pct" w:w="5%"/>
            <w:shd w:fill="2F5496" w:color="2F5496" w:val="clear"/>
            <w:tcMar>
              <w:top w:type="dxa" w:w="50"/>
              <w:left w:type="dxa" w:w="80"/>
              <w:bottom w:type="dxa" w:w="50"/>
              <w:right w:type="dxa" w:w="80"/>
            </w:tcMar>
          </w:tcPr>
          <w:p>
            <w:pPr>
              <w:jc w:val="center"/>
            </w:pPr>
            <w:r>
              <w:rPr>
                <w:rFonts w:ascii="Calibri" w:cs="Calibri" w:eastAsia="Calibri" w:hAnsi="Calibri"/>
                <w:b/>
                <w:bCs/>
                <w:color w:val="FFFFFF"/>
                <w:sz w:val="19"/>
                <w:szCs w:val="19"/>
              </w:rPr>
              <w:t xml:space="preserve">2</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Settlement (T+10)</w:t>
            </w:r>
          </w:p>
        </w:tc>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Receive Direct LP Wire</w:t>
            </w:r>
          </w:p>
        </w:tc>
        <w:tc>
          <w:tcPr>
            <w:tcW w:type="pct" w:w="27%"/>
            <w:tcMar>
              <w:top w:type="dxa" w:w="50"/>
              <w:left w:type="dxa" w:w="80"/>
              <w:bottom w:type="dxa" w:w="50"/>
              <w:right w:type="dxa" w:w="80"/>
            </w:tcMar>
          </w:tcPr>
          <w:p>
            <w:r>
              <w:rPr>
                <w:rFonts w:ascii="Calibri" w:cs="Calibri" w:eastAsia="Calibri" w:hAnsi="Calibri"/>
                <w:color w:val="404040"/>
                <w:sz w:val="19"/>
                <w:szCs w:val="19"/>
              </w:rPr>
              <w:t xml:space="preserve">Cash &amp; Cash Equivalents</w:t>
            </w:r>
          </w:p>
        </w:tc>
        <w:tc>
          <w:tcPr>
            <w:tcW w:type="pct" w:w="27%"/>
            <w:tcMar>
              <w:top w:type="dxa" w:w="50"/>
              <w:left w:type="dxa" w:w="80"/>
              <w:bottom w:type="dxa" w:w="50"/>
              <w:right w:type="dxa" w:w="80"/>
            </w:tcMar>
          </w:tcPr>
          <w:p>
            <w:r>
              <w:rPr>
                <w:rFonts w:ascii="Calibri" w:cs="Calibri" w:eastAsia="Calibri" w:hAnsi="Calibri"/>
                <w:color w:val="404040"/>
                <w:sz w:val="19"/>
                <w:szCs w:val="19"/>
              </w:rPr>
              <w:t xml:space="preserve">Capital Call Receivable — Direct LP</w:t>
            </w:r>
          </w:p>
        </w:tc>
        <w:tc>
          <w:tcPr>
            <w:tcW w:type="pct" w:w="6%"/>
            <w:tcMar>
              <w:top w:type="dxa" w:w="50"/>
              <w:left w:type="dxa" w:w="80"/>
              <w:bottom w:type="dxa" w:w="50"/>
              <w:right w:type="dxa" w:w="80"/>
            </w:tcMar>
          </w:tcPr>
          <w:p>
            <w:r>
              <w:rPr>
                <w:rFonts w:ascii="Calibri" w:cs="Calibri" w:eastAsia="Calibri" w:hAnsi="Calibri"/>
                <w:color w:val="404040"/>
                <w:sz w:val="19"/>
                <w:szCs w:val="19"/>
              </w:rPr>
              <w:t xml:space="preserve">Called $</w:t>
            </w:r>
          </w:p>
        </w:tc>
      </w:tr>
    </w:tbl>
    <w:p>
      <w:pPr>
        <w:spacing w:after="120" w:before="0"/>
      </w:pPr>
      <w:r>
        <w:rPr>
          <w:rFonts w:ascii="Calibri" w:cs="Calibri" w:eastAsia="Calibri" w:hAnsi="Calibri"/>
          <w:color w:val="404040"/>
          <w:sz w:val="22"/>
          <w:szCs w:val="22"/>
        </w:rPr>
        <w:t xml:space="preserve">Note: For a direct LP there is no feeder sweep (steps 3 and 4 do not apply). The direct LP wire lands in the Master Fund account directly, and the capital account is updated at the Master Fund level. Deployment (step 5) proceeds identically.</w:t>
      </w:r>
    </w:p>
    <w:p>
      <w:pPr>
        <w:spacing w:after="160" w:before="0"/>
      </w:pPr>
      <w:r>
        <w:t xml:space="preserve"/>
      </w:r>
    </w:p>
    <w:p>
      <w:pPr>
        <w:pStyle w:val="Heading2"/>
        <w:spacing w:after="120" w:before="320"/>
      </w:pPr>
      <w:r>
        <w:t xml:space="preserve">H.5  Transfer Agent Reconciliation</w:t>
      </w:r>
    </w:p>
    <w:p>
      <w:pPr>
        <w:spacing w:after="120" w:before="0"/>
      </w:pPr>
      <w:r>
        <w:rPr>
          <w:rFonts w:ascii="Calibri" w:cs="Calibri" w:eastAsia="Calibri" w:hAnsi="Calibri"/>
          <w:color w:val="404040"/>
          <w:sz w:val="22"/>
          <w:szCs w:val="22"/>
        </w:rPr>
        <w:t xml:space="preserve">The transfer agent (TA) runs a three-way reconciliation after each capital call settlement window: expected cash (from notices) versus actual cash (from bank statement) versus LP register postings. The TA and fund admin operate as separate entities — this segregation is a primary internal control tested by the auditor.</w:t>
      </w:r>
    </w:p>
    <w:p>
      <w:pPr>
        <w:spacing w:after="160" w:before="0"/>
      </w:pPr>
      <w:r>
        <w:t xml:space="preserve"/>
      </w:r>
    </w:p>
    <w:p>
      <w:pPr>
        <w:spacing w:after="80" w:before="200"/>
      </w:pPr>
      <w:r>
        <w:rPr>
          <w:rFonts w:ascii="Calibri" w:cs="Calibri" w:eastAsia="Calibri" w:hAnsi="Calibri"/>
          <w:b/>
          <w:bCs/>
          <w:color w:val="1F3864"/>
          <w:sz w:val="24"/>
          <w:szCs w:val="24"/>
        </w:rPr>
        <w:t xml:space="preserve">H.5.1  Three-Way Match</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tblGrid>
      <w:tr>
        <w:trPr>
          <w:tblHeader/>
        </w:trPr>
        <w:tc>
          <w:tcPr>
            <w:tcW w:type="pct" w:w="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Leg</w:t>
            </w:r>
          </w:p>
        </w:tc>
        <w:tc>
          <w:tcPr>
            <w:tcW w:type="pct" w:w="2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Source</w:t>
            </w:r>
          </w:p>
        </w:tc>
        <w:tc>
          <w:tcPr>
            <w:tcW w:type="pct" w:w="3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Data Element</w:t>
            </w:r>
          </w:p>
        </w:tc>
        <w:tc>
          <w:tcPr>
            <w:tcW w:type="pct" w:w="3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Matched Against</w:t>
            </w:r>
          </w:p>
        </w:tc>
      </w:tr>
      <w:tr>
        <w:tc>
          <w:tcPr>
            <w:tcW w:type="pct" w:w="5%"/>
            <w:shd w:fill="1F3864" w:color="1F3864" w:val="clear"/>
            <w:tcMar>
              <w:top w:type="dxa" w:w="50"/>
              <w:left w:type="dxa" w:w="80"/>
              <w:bottom w:type="dxa" w:w="50"/>
              <w:right w:type="dxa" w:w="80"/>
            </w:tcMar>
          </w:tcPr>
          <w:p>
            <w:pPr>
              <w:jc w:val="center"/>
            </w:pPr>
            <w:r>
              <w:rPr>
                <w:rFonts w:ascii="Calibri" w:cs="Calibri" w:eastAsia="Calibri" w:hAnsi="Calibri"/>
                <w:b/>
                <w:bCs/>
                <w:color w:val="FFFFFF"/>
                <w:sz w:val="19"/>
                <w:szCs w:val="19"/>
              </w:rPr>
              <w:t xml:space="preserve">1</w:t>
            </w:r>
          </w:p>
        </w:tc>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Expected Cash</w:t>
            </w:r>
          </w:p>
        </w:tc>
        <w:tc>
          <w:tcPr>
            <w:tcW w:type="pct" w:w="35%"/>
            <w:tcMar>
              <w:top w:type="dxa" w:w="50"/>
              <w:left w:type="dxa" w:w="80"/>
              <w:bottom w:type="dxa" w:w="50"/>
              <w:right w:type="dxa" w:w="80"/>
            </w:tcMar>
          </w:tcPr>
          <w:p>
            <w:r>
              <w:rPr>
                <w:rFonts w:ascii="Calibri" w:cs="Calibri" w:eastAsia="Calibri" w:hAnsi="Calibri"/>
                <w:color w:val="404040"/>
                <w:sz w:val="19"/>
                <w:szCs w:val="19"/>
              </w:rPr>
              <w:t xml:space="preserve">Notice register: LP name, commitment, call%, called amount, due date, notice ID</w:t>
            </w:r>
          </w:p>
        </w:tc>
        <w:tc>
          <w:tcPr>
            <w:tcW w:type="pct" w:w="35%"/>
            <w:tcMar>
              <w:top w:type="dxa" w:w="50"/>
              <w:left w:type="dxa" w:w="80"/>
              <w:bottom w:type="dxa" w:w="50"/>
              <w:right w:type="dxa" w:w="80"/>
            </w:tcMar>
          </w:tcPr>
          <w:p>
            <w:r>
              <w:rPr>
                <w:rFonts w:ascii="Calibri" w:cs="Calibri" w:eastAsia="Calibri" w:hAnsi="Calibri"/>
                <w:color w:val="404040"/>
                <w:sz w:val="19"/>
                <w:szCs w:val="19"/>
              </w:rPr>
              <w:t xml:space="preserve">Actual bank credits by wire reference and amount</w:t>
            </w:r>
          </w:p>
        </w:tc>
      </w:tr>
      <w:tr>
        <w:tc>
          <w:tcPr>
            <w:tcW w:type="pct" w:w="5%"/>
            <w:shd w:fill="2F5496" w:color="2F5496" w:val="clear"/>
            <w:tcMar>
              <w:top w:type="dxa" w:w="50"/>
              <w:left w:type="dxa" w:w="80"/>
              <w:bottom w:type="dxa" w:w="50"/>
              <w:right w:type="dxa" w:w="80"/>
            </w:tcMar>
          </w:tcPr>
          <w:p>
            <w:pPr>
              <w:jc w:val="center"/>
            </w:pPr>
            <w:r>
              <w:rPr>
                <w:rFonts w:ascii="Calibri" w:cs="Calibri" w:eastAsia="Calibri" w:hAnsi="Calibri"/>
                <w:b/>
                <w:bCs/>
                <w:color w:val="FFFFFF"/>
                <w:sz w:val="19"/>
                <w:szCs w:val="19"/>
              </w:rPr>
              <w:t xml:space="preserve">2</w:t>
            </w:r>
          </w:p>
        </w:tc>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Actual Cash</w:t>
            </w:r>
          </w:p>
        </w:tc>
        <w:tc>
          <w:tcPr>
            <w:tcW w:type="pct" w:w="35%"/>
            <w:tcMar>
              <w:top w:type="dxa" w:w="50"/>
              <w:left w:type="dxa" w:w="80"/>
              <w:bottom w:type="dxa" w:w="50"/>
              <w:right w:type="dxa" w:w="80"/>
            </w:tcMar>
          </w:tcPr>
          <w:p>
            <w:r>
              <w:rPr>
                <w:rFonts w:ascii="Calibri" w:cs="Calibri" w:eastAsia="Calibri" w:hAnsi="Calibri"/>
                <w:color w:val="404040"/>
                <w:sz w:val="19"/>
                <w:szCs w:val="19"/>
              </w:rPr>
              <w:t xml:space="preserve">Custodian bank statement: credit date, value date, remitter, amount, wire reference</w:t>
            </w:r>
          </w:p>
        </w:tc>
        <w:tc>
          <w:tcPr>
            <w:tcW w:type="pct" w:w="35%"/>
            <w:tcMar>
              <w:top w:type="dxa" w:w="50"/>
              <w:left w:type="dxa" w:w="80"/>
              <w:bottom w:type="dxa" w:w="50"/>
              <w:right w:type="dxa" w:w="80"/>
            </w:tcMar>
          </w:tcPr>
          <w:p>
            <w:r>
              <w:rPr>
                <w:rFonts w:ascii="Calibri" w:cs="Calibri" w:eastAsia="Calibri" w:hAnsi="Calibri"/>
                <w:color w:val="404040"/>
                <w:sz w:val="19"/>
                <w:szCs w:val="19"/>
              </w:rPr>
              <w:t xml:space="preserve">Expected notice register; unmatched items → suspense account</w:t>
            </w:r>
          </w:p>
        </w:tc>
      </w:tr>
      <w:tr>
        <w:tc>
          <w:tcPr>
            <w:tcW w:type="pct" w:w="5%"/>
            <w:shd w:fill="375623" w:color="375623" w:val="clear"/>
            <w:tcMar>
              <w:top w:type="dxa" w:w="50"/>
              <w:left w:type="dxa" w:w="80"/>
              <w:bottom w:type="dxa" w:w="50"/>
              <w:right w:type="dxa" w:w="80"/>
            </w:tcMar>
          </w:tcPr>
          <w:p>
            <w:pPr>
              <w:jc w:val="center"/>
            </w:pPr>
            <w:r>
              <w:rPr>
                <w:rFonts w:ascii="Calibri" w:cs="Calibri" w:eastAsia="Calibri" w:hAnsi="Calibri"/>
                <w:b/>
                <w:bCs/>
                <w:color w:val="FFFFFF"/>
                <w:sz w:val="19"/>
                <w:szCs w:val="19"/>
              </w:rPr>
              <w:t xml:space="preserve">3</w:t>
            </w:r>
          </w:p>
        </w:tc>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LP Register Posting</w:t>
            </w:r>
          </w:p>
        </w:tc>
        <w:tc>
          <w:tcPr>
            <w:tcW w:type="pct" w:w="35%"/>
            <w:tcMar>
              <w:top w:type="dxa" w:w="50"/>
              <w:left w:type="dxa" w:w="80"/>
              <w:bottom w:type="dxa" w:w="50"/>
              <w:right w:type="dxa" w:w="80"/>
            </w:tcMar>
          </w:tcPr>
          <w:p>
            <w:r>
              <w:rPr>
                <w:rFonts w:ascii="Calibri" w:cs="Calibri" w:eastAsia="Calibri" w:hAnsi="Calibri"/>
                <w:color w:val="404040"/>
                <w:sz w:val="19"/>
                <w:szCs w:val="19"/>
              </w:rPr>
              <w:t xml:space="preserve">TA capital account ledger: LP contribution posted, units recalculated, unfunded balance reduced</w:t>
            </w:r>
          </w:p>
        </w:tc>
        <w:tc>
          <w:tcPr>
            <w:tcW w:type="pct" w:w="35%"/>
            <w:tcMar>
              <w:top w:type="dxa" w:w="50"/>
              <w:left w:type="dxa" w:w="80"/>
              <w:bottom w:type="dxa" w:w="50"/>
              <w:right w:type="dxa" w:w="80"/>
            </w:tcMar>
          </w:tcPr>
          <w:p>
            <w:r>
              <w:rPr>
                <w:rFonts w:ascii="Calibri" w:cs="Calibri" w:eastAsia="Calibri" w:hAnsi="Calibri"/>
                <w:color w:val="404040"/>
                <w:sz w:val="19"/>
                <w:szCs w:val="19"/>
              </w:rPr>
              <w:t xml:space="preserve">Fund admin GL "LP Capital" balance — must agree at each period-end</w:t>
            </w:r>
          </w:p>
        </w:tc>
      </w:tr>
    </w:tbl>
    <w:p>
      <w:pPr>
        <w:spacing w:after="160" w:before="0"/>
      </w:pPr>
      <w:r>
        <w:t xml:space="preserve"/>
      </w:r>
    </w:p>
    <w:p>
      <w:pPr>
        <w:spacing w:after="80" w:before="200"/>
      </w:pPr>
      <w:r>
        <w:rPr>
          <w:rFonts w:ascii="Calibri" w:cs="Calibri" w:eastAsia="Calibri" w:hAnsi="Calibri"/>
          <w:b/>
          <w:bCs/>
          <w:color w:val="1F3864"/>
          <w:sz w:val="24"/>
          <w:szCs w:val="24"/>
        </w:rPr>
        <w:t xml:space="preserve">H.5.2  Matching Process</w:t>
      </w:r>
    </w:p>
    <w:p>
      <w:pPr>
        <w:spacing w:after="120" w:before="0"/>
      </w:pPr>
      <w:r>
        <w:rPr>
          <w:rFonts w:ascii="Calibri" w:cs="Calibri" w:eastAsia="Calibri" w:hAnsi="Calibri"/>
          <w:color w:val="404040"/>
          <w:sz w:val="22"/>
          <w:szCs w:val="22"/>
        </w:rPr>
        <w:t xml:space="preserve">Each LP wire should carry a unique payment reference (the notice ID) in the wire memo field. The TA's cash matching system reads this reference to auto-match:</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tblGrid>
      <w:tr>
        <w:trPr>
          <w:tblHeader/>
        </w:trPr>
        <w:tc>
          <w:tcPr>
            <w:tcW w:type="pct" w:w="3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Scenario</w:t>
            </w:r>
          </w:p>
        </w:tc>
        <w:tc>
          <w:tcPr>
            <w:tcW w:type="pct" w:w="4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TA Action</w:t>
            </w:r>
          </w:p>
        </w:tc>
        <w:tc>
          <w:tcPr>
            <w:tcW w:type="pct" w:w="3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Resolution</w:t>
            </w:r>
          </w:p>
        </w:tc>
      </w:tr>
      <w:tr>
        <w:tc>
          <w:tcPr>
            <w:tcW w:type="pct" w:w="30%"/>
            <w:tcMar>
              <w:top w:type="dxa" w:w="50"/>
              <w:left w:type="dxa" w:w="80"/>
              <w:bottom w:type="dxa" w:w="50"/>
              <w:right w:type="dxa" w:w="80"/>
            </w:tcMar>
          </w:tcPr>
          <w:p>
            <w:r>
              <w:rPr>
                <w:rFonts w:ascii="Calibri" w:cs="Calibri" w:eastAsia="Calibri" w:hAnsi="Calibri"/>
                <w:b/>
                <w:bCs/>
                <w:color w:val="1F3864"/>
                <w:sz w:val="19"/>
                <w:szCs w:val="19"/>
              </w:rPr>
              <w:t xml:space="preserve">Wire received — reference matches</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Auto-match to LP notice; post to capital account immediately</w:t>
            </w:r>
          </w:p>
        </w:tc>
        <w:tc>
          <w:tcPr>
            <w:tcW w:type="pct" w:w="30%"/>
            <w:tcMar>
              <w:top w:type="dxa" w:w="50"/>
              <w:left w:type="dxa" w:w="80"/>
              <w:bottom w:type="dxa" w:w="50"/>
              <w:right w:type="dxa" w:w="80"/>
            </w:tcMar>
          </w:tcPr>
          <w:p>
            <w:r>
              <w:rPr>
                <w:rFonts w:ascii="Calibri" w:cs="Calibri" w:eastAsia="Calibri" w:hAnsi="Calibri"/>
                <w:color w:val="404040"/>
                <w:sz w:val="19"/>
                <w:szCs w:val="19"/>
              </w:rPr>
              <w:t xml:space="preserve">Same day posting</w:t>
            </w:r>
          </w:p>
        </w:tc>
      </w:tr>
      <w:tr>
        <w:tc>
          <w:tcPr>
            <w:tcW w:type="pct" w:w="30%"/>
            <w:tcMar>
              <w:top w:type="dxa" w:w="50"/>
              <w:left w:type="dxa" w:w="80"/>
              <w:bottom w:type="dxa" w:w="50"/>
              <w:right w:type="dxa" w:w="80"/>
            </w:tcMar>
          </w:tcPr>
          <w:p>
            <w:r>
              <w:rPr>
                <w:rFonts w:ascii="Calibri" w:cs="Calibri" w:eastAsia="Calibri" w:hAnsi="Calibri"/>
                <w:b/>
                <w:bCs/>
                <w:color w:val="1F3864"/>
                <w:sz w:val="19"/>
                <w:szCs w:val="19"/>
              </w:rPr>
              <w:t xml:space="preserve">Wire received — no / wrong reference</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Park in suspense account; raise query to fund admin and LP</w:t>
            </w:r>
          </w:p>
        </w:tc>
        <w:tc>
          <w:tcPr>
            <w:tcW w:type="pct" w:w="30%"/>
            <w:tcMar>
              <w:top w:type="dxa" w:w="50"/>
              <w:left w:type="dxa" w:w="80"/>
              <w:bottom w:type="dxa" w:w="50"/>
              <w:right w:type="dxa" w:w="80"/>
            </w:tcMar>
          </w:tcPr>
          <w:p>
            <w:r>
              <w:rPr>
                <w:rFonts w:ascii="Calibri" w:cs="Calibri" w:eastAsia="Calibri" w:hAnsi="Calibri"/>
                <w:color w:val="404040"/>
                <w:sz w:val="19"/>
                <w:szCs w:val="19"/>
              </w:rPr>
              <w:t xml:space="preserve">Manual match within 2–3 days</w:t>
            </w:r>
          </w:p>
        </w:tc>
      </w:tr>
      <w:tr>
        <w:tc>
          <w:tcPr>
            <w:tcW w:type="pct" w:w="30%"/>
            <w:tcMar>
              <w:top w:type="dxa" w:w="50"/>
              <w:left w:type="dxa" w:w="80"/>
              <w:bottom w:type="dxa" w:w="50"/>
              <w:right w:type="dxa" w:w="80"/>
            </w:tcMar>
          </w:tcPr>
          <w:p>
            <w:r>
              <w:rPr>
                <w:rFonts w:ascii="Calibri" w:cs="Calibri" w:eastAsia="Calibri" w:hAnsi="Calibri"/>
                <w:b/>
                <w:bCs/>
                <w:color w:val="1F3864"/>
                <w:sz w:val="19"/>
                <w:szCs w:val="19"/>
              </w:rPr>
              <w:t xml:space="preserve">Wire received — amount short (rounding)</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Post received amount; raise catch-up request for shortfall</w:t>
            </w:r>
          </w:p>
        </w:tc>
        <w:tc>
          <w:tcPr>
            <w:tcW w:type="pct" w:w="30%"/>
            <w:tcMar>
              <w:top w:type="dxa" w:w="50"/>
              <w:left w:type="dxa" w:w="80"/>
              <w:bottom w:type="dxa" w:w="50"/>
              <w:right w:type="dxa" w:w="80"/>
            </w:tcMar>
          </w:tcPr>
          <w:p>
            <w:r>
              <w:rPr>
                <w:rFonts w:ascii="Calibri" w:cs="Calibri" w:eastAsia="Calibri" w:hAnsi="Calibri"/>
                <w:color w:val="404040"/>
                <w:sz w:val="19"/>
                <w:szCs w:val="19"/>
              </w:rPr>
              <w:t xml:space="preserve">LP tops up in next business day</w:t>
            </w:r>
          </w:p>
        </w:tc>
      </w:tr>
      <w:tr>
        <w:tc>
          <w:tcPr>
            <w:tcW w:type="pct" w:w="30%"/>
            <w:tcMar>
              <w:top w:type="dxa" w:w="50"/>
              <w:left w:type="dxa" w:w="80"/>
              <w:bottom w:type="dxa" w:w="50"/>
              <w:right w:type="dxa" w:w="80"/>
            </w:tcMar>
          </w:tcPr>
          <w:p>
            <w:r>
              <w:rPr>
                <w:rFonts w:ascii="Calibri" w:cs="Calibri" w:eastAsia="Calibri" w:hAnsi="Calibri"/>
                <w:b/>
                <w:bCs/>
                <w:color w:val="1F3864"/>
                <w:sz w:val="19"/>
                <w:szCs w:val="19"/>
              </w:rPr>
              <w:t xml:space="preserve">Wire received — overpayment</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Post to suspense; confirm with LP; return excess</w:t>
            </w:r>
          </w:p>
        </w:tc>
        <w:tc>
          <w:tcPr>
            <w:tcW w:type="pct" w:w="30%"/>
            <w:tcMar>
              <w:top w:type="dxa" w:w="50"/>
              <w:left w:type="dxa" w:w="80"/>
              <w:bottom w:type="dxa" w:w="50"/>
              <w:right w:type="dxa" w:w="80"/>
            </w:tcMar>
          </w:tcPr>
          <w:p>
            <w:r>
              <w:rPr>
                <w:rFonts w:ascii="Calibri" w:cs="Calibri" w:eastAsia="Calibri" w:hAnsi="Calibri"/>
                <w:color w:val="404040"/>
                <w:sz w:val="19"/>
                <w:szCs w:val="19"/>
              </w:rPr>
              <w:t xml:space="preserve">Return wire within 5 days</w:t>
            </w:r>
          </w:p>
        </w:tc>
      </w:tr>
      <w:tr>
        <w:tc>
          <w:tcPr>
            <w:tcW w:type="pct" w:w="30%"/>
            <w:tcMar>
              <w:top w:type="dxa" w:w="50"/>
              <w:left w:type="dxa" w:w="80"/>
              <w:bottom w:type="dxa" w:w="50"/>
              <w:right w:type="dxa" w:w="80"/>
            </w:tcMar>
          </w:tcPr>
          <w:p>
            <w:r>
              <w:rPr>
                <w:rFonts w:ascii="Calibri" w:cs="Calibri" w:eastAsia="Calibri" w:hAnsi="Calibri"/>
                <w:b/>
                <w:bCs/>
                <w:color w:val="1F3864"/>
                <w:sz w:val="19"/>
                <w:szCs w:val="19"/>
              </w:rPr>
              <w:t xml:space="preserve">No wire by due date</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Flag to GP; GP issues reminder; default notice if LPA triggers</w:t>
            </w:r>
          </w:p>
        </w:tc>
        <w:tc>
          <w:tcPr>
            <w:tcW w:type="pct" w:w="30%"/>
            <w:tcMar>
              <w:top w:type="dxa" w:w="50"/>
              <w:left w:type="dxa" w:w="80"/>
              <w:bottom w:type="dxa" w:w="50"/>
              <w:right w:type="dxa" w:w="80"/>
            </w:tcMar>
          </w:tcPr>
          <w:p>
            <w:r>
              <w:rPr>
                <w:rFonts w:ascii="Calibri" w:cs="Calibri" w:eastAsia="Calibri" w:hAnsi="Calibri"/>
                <w:color w:val="404040"/>
                <w:sz w:val="19"/>
                <w:szCs w:val="19"/>
              </w:rPr>
              <w:t xml:space="preserve">GP may call from other LPs pro-rata</w:t>
            </w:r>
          </w:p>
        </w:tc>
      </w:tr>
      <w:tr>
        <w:tc>
          <w:tcPr>
            <w:tcW w:type="pct" w:w="30%"/>
            <w:tcMar>
              <w:top w:type="dxa" w:w="50"/>
              <w:left w:type="dxa" w:w="80"/>
              <w:bottom w:type="dxa" w:w="50"/>
              <w:right w:type="dxa" w:w="80"/>
            </w:tcMar>
          </w:tcPr>
          <w:p>
            <w:r>
              <w:rPr>
                <w:rFonts w:ascii="Calibri" w:cs="Calibri" w:eastAsia="Calibri" w:hAnsi="Calibri"/>
                <w:b/>
                <w:bCs/>
                <w:color w:val="1F3864"/>
                <w:sz w:val="19"/>
                <w:szCs w:val="19"/>
              </w:rPr>
              <w:t xml:space="preserve">Feeder remittance — cross-entity check</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TA calls feeder TA to confirm aggregate matches feeder's own called total</w:t>
            </w:r>
          </w:p>
        </w:tc>
        <w:tc>
          <w:tcPr>
            <w:tcW w:type="pct" w:w="30%"/>
            <w:tcMar>
              <w:top w:type="dxa" w:w="50"/>
              <w:left w:type="dxa" w:w="80"/>
              <w:bottom w:type="dxa" w:w="50"/>
              <w:right w:type="dxa" w:w="80"/>
            </w:tcMar>
          </w:tcPr>
          <w:p>
            <w:r>
              <w:rPr>
                <w:rFonts w:ascii="Calibri" w:cs="Calibri" w:eastAsia="Calibri" w:hAnsi="Calibri"/>
                <w:color w:val="404040"/>
                <w:sz w:val="19"/>
                <w:szCs w:val="19"/>
              </w:rPr>
              <w:t xml:space="preserve">Must agree before Master Fund posting</w:t>
            </w:r>
          </w:p>
        </w:tc>
      </w:tr>
    </w:tbl>
    <w:p>
      <w:pPr>
        <w:spacing w:after="160" w:before="0"/>
      </w:pPr>
      <w:r>
        <w:t xml:space="preserve"/>
      </w:r>
    </w:p>
    <w:p>
      <w:pPr>
        <w:spacing w:after="80" w:before="200"/>
      </w:pPr>
      <w:r>
        <w:rPr>
          <w:rFonts w:ascii="Calibri" w:cs="Calibri" w:eastAsia="Calibri" w:hAnsi="Calibri"/>
          <w:b/>
          <w:bCs/>
          <w:color w:val="1F3864"/>
          <w:sz w:val="24"/>
          <w:szCs w:val="24"/>
        </w:rPr>
        <w:t xml:space="preserve">H.5.3  LP Capital Account Update</w:t>
      </w:r>
    </w:p>
    <w:p>
      <w:pPr>
        <w:spacing w:after="120" w:before="0"/>
      </w:pPr>
      <w:r>
        <w:rPr>
          <w:rFonts w:ascii="Calibri" w:cs="Calibri" w:eastAsia="Calibri" w:hAnsi="Calibri"/>
          <w:color w:val="404040"/>
          <w:sz w:val="22"/>
          <w:szCs w:val="22"/>
        </w:rPr>
        <w:t xml:space="preserve">Once a wire is matched, the TA posts to the LP's capital account record:</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tblGrid>
      <w:tr>
        <w:trPr>
          <w:tblHeader/>
        </w:trPr>
        <w:tc>
          <w:tcPr>
            <w:tcW w:type="pct" w:w="3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Field Updated</w:t>
            </w:r>
          </w:p>
        </w:tc>
        <w:tc>
          <w:tcPr>
            <w:tcW w:type="pct" w:w="1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Direction</w:t>
            </w:r>
          </w:p>
        </w:tc>
        <w:tc>
          <w:tcPr>
            <w:tcW w:type="pct" w:w="3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Calculation</w:t>
            </w:r>
          </w:p>
        </w:tc>
        <w:tc>
          <w:tcPr>
            <w:tcW w:type="pct" w:w="2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Resulting Value</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Called Capital (cumulative)</w:t>
            </w:r>
          </w:p>
        </w:tc>
        <w:tc>
          <w:tcPr>
            <w:tcW w:type="pct" w:w="10%"/>
            <w:shd w:fill="E6F0EA" w:color="E6F0EA" w:val="clear"/>
            <w:tcMar>
              <w:top w:type="dxa" w:w="50"/>
              <w:left w:type="dxa" w:w="80"/>
              <w:bottom w:type="dxa" w:w="50"/>
              <w:right w:type="dxa" w:w="80"/>
            </w:tcMar>
          </w:tcPr>
          <w:p>
            <w:pPr>
              <w:jc w:val="center"/>
            </w:pPr>
            <w:r>
              <w:rPr>
                <w:rFonts w:ascii="Calibri" w:cs="Calibri" w:eastAsia="Calibri" w:hAnsi="Calibri"/>
                <w:b/>
                <w:bCs/>
                <w:color w:val="375623"/>
                <w:sz w:val="19"/>
                <w:szCs w:val="19"/>
              </w:rPr>
              <w:t xml:space="preserve">▲ Increase</w:t>
            </w:r>
          </w:p>
        </w:tc>
        <w:tc>
          <w:tcPr>
            <w:tcW w:type="pct" w:w="30%"/>
            <w:tcMar>
              <w:top w:type="dxa" w:w="50"/>
              <w:left w:type="dxa" w:w="80"/>
              <w:bottom w:type="dxa" w:w="50"/>
              <w:right w:type="dxa" w:w="80"/>
            </w:tcMar>
          </w:tcPr>
          <w:p>
            <w:r>
              <w:rPr>
                <w:rFonts w:ascii="Calibri" w:cs="Calibri" w:eastAsia="Calibri" w:hAnsi="Calibri"/>
                <w:color w:val="404040"/>
                <w:sz w:val="19"/>
                <w:szCs w:val="19"/>
              </w:rPr>
              <w:t xml:space="preserve">Prior called + this call amount</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Σ all calls to date</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Unfunded Commitment</w:t>
            </w:r>
          </w:p>
        </w:tc>
        <w:tc>
          <w:tcPr>
            <w:tcW w:type="pct" w:w="10%"/>
            <w:shd w:fill="FDE8E8" w:color="FDE8E8" w:val="clear"/>
            <w:tcMar>
              <w:top w:type="dxa" w:w="50"/>
              <w:left w:type="dxa" w:w="80"/>
              <w:bottom w:type="dxa" w:w="50"/>
              <w:right w:type="dxa" w:w="80"/>
            </w:tcMar>
          </w:tcPr>
          <w:p>
            <w:pPr>
              <w:jc w:val="center"/>
            </w:pPr>
            <w:r>
              <w:rPr>
                <w:rFonts w:ascii="Calibri" w:cs="Calibri" w:eastAsia="Calibri" w:hAnsi="Calibri"/>
                <w:b/>
                <w:bCs/>
                <w:color w:val="C00000"/>
                <w:sz w:val="19"/>
                <w:szCs w:val="19"/>
              </w:rPr>
              <w:t xml:space="preserve">▼ Decrease</w:t>
            </w:r>
          </w:p>
        </w:tc>
        <w:tc>
          <w:tcPr>
            <w:tcW w:type="pct" w:w="30%"/>
            <w:tcMar>
              <w:top w:type="dxa" w:w="50"/>
              <w:left w:type="dxa" w:w="80"/>
              <w:bottom w:type="dxa" w:w="50"/>
              <w:right w:type="dxa" w:w="80"/>
            </w:tcMar>
          </w:tcPr>
          <w:p>
            <w:r>
              <w:rPr>
                <w:rFonts w:ascii="Calibri" w:cs="Calibri" w:eastAsia="Calibri" w:hAnsi="Calibri"/>
                <w:color w:val="404040"/>
                <w:sz w:val="19"/>
                <w:szCs w:val="19"/>
              </w:rPr>
              <w:t xml:space="preserve">Prior unfunded − this call amount</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Remaining dry powder for this LP</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Cumulative Called %</w:t>
            </w:r>
          </w:p>
        </w:tc>
        <w:tc>
          <w:tcPr>
            <w:tcW w:type="pct" w:w="10%"/>
            <w:shd w:fill="E6F0EA" w:color="E6F0EA" w:val="clear"/>
            <w:tcMar>
              <w:top w:type="dxa" w:w="50"/>
              <w:left w:type="dxa" w:w="80"/>
              <w:bottom w:type="dxa" w:w="50"/>
              <w:right w:type="dxa" w:w="80"/>
            </w:tcMar>
          </w:tcPr>
          <w:p>
            <w:pPr>
              <w:jc w:val="center"/>
            </w:pPr>
            <w:r>
              <w:rPr>
                <w:rFonts w:ascii="Calibri" w:cs="Calibri" w:eastAsia="Calibri" w:hAnsi="Calibri"/>
                <w:b/>
                <w:bCs/>
                <w:color w:val="375623"/>
                <w:sz w:val="19"/>
                <w:szCs w:val="19"/>
              </w:rPr>
              <w:t xml:space="preserve">▲ Increase</w:t>
            </w:r>
          </w:p>
        </w:tc>
        <w:tc>
          <w:tcPr>
            <w:tcW w:type="pct" w:w="30%"/>
            <w:tcMar>
              <w:top w:type="dxa" w:w="50"/>
              <w:left w:type="dxa" w:w="80"/>
              <w:bottom w:type="dxa" w:w="50"/>
              <w:right w:type="dxa" w:w="80"/>
            </w:tcMar>
          </w:tcPr>
          <w:p>
            <w:r>
              <w:rPr>
                <w:rFonts w:ascii="Calibri" w:cs="Calibri" w:eastAsia="Calibri" w:hAnsi="Calibri"/>
                <w:color w:val="404040"/>
                <w:sz w:val="19"/>
                <w:szCs w:val="19"/>
              </w:rPr>
              <w:t xml:space="preserve">Called Capital ÷ Total Commitment</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Running %</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LP Ownership % in Feeder</w:t>
            </w:r>
          </w:p>
        </w:tc>
        <w:tc>
          <w:tcPr>
            <w:tcW w:type="pct" w:w="10%"/>
            <w:shd w:fill="E8EDF7" w:color="E8EDF7" w:val="clear"/>
            <w:tcMar>
              <w:top w:type="dxa" w:w="50"/>
              <w:left w:type="dxa" w:w="80"/>
              <w:bottom w:type="dxa" w:w="50"/>
              <w:right w:type="dxa" w:w="80"/>
            </w:tcMar>
          </w:tcPr>
          <w:p>
            <w:pPr>
              <w:jc w:val="center"/>
            </w:pPr>
            <w:r>
              <w:rPr>
                <w:rFonts w:ascii="Calibri" w:cs="Calibri" w:eastAsia="Calibri" w:hAnsi="Calibri"/>
                <w:b/>
                <w:bCs/>
                <w:color w:val="2F5496"/>
                <w:sz w:val="19"/>
                <w:szCs w:val="19"/>
              </w:rPr>
              <w:t xml:space="preserve">~ Recalc</w:t>
            </w:r>
          </w:p>
        </w:tc>
        <w:tc>
          <w:tcPr>
            <w:tcW w:type="pct" w:w="30%"/>
            <w:tcMar>
              <w:top w:type="dxa" w:w="50"/>
              <w:left w:type="dxa" w:w="80"/>
              <w:bottom w:type="dxa" w:w="50"/>
              <w:right w:type="dxa" w:w="80"/>
            </w:tcMar>
          </w:tcPr>
          <w:p>
            <w:r>
              <w:rPr>
                <w:rFonts w:ascii="Calibri" w:cs="Calibri" w:eastAsia="Calibri" w:hAnsi="Calibri"/>
                <w:color w:val="404040"/>
                <w:sz w:val="19"/>
                <w:szCs w:val="19"/>
              </w:rPr>
              <w:t xml:space="preserve">This LP called ÷ Total Feeder called</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Pro-rata ownership in feeder</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Units / Interests Held</w:t>
            </w:r>
          </w:p>
        </w:tc>
        <w:tc>
          <w:tcPr>
            <w:tcW w:type="pct" w:w="10%"/>
            <w:shd w:fill="E6F0EA" w:color="E6F0EA" w:val="clear"/>
            <w:tcMar>
              <w:top w:type="dxa" w:w="50"/>
              <w:left w:type="dxa" w:w="80"/>
              <w:bottom w:type="dxa" w:w="50"/>
              <w:right w:type="dxa" w:w="80"/>
            </w:tcMar>
          </w:tcPr>
          <w:p>
            <w:pPr>
              <w:jc w:val="center"/>
            </w:pPr>
            <w:r>
              <w:rPr>
                <w:rFonts w:ascii="Calibri" w:cs="Calibri" w:eastAsia="Calibri" w:hAnsi="Calibri"/>
                <w:b/>
                <w:bCs/>
                <w:color w:val="375623"/>
                <w:sz w:val="19"/>
                <w:szCs w:val="19"/>
              </w:rPr>
              <w:t xml:space="preserve">▲ Increase</w:t>
            </w:r>
          </w:p>
        </w:tc>
        <w:tc>
          <w:tcPr>
            <w:tcW w:type="pct" w:w="30%"/>
            <w:tcMar>
              <w:top w:type="dxa" w:w="50"/>
              <w:left w:type="dxa" w:w="80"/>
              <w:bottom w:type="dxa" w:w="50"/>
              <w:right w:type="dxa" w:w="80"/>
            </w:tcMar>
          </w:tcPr>
          <w:p>
            <w:r>
              <w:rPr>
                <w:rFonts w:ascii="Calibri" w:cs="Calibri" w:eastAsia="Calibri" w:hAnsi="Calibri"/>
                <w:color w:val="404040"/>
                <w:sz w:val="19"/>
                <w:szCs w:val="19"/>
              </w:rPr>
              <w:t xml:space="preserve">Call amount ÷ Current NAV per unit</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New unit balance</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Last Contribution Date</w:t>
            </w:r>
          </w:p>
        </w:tc>
        <w:tc>
          <w:tcPr>
            <w:tcW w:type="pct" w:w="10%"/>
            <w:shd w:fill="FDF3E7" w:color="FDF3E7" w:val="clear"/>
            <w:tcMar>
              <w:top w:type="dxa" w:w="50"/>
              <w:left w:type="dxa" w:w="80"/>
              <w:bottom w:type="dxa" w:w="50"/>
              <w:right w:type="dxa" w:w="80"/>
            </w:tcMar>
          </w:tcPr>
          <w:p>
            <w:pPr>
              <w:jc w:val="center"/>
            </w:pPr>
            <w:r>
              <w:rPr>
                <w:rFonts w:ascii="Calibri" w:cs="Calibri" w:eastAsia="Calibri" w:hAnsi="Calibri"/>
                <w:b/>
                <w:bCs/>
                <w:color w:val="C55A11"/>
                <w:sz w:val="19"/>
                <w:szCs w:val="19"/>
              </w:rPr>
              <w:t xml:space="preserve">= Set</w:t>
            </w:r>
          </w:p>
        </w:tc>
        <w:tc>
          <w:tcPr>
            <w:tcW w:type="pct" w:w="30%"/>
            <w:tcMar>
              <w:top w:type="dxa" w:w="50"/>
              <w:left w:type="dxa" w:w="80"/>
              <w:bottom w:type="dxa" w:w="50"/>
              <w:right w:type="dxa" w:w="80"/>
            </w:tcMar>
          </w:tcPr>
          <w:p>
            <w:r>
              <w:rPr>
                <w:rFonts w:ascii="Calibri" w:cs="Calibri" w:eastAsia="Calibri" w:hAnsi="Calibri"/>
                <w:color w:val="404040"/>
                <w:sz w:val="19"/>
                <w:szCs w:val="19"/>
              </w:rPr>
              <w:t xml:space="preserve">Settlement date of this wire</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Date stamp</w:t>
            </w:r>
          </w:p>
        </w:tc>
      </w:tr>
    </w:tbl>
    <w:p>
      <w:pPr>
        <w:spacing w:after="160" w:before="0"/>
      </w:pPr>
      <w:r>
        <w:t xml:space="preserve"/>
      </w:r>
    </w:p>
    <w:p>
      <w:r>
        <w:br w:type="page"/>
      </w:r>
    </w:p>
    <w:p>
      <w:pPr>
        <w:pStyle w:val="Heading2"/>
        <w:spacing w:after="120" w:before="320"/>
      </w:pPr>
      <w:r>
        <w:t xml:space="preserve">H.6  Direct Investors in the Master Fund</w:t>
      </w:r>
    </w:p>
    <w:p>
      <w:pPr>
        <w:spacing w:after="120" w:before="0"/>
      </w:pPr>
      <w:r>
        <w:rPr>
          <w:rFonts w:ascii="Calibri" w:cs="Calibri" w:eastAsia="Calibri" w:hAnsi="Calibri"/>
          <w:color w:val="404040"/>
          <w:sz w:val="22"/>
          <w:szCs w:val="22"/>
        </w:rPr>
        <w:t xml:space="preserve">Certain large institutional investors — sovereign wealth funds, the GP itself, or anchor LPs — are admitted directly as limited partners of the Master Fund, bypassing the feeder structure entirely. This section documents how wire mechanics and TA reconciliation differ for these investors.</w:t>
      </w:r>
    </w:p>
    <w:p>
      <w:pPr>
        <w:spacing w:after="160" w:before="0"/>
      </w:pPr>
      <w:r>
        <w:t xml:space="preserve"/>
      </w:r>
    </w:p>
    <w:p>
      <w:pPr>
        <w:spacing w:after="80" w:before="200"/>
      </w:pPr>
      <w:r>
        <w:rPr>
          <w:rFonts w:ascii="Calibri" w:cs="Calibri" w:eastAsia="Calibri" w:hAnsi="Calibri"/>
          <w:b/>
          <w:bCs/>
          <w:color w:val="1F3864"/>
          <w:sz w:val="24"/>
          <w:szCs w:val="24"/>
        </w:rPr>
        <w:t xml:space="preserve">H.6.1  Who Invests Directly</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tblGrid>
      <w:tr>
        <w:trPr>
          <w:tblHeader/>
        </w:trPr>
        <w:tc>
          <w:tcPr>
            <w:tcW w:type="pct" w:w="2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Investor Type</w:t>
            </w:r>
          </w:p>
        </w:tc>
        <w:tc>
          <w:tcPr>
            <w:tcW w:type="pct" w:w="4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Rationale for Direct Access</w:t>
            </w:r>
          </w:p>
        </w:tc>
        <w:tc>
          <w:tcPr>
            <w:tcW w:type="pct" w:w="1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Typical Minimum</w:t>
            </w:r>
          </w:p>
        </w:tc>
        <w:tc>
          <w:tcPr>
            <w:tcW w:type="pct" w:w="1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Side Letter</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Sovereign Wealth Fund</w:t>
            </w:r>
          </w:p>
        </w:tc>
        <w:tc>
          <w:tcPr>
            <w:tcW w:type="pct" w:w="45%"/>
            <w:tcMar>
              <w:top w:type="dxa" w:w="50"/>
              <w:left w:type="dxa" w:w="80"/>
              <w:bottom w:type="dxa" w:w="50"/>
              <w:right w:type="dxa" w:w="80"/>
            </w:tcMar>
          </w:tcPr>
          <w:p>
            <w:r>
              <w:rPr>
                <w:rFonts w:ascii="Calibri" w:cs="Calibri" w:eastAsia="Calibri" w:hAnsi="Calibri"/>
                <w:color w:val="404040"/>
                <w:sz w:val="19"/>
                <w:szCs w:val="19"/>
              </w:rPr>
              <w:t xml:space="preserve">Commitment size justifies direct; avoids feeder-level fees and reporting lag; government status may require direct KYC at fund level</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$250M+</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Always</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GP Co-Investment</w:t>
            </w:r>
          </w:p>
        </w:tc>
        <w:tc>
          <w:tcPr>
            <w:tcW w:type="pct" w:w="45%"/>
            <w:tcMar>
              <w:top w:type="dxa" w:w="50"/>
              <w:left w:type="dxa" w:w="80"/>
              <w:bottom w:type="dxa" w:w="50"/>
              <w:right w:type="dxa" w:w="80"/>
            </w:tcMar>
          </w:tcPr>
          <w:p>
            <w:r>
              <w:rPr>
                <w:rFonts w:ascii="Calibri" w:cs="Calibri" w:eastAsia="Calibri" w:hAnsi="Calibri"/>
                <w:color w:val="404040"/>
                <w:sz w:val="19"/>
                <w:szCs w:val="19"/>
              </w:rPr>
              <w:t xml:space="preserve">GP commitment is pari passu with LPs; held directly to avoid conflict in feeder economics</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1–2% of fund</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Yes</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Strategic Anchor LP</w:t>
            </w:r>
          </w:p>
        </w:tc>
        <w:tc>
          <w:tcPr>
            <w:tcW w:type="pct" w:w="45%"/>
            <w:tcMar>
              <w:top w:type="dxa" w:w="50"/>
              <w:left w:type="dxa" w:w="80"/>
              <w:bottom w:type="dxa" w:w="50"/>
              <w:right w:type="dxa" w:w="80"/>
            </w:tcMar>
          </w:tcPr>
          <w:p>
            <w:r>
              <w:rPr>
                <w:rFonts w:ascii="Calibri" w:cs="Calibri" w:eastAsia="Calibri" w:hAnsi="Calibri"/>
                <w:color w:val="404040"/>
                <w:sz w:val="19"/>
                <w:szCs w:val="19"/>
              </w:rPr>
              <w:t xml:space="preserve">Negotiated as founding investor concession; typically receives MFN, fee discount, look-through rights</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$100M+</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Yes</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Fund of Funds / Other GP</w:t>
            </w:r>
          </w:p>
        </w:tc>
        <w:tc>
          <w:tcPr>
            <w:tcW w:type="pct" w:w="45%"/>
            <w:tcMar>
              <w:top w:type="dxa" w:w="50"/>
              <w:left w:type="dxa" w:w="80"/>
              <w:bottom w:type="dxa" w:w="50"/>
              <w:right w:type="dxa" w:w="80"/>
            </w:tcMar>
          </w:tcPr>
          <w:p>
            <w:r>
              <w:rPr>
                <w:rFonts w:ascii="Calibri" w:cs="Calibri" w:eastAsia="Calibri" w:hAnsi="Calibri"/>
                <w:color w:val="404040"/>
                <w:sz w:val="19"/>
                <w:szCs w:val="19"/>
              </w:rPr>
              <w:t xml:space="preserve">Consolidation reporting; their own LPs look through to underlying; feeder structure creates complexity</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$50M+</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Usually</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SMA (Separately Managed Account)</w:t>
            </w:r>
          </w:p>
        </w:tc>
        <w:tc>
          <w:tcPr>
            <w:tcW w:type="pct" w:w="45%"/>
            <w:tcMar>
              <w:top w:type="dxa" w:w="50"/>
              <w:left w:type="dxa" w:w="80"/>
              <w:bottom w:type="dxa" w:w="50"/>
              <w:right w:type="dxa" w:w="80"/>
            </w:tcMar>
          </w:tcPr>
          <w:p>
            <w:r>
              <w:rPr>
                <w:rFonts w:ascii="Calibri" w:cs="Calibri" w:eastAsia="Calibri" w:hAnsi="Calibri"/>
                <w:color w:val="404040"/>
                <w:sz w:val="19"/>
                <w:szCs w:val="19"/>
              </w:rPr>
              <w:t xml:space="preserve">Investor effectively IS the fund; no other LPs in the vehicle; direct investment is the structure</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Bespoke</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Yes — is the LPA</w:t>
            </w:r>
          </w:p>
        </w:tc>
      </w:tr>
    </w:tbl>
    <w:p>
      <w:pPr>
        <w:spacing w:after="160" w:before="0"/>
      </w:pPr>
      <w:r>
        <w:t xml:space="preserve"/>
      </w:r>
    </w:p>
    <w:p>
      <w:pPr>
        <w:spacing w:after="80" w:before="200"/>
      </w:pPr>
      <w:r>
        <w:rPr>
          <w:rFonts w:ascii="Calibri" w:cs="Calibri" w:eastAsia="Calibri" w:hAnsi="Calibri"/>
          <w:b/>
          <w:bCs/>
          <w:color w:val="1F3864"/>
          <w:sz w:val="24"/>
          <w:szCs w:val="24"/>
        </w:rPr>
        <w:t xml:space="preserve">H.6.2  Wire Flow — Direct LP vs. Feeder LP</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tblGrid>
      <w:tr>
        <w:trPr>
          <w:tblHeader/>
        </w:trPr>
        <w:tc>
          <w:tcPr>
            <w:tcW w:type="pct" w:w="2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
            </w:r>
          </w:p>
        </w:tc>
        <w:tc>
          <w:tcPr>
            <w:tcW w:type="pct" w:w="4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Feeder LP</w:t>
            </w:r>
          </w:p>
        </w:tc>
        <w:tc>
          <w:tcPr>
            <w:tcW w:type="pct" w:w="4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Direct LP in Master Fund</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Wire destination</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LP → Feeder account (individual wire)</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LP → Master Fund account (individual wire)</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Intermediate step</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Feeder aggregates then remits to Master Fund</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None — single hop</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Number of wires (LP side)</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1 per LP per call</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1 per direct LP per call</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Number of GL entries</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5 entries (3 feeder + 2 master)</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3 entries (2 master receivable/cash + 1 deployment)</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Capital account location</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Feeder TA register; feeder has single account at Master Fund level</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Master Fund TA register; named LP account directly</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NAV statement issued by</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Feeder TA</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Master Fund TA / admin</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K-1 / Tax reporting from</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Feeder partnership (feeder files Form 1065)</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Master Fund partnership (Master Fund files Form 1065)</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FATCA / CRS reporting FI</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Feeder entity</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Master Fund entity</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Management fee charged at</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Feeder level (per feeder LPA)</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Master Fund level (per side letter)</w:t>
            </w:r>
          </w:p>
        </w:tc>
      </w:tr>
    </w:tbl>
    <w:p>
      <w:pPr>
        <w:spacing w:after="160" w:before="0"/>
      </w:pPr>
      <w:r>
        <w:t xml:space="preserve"/>
      </w:r>
    </w:p>
    <w:p>
      <w:pPr>
        <w:spacing w:after="80" w:before="200"/>
      </w:pPr>
      <w:r>
        <w:rPr>
          <w:rFonts w:ascii="Calibri" w:cs="Calibri" w:eastAsia="Calibri" w:hAnsi="Calibri"/>
          <w:b/>
          <w:bCs/>
          <w:color w:val="1F3864"/>
          <w:sz w:val="24"/>
          <w:szCs w:val="24"/>
        </w:rPr>
        <w:t xml:space="preserve">H.6.3  Master Fund Ownership Table — Mixed Structure</w:t>
      </w:r>
    </w:p>
    <w:p>
      <w:pPr>
        <w:spacing w:after="120" w:before="0"/>
      </w:pPr>
      <w:r>
        <w:rPr>
          <w:rFonts w:ascii="Calibri" w:cs="Calibri" w:eastAsia="Calibri" w:hAnsi="Calibri"/>
          <w:color w:val="404040"/>
          <w:sz w:val="22"/>
          <w:szCs w:val="22"/>
        </w:rPr>
        <w:t xml:space="preserve">Where the Master Fund has both feeder LPs and direct LPs, ownership is tracked at two levels simultaneously:</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tblGrid>
      <w:tr>
        <w:trPr>
          <w:tblHeader/>
        </w:trPr>
        <w:tc>
          <w:tcPr>
            <w:tcW w:type="pct" w:w="3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LP / Entity</w:t>
            </w:r>
          </w:p>
        </w:tc>
        <w:tc>
          <w:tcPr>
            <w:tcW w:type="pct" w:w="2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Type</w:t>
            </w:r>
          </w:p>
        </w:tc>
        <w:tc>
          <w:tcPr>
            <w:tcW w:type="pct" w:w="2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Capital Account Location</w:t>
            </w:r>
          </w:p>
        </w:tc>
        <w:tc>
          <w:tcPr>
            <w:tcW w:type="pct" w:w="2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Master Fund Ownership %</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Domestic Feeder LP</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Feeder entity (pools 180 LPs)</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Master Fund TA — feeder account</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42.3%</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Offshore Feeder LP</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Feeder entity (pools 140 LPs)</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Master Fund TA — feeder account</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38.1%</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Qatar Investment Authority</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Direct LP</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Master Fund TA — named LP account</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12.2%</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GP Co-Investment Entity</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Direct LP (GP)</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Master Fund TA — named LP account</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4.8%</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Anchor SWF</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Direct LP</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Master Fund TA — named LP account</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2.6%</w:t>
            </w:r>
          </w:p>
        </w:tc>
      </w:tr>
      <w:tr>
        <w:tc>
          <w:tcPr>
            <w:tcW w:type="pct" w:w="35%"/>
            <w:shd w:fill="E8ECF4" w:color="E8ECF4" w:val="clear"/>
            <w:tcMar>
              <w:top w:type="dxa" w:w="50"/>
              <w:left w:type="dxa" w:w="80"/>
              <w:bottom w:type="dxa" w:w="50"/>
              <w:right w:type="dxa" w:w="80"/>
            </w:tcMar>
          </w:tcPr>
          <w:p>
            <w:pPr>
              <w:jc w:val="center"/>
            </w:pPr>
            <w:r>
              <w:rPr>
                <w:rFonts w:ascii="Calibri" w:cs="Calibri" w:eastAsia="Calibri" w:hAnsi="Calibri"/>
                <w:b/>
                <w:bCs/>
                <w:color w:val="1F3864"/>
                <w:sz w:val="19"/>
                <w:szCs w:val="19"/>
              </w:rPr>
              <w:t xml:space="preserve">Total</w:t>
            </w:r>
          </w:p>
        </w:tc>
        <w:tc>
          <w:tcPr>
            <w:tcW w:type="pct" w:w="20%"/>
            <w:shd w:fill="E8ECF4" w:color="E8ECF4" w:val="clear"/>
            <w:tcMar>
              <w:top w:type="dxa" w:w="50"/>
              <w:left w:type="dxa" w:w="80"/>
              <w:bottom w:type="dxa" w:w="50"/>
              <w:right w:type="dxa" w:w="80"/>
            </w:tcMar>
          </w:tcPr>
          <w:p>
            <w:pPr>
              <w:jc w:val="center"/>
            </w:pPr>
            <w:r>
              <w:rPr>
                <w:rFonts w:ascii="Calibri" w:cs="Calibri" w:eastAsia="Calibri" w:hAnsi="Calibri"/>
                <w:b/>
                <w:bCs/>
                <w:color w:val="1F3864"/>
                <w:sz w:val="19"/>
                <w:szCs w:val="19"/>
              </w:rPr>
              <w:t xml:space="preserve"/>
            </w:r>
          </w:p>
        </w:tc>
        <w:tc>
          <w:tcPr>
            <w:tcW w:type="pct" w:w="25%"/>
            <w:shd w:fill="E8ECF4" w:color="E8ECF4" w:val="clear"/>
            <w:tcMar>
              <w:top w:type="dxa" w:w="50"/>
              <w:left w:type="dxa" w:w="80"/>
              <w:bottom w:type="dxa" w:w="50"/>
              <w:right w:type="dxa" w:w="80"/>
            </w:tcMar>
          </w:tcPr>
          <w:p>
            <w:pPr>
              <w:jc w:val="center"/>
            </w:pPr>
            <w:r>
              <w:rPr>
                <w:rFonts w:ascii="Calibri" w:cs="Calibri" w:eastAsia="Calibri" w:hAnsi="Calibri"/>
                <w:b/>
                <w:bCs/>
                <w:color w:val="1F3864"/>
                <w:sz w:val="19"/>
                <w:szCs w:val="19"/>
              </w:rPr>
              <w:t xml:space="preserve"/>
            </w:r>
          </w:p>
        </w:tc>
        <w:tc>
          <w:tcPr>
            <w:tcW w:type="pct" w:w="20%"/>
            <w:shd w:fill="E8ECF4" w:color="E8ECF4" w:val="clear"/>
            <w:tcMar>
              <w:top w:type="dxa" w:w="50"/>
              <w:left w:type="dxa" w:w="80"/>
              <w:bottom w:type="dxa" w:w="50"/>
              <w:right w:type="dxa" w:w="80"/>
            </w:tcMar>
          </w:tcPr>
          <w:p>
            <w:pPr>
              <w:jc w:val="center"/>
            </w:pPr>
            <w:r>
              <w:rPr>
                <w:rFonts w:ascii="Calibri" w:cs="Calibri" w:eastAsia="Calibri" w:hAnsi="Calibri"/>
                <w:b/>
                <w:bCs/>
                <w:color w:val="1F3864"/>
                <w:sz w:val="19"/>
                <w:szCs w:val="19"/>
              </w:rPr>
              <w:t xml:space="preserve">100.0%</w:t>
            </w:r>
          </w:p>
        </w:tc>
      </w:tr>
    </w:tbl>
    <w:p>
      <w:pPr>
        <w:spacing w:after="160" w:before="0"/>
      </w:pPr>
      <w:r>
        <w:t xml:space="preserve"/>
      </w:r>
    </w:p>
    <w:p>
      <w:pPr>
        <w:spacing w:after="120" w:before="0"/>
      </w:pPr>
      <w:r>
        <w:rPr>
          <w:rFonts w:ascii="Calibri" w:cs="Calibri" w:eastAsia="Calibri" w:hAnsi="Calibri"/>
          <w:color w:val="404040"/>
          <w:sz w:val="22"/>
          <w:szCs w:val="22"/>
        </w:rPr>
        <w:t xml:space="preserve">Within the feeder entities, the feeder TA maintains the underlying LP register independently. The Master Fund TA only sees the feeder as a single LP. Auditors perform a look-through reconciliation annually to confirm that feeder-level LP capital accounts sum correctly to the feeder's Master Fund capital account balance.</w:t>
      </w:r>
    </w:p>
    <w:p>
      <w:pPr>
        <w:spacing w:after="160" w:before="0"/>
      </w:pPr>
      <w:r>
        <w:t xml:space="preserve"/>
      </w:r>
    </w:p>
    <w:p>
      <w:pPr>
        <w:pStyle w:val="Heading2"/>
        <w:spacing w:after="120" w:before="320"/>
      </w:pPr>
      <w:r>
        <w:t xml:space="preserve">H.7  Cross-Entity Reconciliation — Master Fund with Mixed LP Structure</w:t>
      </w:r>
    </w:p>
    <w:p>
      <w:pPr>
        <w:spacing w:after="120" w:before="0"/>
      </w:pPr>
      <w:r>
        <w:rPr>
          <w:rFonts w:ascii="Calibri" w:cs="Calibri" w:eastAsia="Calibri" w:hAnsi="Calibri"/>
          <w:color w:val="404040"/>
          <w:sz w:val="22"/>
          <w:szCs w:val="22"/>
        </w:rPr>
        <w:t xml:space="preserve">At each capital call, the Master Fund TA reconciles proceeds from all sources — feeder remittances and direct LP wires — against one bank account. The reconciliation must identify each credit by type before posting.</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tblGrid>
      <w:tr>
        <w:trPr>
          <w:tblHeader/>
        </w:trPr>
        <w:tc>
          <w:tcPr>
            <w:tcW w:type="pct" w:w="35%"/>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Reconciliation Step</w:t>
            </w:r>
          </w:p>
        </w:tc>
        <w:tc>
          <w:tcPr>
            <w:tcW w:type="pct" w:w="4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Action</w:t>
            </w:r>
          </w:p>
        </w:tc>
        <w:tc>
          <w:tcPr>
            <w:tcW w:type="pct" w:w="25%"/>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Completed By</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1. Build expected cash schedule</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Aggregate: Σ(feeder remittances expected) + Σ(direct LP notices)</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Fund Admin / TA</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2. Receive bank statement</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Daily SWIFT MT940 / bank feed listing all credits with remitter, amount, value date, wire reference</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Custodian → Fund Admin</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3. Match feeder remittances</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Match each feeder credit against expected feeder remittance amount. Call feeder TA to confirm their aggregate total agrees before posting.</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Master Fund TA + Feeder TA</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4. Match direct LP wires</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Match each individual direct LP credit by notice ID reference and LP name. Auto-match where reference is present; manual match otherwise.</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Master Fund TA</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5. Post to capital accounts</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Post each matched receipt: feeder → feeder capital account at Master Fund; direct LP → named LP capital account</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Master Fund TA</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6. Update ownership %</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Recalculate each LP's and each feeder's ownership % in Master Fund after all postings</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Master Fund TA</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7. GL tie-out</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Confirm: Master Fund TA aggregate LP capital balances = Fund Admin GL "LP Capital" balance sheet balance. Any difference investigated before NAV sign-off.</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Fund Admin + Auditor</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8. Suspense clearance</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All items in suspense / unallocated receipts must be resolved within 3 business days of due date</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Fund Admin</w:t>
            </w:r>
          </w:p>
        </w:tc>
      </w:tr>
    </w:tbl>
    <w:p>
      <w:pPr>
        <w:spacing w:after="160" w:before="0"/>
      </w:pPr>
      <w:r>
        <w:t xml:space="preserve"/>
      </w:r>
    </w:p>
    <w:p>
      <w:pPr>
        <w:pStyle w:val="Heading2"/>
        <w:spacing w:after="120" w:before="320"/>
      </w:pPr>
      <w:r>
        <w:t xml:space="preserve">H.8  Late Payments, Defaults &amp; Overdue Notices</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tblGrid>
      <w:tr>
        <w:trPr>
          <w:tblHeader/>
        </w:trPr>
        <w:tc>
          <w:tcPr>
            <w:tcW w:type="pct" w:w="2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Scenario</w:t>
            </w:r>
          </w:p>
        </w:tc>
        <w:tc>
          <w:tcPr>
            <w:tcW w:type="pct" w:w="3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LP Agreement / LPA Provision</w:t>
            </w:r>
          </w:p>
        </w:tc>
        <w:tc>
          <w:tcPr>
            <w:tcW w:type="pct" w:w="2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Fund Admin / TA Action</w:t>
            </w:r>
          </w:p>
        </w:tc>
        <w:tc>
          <w:tcPr>
            <w:tcW w:type="pct" w:w="1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GP Action</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Wire 1–3 days late</w:t>
            </w:r>
          </w:p>
        </w:tc>
        <w:tc>
          <w:tcPr>
            <w:tcW w:type="pct" w:w="35%"/>
            <w:tcMar>
              <w:top w:type="dxa" w:w="50"/>
              <w:left w:type="dxa" w:w="80"/>
              <w:bottom w:type="dxa" w:w="50"/>
              <w:right w:type="dxa" w:w="80"/>
            </w:tcMar>
          </w:tcPr>
          <w:p>
            <w:r>
              <w:rPr>
                <w:rFonts w:ascii="Calibri" w:cs="Calibri" w:eastAsia="Calibri" w:hAnsi="Calibri"/>
                <w:color w:val="404040"/>
                <w:sz w:val="19"/>
                <w:szCs w:val="19"/>
              </w:rPr>
              <w:t xml:space="preserve">Grace period at GP discretion; no formal default</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Post with actual receipt date; flag to fund admin; no default entry</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Courtesy reminder</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Wire 4–10 days late</w:t>
            </w:r>
          </w:p>
        </w:tc>
        <w:tc>
          <w:tcPr>
            <w:tcW w:type="pct" w:w="35%"/>
            <w:tcMar>
              <w:top w:type="dxa" w:w="50"/>
              <w:left w:type="dxa" w:w="80"/>
              <w:bottom w:type="dxa" w:w="50"/>
              <w:right w:type="dxa" w:w="80"/>
            </w:tcMar>
          </w:tcPr>
          <w:p>
            <w:r>
              <w:rPr>
                <w:rFonts w:ascii="Calibri" w:cs="Calibri" w:eastAsia="Calibri" w:hAnsi="Calibri"/>
                <w:color w:val="404040"/>
                <w:sz w:val="19"/>
                <w:szCs w:val="19"/>
              </w:rPr>
              <w:t xml:space="preserve">Default interest may begin accruing per LPA (typically base rate + 2–5%)</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Accrue default interest in GL; update notice register</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Formal written notice</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Wire &gt; 10 days — default</w:t>
            </w:r>
          </w:p>
        </w:tc>
        <w:tc>
          <w:tcPr>
            <w:tcW w:type="pct" w:w="35%"/>
            <w:tcMar>
              <w:top w:type="dxa" w:w="50"/>
              <w:left w:type="dxa" w:w="80"/>
              <w:bottom w:type="dxa" w:w="50"/>
              <w:right w:type="dxa" w:w="80"/>
            </w:tcMar>
          </w:tcPr>
          <w:p>
            <w:r>
              <w:rPr>
                <w:rFonts w:ascii="Calibri" w:cs="Calibri" w:eastAsia="Calibri" w:hAnsi="Calibri"/>
                <w:color w:val="404040"/>
                <w:sz w:val="19"/>
                <w:szCs w:val="19"/>
              </w:rPr>
              <w:t xml:space="preserve">LP in default; GP may: (a) reduce LP commitment, (b) sell LP interest, (c) charge default interest, (d) forfeit distributions</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Mark notice as Defaulted; freeze capital account</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Engage counsel; issue formal default notice</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Uncovered shortfall</w:t>
            </w:r>
          </w:p>
        </w:tc>
        <w:tc>
          <w:tcPr>
            <w:tcW w:type="pct" w:w="35%"/>
            <w:tcMar>
              <w:top w:type="dxa" w:w="50"/>
              <w:left w:type="dxa" w:w="80"/>
              <w:bottom w:type="dxa" w:w="50"/>
              <w:right w:type="dxa" w:w="80"/>
            </w:tcMar>
          </w:tcPr>
          <w:p>
            <w:r>
              <w:rPr>
                <w:rFonts w:ascii="Calibri" w:cs="Calibri" w:eastAsia="Calibri" w:hAnsi="Calibri"/>
                <w:color w:val="404040"/>
                <w:sz w:val="19"/>
                <w:szCs w:val="19"/>
              </w:rPr>
              <w:t xml:space="preserve">GP may call additional capital from non-defaulting LPs on pro-rata basis (capped per LPA)</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Issue supplemental notices to non-defaulting LPs</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IC approval required</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Short pay (rounding)</w:t>
            </w:r>
          </w:p>
        </w:tc>
        <w:tc>
          <w:tcPr>
            <w:tcW w:type="pct" w:w="35%"/>
            <w:tcMar>
              <w:top w:type="dxa" w:w="50"/>
              <w:left w:type="dxa" w:w="80"/>
              <w:bottom w:type="dxa" w:w="50"/>
              <w:right w:type="dxa" w:w="80"/>
            </w:tcMar>
          </w:tcPr>
          <w:p>
            <w:r>
              <w:rPr>
                <w:rFonts w:ascii="Calibri" w:cs="Calibri" w:eastAsia="Calibri" w:hAnsi="Calibri"/>
                <w:color w:val="404040"/>
                <w:sz w:val="19"/>
                <w:szCs w:val="19"/>
              </w:rPr>
              <w:t xml:space="preserve">Immaterial; no default</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Post received; raise catch-up request</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LP tops up</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Overpayment</w:t>
            </w:r>
          </w:p>
        </w:tc>
        <w:tc>
          <w:tcPr>
            <w:tcW w:type="pct" w:w="35%"/>
            <w:tcMar>
              <w:top w:type="dxa" w:w="50"/>
              <w:left w:type="dxa" w:w="80"/>
              <w:bottom w:type="dxa" w:w="50"/>
              <w:right w:type="dxa" w:w="80"/>
            </w:tcMar>
          </w:tcPr>
          <w:p>
            <w:r>
              <w:rPr>
                <w:rFonts w:ascii="Calibri" w:cs="Calibri" w:eastAsia="Calibri" w:hAnsi="Calibri"/>
                <w:color w:val="404040"/>
                <w:sz w:val="19"/>
                <w:szCs w:val="19"/>
              </w:rPr>
              <w:t xml:space="preserve">Fund admin holds excess in suspense</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Confirm with LP; return excess wire within 5 days</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Notify LP</w:t>
            </w:r>
          </w:p>
        </w:tc>
      </w:tr>
    </w:tbl>
    <w:p>
      <w:pPr>
        <w:spacing w:after="160" w:before="0"/>
      </w:pPr>
      <w:r>
        <w:t xml:space="preserve"/>
      </w:r>
    </w:p>
    <w:p>
      <w:pPr>
        <w:pStyle w:val="Heading2"/>
        <w:spacing w:after="120" w:before="320"/>
      </w:pPr>
      <w:r>
        <w:t xml:space="preserve">H.9  Key Internal Controls</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tblGrid>
      <w:tr>
        <w:trPr>
          <w:tblHeader/>
        </w:trPr>
        <w:tc>
          <w:tcPr>
            <w:tcW w:type="pct" w:w="3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Control</w:t>
            </w:r>
          </w:p>
        </w:tc>
        <w:tc>
          <w:tcPr>
            <w:tcW w:type="pct" w:w="7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Description</w:t>
            </w:r>
          </w:p>
        </w:tc>
      </w:tr>
      <w:tr>
        <w:tc>
          <w:tcPr>
            <w:tcW w:type="pct" w:w="30%"/>
            <w:tcMar>
              <w:top w:type="dxa" w:w="50"/>
              <w:left w:type="dxa" w:w="80"/>
              <w:bottom w:type="dxa" w:w="50"/>
              <w:right w:type="dxa" w:w="80"/>
            </w:tcMar>
          </w:tcPr>
          <w:p>
            <w:r>
              <w:rPr>
                <w:rFonts w:ascii="Calibri" w:cs="Calibri" w:eastAsia="Calibri" w:hAnsi="Calibri"/>
                <w:b/>
                <w:bCs/>
                <w:color w:val="1F3864"/>
                <w:sz w:val="19"/>
                <w:szCs w:val="19"/>
              </w:rPr>
              <w:t xml:space="preserve">Dual-control wire authorisation</w:t>
            </w:r>
          </w:p>
        </w:tc>
        <w:tc>
          <w:tcPr>
            <w:tcW w:type="pct" w:w="70%"/>
            <w:tcMar>
              <w:top w:type="dxa" w:w="50"/>
              <w:left w:type="dxa" w:w="80"/>
              <w:bottom w:type="dxa" w:w="50"/>
              <w:right w:type="dxa" w:w="80"/>
            </w:tcMar>
          </w:tcPr>
          <w:p>
            <w:r>
              <w:rPr>
                <w:rFonts w:ascii="Calibri" w:cs="Calibri" w:eastAsia="Calibri" w:hAnsi="Calibri"/>
                <w:color w:val="404040"/>
                <w:sz w:val="19"/>
                <w:szCs w:val="19"/>
              </w:rPr>
              <w:t xml:space="preserve">All wires from fund accounts require two authorised signatories or a maker-checker workflow in the banking portal. No single individual can initiate and approve a wire.</w:t>
            </w:r>
          </w:p>
        </w:tc>
      </w:tr>
      <w:tr>
        <w:tc>
          <w:tcPr>
            <w:tcW w:type="pct" w:w="30%"/>
            <w:tcMar>
              <w:top w:type="dxa" w:w="50"/>
              <w:left w:type="dxa" w:w="80"/>
              <w:bottom w:type="dxa" w:w="50"/>
              <w:right w:type="dxa" w:w="80"/>
            </w:tcMar>
          </w:tcPr>
          <w:p>
            <w:r>
              <w:rPr>
                <w:rFonts w:ascii="Calibri" w:cs="Calibri" w:eastAsia="Calibri" w:hAnsi="Calibri"/>
                <w:b/>
                <w:bCs/>
                <w:color w:val="1F3864"/>
                <w:sz w:val="19"/>
                <w:szCs w:val="19"/>
              </w:rPr>
              <w:t xml:space="preserve">Segregation of duties — TA vs. Fund Admin</w:t>
            </w:r>
          </w:p>
        </w:tc>
        <w:tc>
          <w:tcPr>
            <w:tcW w:type="pct" w:w="70%"/>
            <w:tcMar>
              <w:top w:type="dxa" w:w="50"/>
              <w:left w:type="dxa" w:w="80"/>
              <w:bottom w:type="dxa" w:w="50"/>
              <w:right w:type="dxa" w:w="80"/>
            </w:tcMar>
          </w:tcPr>
          <w:p>
            <w:r>
              <w:rPr>
                <w:rFonts w:ascii="Calibri" w:cs="Calibri" w:eastAsia="Calibri" w:hAnsi="Calibri"/>
                <w:color w:val="404040"/>
                <w:sz w:val="19"/>
                <w:szCs w:val="19"/>
              </w:rPr>
              <w:t xml:space="preserve">The transfer agent (owns LP register and capital accounts) and fund admin (owns GL) are separate entities. Cross-reconciliation at period-end is an independent check.</w:t>
            </w:r>
          </w:p>
        </w:tc>
      </w:tr>
      <w:tr>
        <w:tc>
          <w:tcPr>
            <w:tcW w:type="pct" w:w="30%"/>
            <w:tcMar>
              <w:top w:type="dxa" w:w="50"/>
              <w:left w:type="dxa" w:w="80"/>
              <w:bottom w:type="dxa" w:w="50"/>
              <w:right w:type="dxa" w:w="80"/>
            </w:tcMar>
          </w:tcPr>
          <w:p>
            <w:r>
              <w:rPr>
                <w:rFonts w:ascii="Calibri" w:cs="Calibri" w:eastAsia="Calibri" w:hAnsi="Calibri"/>
                <w:b/>
                <w:bCs/>
                <w:color w:val="1F3864"/>
                <w:sz w:val="19"/>
                <w:szCs w:val="19"/>
              </w:rPr>
              <w:t xml:space="preserve">Notice ID on wire memo</w:t>
            </w:r>
          </w:p>
        </w:tc>
        <w:tc>
          <w:tcPr>
            <w:tcW w:type="pct" w:w="70%"/>
            <w:tcMar>
              <w:top w:type="dxa" w:w="50"/>
              <w:left w:type="dxa" w:w="80"/>
              <w:bottom w:type="dxa" w:w="50"/>
              <w:right w:type="dxa" w:w="80"/>
            </w:tcMar>
          </w:tcPr>
          <w:p>
            <w:r>
              <w:rPr>
                <w:rFonts w:ascii="Calibri" w:cs="Calibri" w:eastAsia="Calibri" w:hAnsi="Calibri"/>
                <w:color w:val="404040"/>
                <w:sz w:val="19"/>
                <w:szCs w:val="19"/>
              </w:rPr>
              <w:t xml:space="preserve">Each LP is instructed to include the unique notice ID in the wire memo. Wires received without a reference are parked in suspense and not posted until confirmed.</w:t>
            </w:r>
          </w:p>
        </w:tc>
      </w:tr>
      <w:tr>
        <w:tc>
          <w:tcPr>
            <w:tcW w:type="pct" w:w="30%"/>
            <w:tcMar>
              <w:top w:type="dxa" w:w="50"/>
              <w:left w:type="dxa" w:w="80"/>
              <w:bottom w:type="dxa" w:w="50"/>
              <w:right w:type="dxa" w:w="80"/>
            </w:tcMar>
          </w:tcPr>
          <w:p>
            <w:r>
              <w:rPr>
                <w:rFonts w:ascii="Calibri" w:cs="Calibri" w:eastAsia="Calibri" w:hAnsi="Calibri"/>
                <w:b/>
                <w:bCs/>
                <w:color w:val="1F3864"/>
                <w:sz w:val="19"/>
                <w:szCs w:val="19"/>
              </w:rPr>
              <w:t xml:space="preserve">Feeder cross-entity confirmation</w:t>
            </w:r>
          </w:p>
        </w:tc>
        <w:tc>
          <w:tcPr>
            <w:tcW w:type="pct" w:w="70%"/>
            <w:tcMar>
              <w:top w:type="dxa" w:w="50"/>
              <w:left w:type="dxa" w:w="80"/>
              <w:bottom w:type="dxa" w:w="50"/>
              <w:right w:type="dxa" w:w="80"/>
            </w:tcMar>
          </w:tcPr>
          <w:p>
            <w:r>
              <w:rPr>
                <w:rFonts w:ascii="Calibri" w:cs="Calibri" w:eastAsia="Calibri" w:hAnsi="Calibri"/>
                <w:color w:val="404040"/>
                <w:sz w:val="19"/>
                <w:szCs w:val="19"/>
              </w:rPr>
              <w:t xml:space="preserve">Before the Master Fund TA posts a feeder remittance, it confirms the amount with the feeder TA. This prevents the Master Fund from posting proceeds that the feeder has not yet reconciled.</w:t>
            </w:r>
          </w:p>
        </w:tc>
      </w:tr>
      <w:tr>
        <w:tc>
          <w:tcPr>
            <w:tcW w:type="pct" w:w="30%"/>
            <w:tcMar>
              <w:top w:type="dxa" w:w="50"/>
              <w:left w:type="dxa" w:w="80"/>
              <w:bottom w:type="dxa" w:w="50"/>
              <w:right w:type="dxa" w:w="80"/>
            </w:tcMar>
          </w:tcPr>
          <w:p>
            <w:r>
              <w:rPr>
                <w:rFonts w:ascii="Calibri" w:cs="Calibri" w:eastAsia="Calibri" w:hAnsi="Calibri"/>
                <w:b/>
                <w:bCs/>
                <w:color w:val="1F3864"/>
                <w:sz w:val="19"/>
                <w:szCs w:val="19"/>
              </w:rPr>
              <w:t xml:space="preserve">Suspense account clearance SLA</w:t>
            </w:r>
          </w:p>
        </w:tc>
        <w:tc>
          <w:tcPr>
            <w:tcW w:type="pct" w:w="70%"/>
            <w:tcMar>
              <w:top w:type="dxa" w:w="50"/>
              <w:left w:type="dxa" w:w="80"/>
              <w:bottom w:type="dxa" w:w="50"/>
              <w:right w:type="dxa" w:w="80"/>
            </w:tcMar>
          </w:tcPr>
          <w:p>
            <w:r>
              <w:rPr>
                <w:rFonts w:ascii="Calibri" w:cs="Calibri" w:eastAsia="Calibri" w:hAnsi="Calibri"/>
                <w:color w:val="404040"/>
                <w:sz w:val="19"/>
                <w:szCs w:val="19"/>
              </w:rPr>
              <w:t xml:space="preserve">Fund admins are required to clear all items in the unallocated receipts / suspense account within 3 business days of the due date. Aged suspense items are escalated to the controller.</w:t>
            </w:r>
          </w:p>
        </w:tc>
      </w:tr>
      <w:tr>
        <w:tc>
          <w:tcPr>
            <w:tcW w:type="pct" w:w="30%"/>
            <w:tcMar>
              <w:top w:type="dxa" w:w="50"/>
              <w:left w:type="dxa" w:w="80"/>
              <w:bottom w:type="dxa" w:w="50"/>
              <w:right w:type="dxa" w:w="80"/>
            </w:tcMar>
          </w:tcPr>
          <w:p>
            <w:r>
              <w:rPr>
                <w:rFonts w:ascii="Calibri" w:cs="Calibri" w:eastAsia="Calibri" w:hAnsi="Calibri"/>
                <w:b/>
                <w:bCs/>
                <w:color w:val="1F3864"/>
                <w:sz w:val="19"/>
                <w:szCs w:val="19"/>
              </w:rPr>
              <w:t xml:space="preserve">Bank account reconciliation</w:t>
            </w:r>
          </w:p>
        </w:tc>
        <w:tc>
          <w:tcPr>
            <w:tcW w:type="pct" w:w="70%"/>
            <w:tcMar>
              <w:top w:type="dxa" w:w="50"/>
              <w:left w:type="dxa" w:w="80"/>
              <w:bottom w:type="dxa" w:w="50"/>
              <w:right w:type="dxa" w:w="80"/>
            </w:tcMar>
          </w:tcPr>
          <w:p>
            <w:r>
              <w:rPr>
                <w:rFonts w:ascii="Calibri" w:cs="Calibri" w:eastAsia="Calibri" w:hAnsi="Calibri"/>
                <w:color w:val="404040"/>
                <w:sz w:val="19"/>
                <w:szCs w:val="19"/>
              </w:rPr>
              <w:t xml:space="preserve">All fund bank accounts are reconciled daily against the bank statement. Outstanding items older than 5 business days are reviewed by the CFO.</w:t>
            </w:r>
          </w:p>
        </w:tc>
      </w:tr>
      <w:tr>
        <w:tc>
          <w:tcPr>
            <w:tcW w:type="pct" w:w="30%"/>
            <w:tcMar>
              <w:top w:type="dxa" w:w="50"/>
              <w:left w:type="dxa" w:w="80"/>
              <w:bottom w:type="dxa" w:w="50"/>
              <w:right w:type="dxa" w:w="80"/>
            </w:tcMar>
          </w:tcPr>
          <w:p>
            <w:r>
              <w:rPr>
                <w:rFonts w:ascii="Calibri" w:cs="Calibri" w:eastAsia="Calibri" w:hAnsi="Calibri"/>
                <w:b/>
                <w:bCs/>
                <w:color w:val="1F3864"/>
                <w:sz w:val="19"/>
                <w:szCs w:val="19"/>
              </w:rPr>
              <w:t xml:space="preserve">Auditor confirmation</w:t>
            </w:r>
          </w:p>
        </w:tc>
        <w:tc>
          <w:tcPr>
            <w:tcW w:type="pct" w:w="70%"/>
            <w:tcMar>
              <w:top w:type="dxa" w:w="50"/>
              <w:left w:type="dxa" w:w="80"/>
              <w:bottom w:type="dxa" w:w="50"/>
              <w:right w:type="dxa" w:w="80"/>
            </w:tcMar>
          </w:tcPr>
          <w:p>
            <w:r>
              <w:rPr>
                <w:rFonts w:ascii="Calibri" w:cs="Calibri" w:eastAsia="Calibri" w:hAnsi="Calibri"/>
                <w:color w:val="404040"/>
                <w:sz w:val="19"/>
                <w:szCs w:val="19"/>
              </w:rPr>
              <w:t xml:space="preserve">As part of the annual audit, the auditor independently confirms capital account balances with a sample of LPs and reconciles total LP capital per the TA register to the fund's audited balance sheet.</w:t>
            </w:r>
          </w:p>
        </w:tc>
      </w:tr>
    </w:tbl>
    <w:p>
      <w:pPr>
        <w:spacing w:after="160" w:before="0"/>
      </w:pPr>
      <w:r>
        <w:t xml:space="preserve"/>
      </w:r>
    </w:p>
    <w:p>
      <w:pPr>
        <w:pStyle w:val="Heading1"/>
        <w:spacing w:after="160" w:before="480"/>
      </w:pPr>
      <w:r>
        <w:t xml:space="preserve">Appendix I — Capital Call Mechanics: End-to-End Worked Examples</w:t>
      </w:r>
    </w:p>
    <w:p>
      <w:pPr>
        <w:spacing w:after="120" w:before="0"/>
      </w:pPr>
      <w:r>
        <w:rPr>
          <w:rFonts w:ascii="Calibri" w:cs="Calibri" w:eastAsia="Calibri" w:hAnsi="Calibri"/>
          <w:color w:val="404040"/>
          <w:sz w:val="22"/>
          <w:szCs w:val="22"/>
        </w:rPr>
        <w:t xml:space="preserve">This appendix walks through three complete end-to-end capital call chains using real records from the AMC Capital sample dataset. Each example traces the full path from the investor's subscription offering down to the precise wire instruction — showing exactly how the data model links together in practice.</w:t>
      </w:r>
    </w:p>
    <w:p>
      <w:pPr>
        <w:spacing w:after="160" w:before="0"/>
      </w:pPr>
      <w:r>
        <w:t xml:space="preserve"/>
      </w:r>
    </w:p>
    <w:p>
      <w:pPr>
        <w:pStyle w:val="Heading2"/>
        <w:spacing w:after="120" w:before="320"/>
      </w:pPr>
      <w:r>
        <w:t xml:space="preserve">I.1  The Four-Level Hierarchy</w:t>
      </w:r>
    </w:p>
    <w:p>
      <w:pPr>
        <w:spacing w:after="120" w:before="0"/>
      </w:pPr>
      <w:r>
        <w:rPr>
          <w:rFonts w:ascii="Calibri" w:cs="Calibri" w:eastAsia="Calibri" w:hAnsi="Calibri"/>
          <w:color w:val="404040"/>
          <w:sz w:val="22"/>
          <w:szCs w:val="22"/>
        </w:rPr>
        <w:t xml:space="preserve">Every capital call in a closed-end PE fund follows the same four-level chain. The offering is the legal entry point; the capital call notice is the final, binding payment instruction.</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tblGrid>
      <w:tr>
        <w:trPr>
          <w:tblHeader/>
        </w:trPr>
        <w:tc>
          <w:tcPr>
            <w:tcW w:type="pct" w:w="8%"/>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Level</w:t>
            </w:r>
          </w:p>
        </w:tc>
        <w:tc>
          <w:tcPr>
            <w:tcW w:type="pct" w:w="22%"/>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Object</w:t>
            </w:r>
          </w:p>
        </w:tc>
        <w:tc>
          <w:tcPr>
            <w:tcW w:type="pct" w:w="4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Plain English</w:t>
            </w:r>
          </w:p>
        </w:tc>
        <w:tc>
          <w:tcPr>
            <w:tcW w:type="pct" w:w="3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Key IDs in AMC Data</w:t>
            </w:r>
          </w:p>
        </w:tc>
      </w:tr>
      <w:tr>
        <w:tc>
          <w:tcPr>
            <w:tcW w:type="pct" w:w="8%"/>
            <w:shd w:fill="1F3864" w:color="1F3864" w:val="clear"/>
            <w:tcMar>
              <w:top w:type="dxa" w:w="50"/>
              <w:left w:type="dxa" w:w="80"/>
              <w:bottom w:type="dxa" w:w="50"/>
              <w:right w:type="dxa" w:w="80"/>
            </w:tcMar>
          </w:tcPr>
          <w:p>
            <w:r>
              <w:rPr>
                <w:rFonts w:ascii="Calibri" w:cs="Calibri" w:eastAsia="Calibri" w:hAnsi="Calibri"/>
                <w:b/>
                <w:bCs/>
                <w:color w:val="FFFFFF"/>
                <w:sz w:val="19"/>
                <w:szCs w:val="19"/>
              </w:rPr>
              <w:t xml:space="preserve">1</w:t>
            </w:r>
          </w:p>
        </w:tc>
        <w:tc>
          <w:tcPr>
            <w:tcW w:type="pct" w:w="22%"/>
            <w:tcMar>
              <w:top w:type="dxa" w:w="50"/>
              <w:left w:type="dxa" w:w="80"/>
              <w:bottom w:type="dxa" w:w="50"/>
              <w:right w:type="dxa" w:w="80"/>
            </w:tcMar>
          </w:tcPr>
          <w:p>
            <w:r>
              <w:rPr>
                <w:rFonts w:ascii="Calibri" w:cs="Calibri" w:eastAsia="Calibri" w:hAnsi="Calibri"/>
                <w:b/>
                <w:bCs/>
                <w:color w:val="1F3864"/>
                <w:sz w:val="19"/>
                <w:szCs w:val="19"/>
              </w:rPr>
              <w:t xml:space="preserve">Offering</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The legal subscription wrapper — share class, fee terms, minimum investment, feeder vehicle. This is what the LP signs.</w:t>
            </w:r>
          </w:p>
        </w:tc>
        <w:tc>
          <w:tcPr>
            <w:tcW w:type="pct" w:w="30%"/>
            <w:tcMar>
              <w:top w:type="dxa" w:w="50"/>
              <w:left w:type="dxa" w:w="80"/>
              <w:bottom w:type="dxa" w:w="50"/>
              <w:right w:type="dxa" w:w="80"/>
            </w:tcMar>
          </w:tcPr>
          <w:p>
            <w:r>
              <w:rPr>
                <w:rFonts w:ascii="Calibri" w:cs="Calibri" w:eastAsia="Calibri" w:hAnsi="Calibri"/>
                <w:color w:val="404040"/>
                <w:sz w:val="19"/>
                <w:szCs w:val="19"/>
              </w:rPr>
              <w:t xml:space="preserve">FUND-ACO-V-DOM-A
FUND-ABF-IX-OFF-A</w:t>
            </w:r>
          </w:p>
        </w:tc>
      </w:tr>
      <w:tr>
        <w:tc>
          <w:tcPr>
            <w:tcW w:type="pct" w:w="8%"/>
            <w:shd w:fill="2F5496" w:color="2F5496" w:val="clear"/>
            <w:tcMar>
              <w:top w:type="dxa" w:w="50"/>
              <w:left w:type="dxa" w:w="80"/>
              <w:bottom w:type="dxa" w:w="50"/>
              <w:right w:type="dxa" w:w="80"/>
            </w:tcMar>
          </w:tcPr>
          <w:p>
            <w:r>
              <w:rPr>
                <w:rFonts w:ascii="Calibri" w:cs="Calibri" w:eastAsia="Calibri" w:hAnsi="Calibri"/>
                <w:b/>
                <w:bCs/>
                <w:color w:val="FFFFFF"/>
                <w:sz w:val="19"/>
                <w:szCs w:val="19"/>
              </w:rPr>
              <w:t xml:space="preserve">2</w:t>
            </w:r>
          </w:p>
        </w:tc>
        <w:tc>
          <w:tcPr>
            <w:tcW w:type="pct" w:w="22%"/>
            <w:tcMar>
              <w:top w:type="dxa" w:w="50"/>
              <w:left w:type="dxa" w:w="80"/>
              <w:bottom w:type="dxa" w:w="50"/>
              <w:right w:type="dxa" w:w="80"/>
            </w:tcMar>
          </w:tcPr>
          <w:p>
            <w:r>
              <w:rPr>
                <w:rFonts w:ascii="Calibri" w:cs="Calibri" w:eastAsia="Calibri" w:hAnsi="Calibri"/>
                <w:b/>
                <w:bCs/>
                <w:color w:val="1F3864"/>
                <w:sz w:val="19"/>
                <w:szCs w:val="19"/>
              </w:rPr>
              <w:t xml:space="preserve">Fund Close</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The date the LP is formally admitted. Determines whether equalization applies. Locks in the LP's commitment.</w:t>
            </w:r>
          </w:p>
        </w:tc>
        <w:tc>
          <w:tcPr>
            <w:tcW w:type="pct" w:w="30%"/>
            <w:tcMar>
              <w:top w:type="dxa" w:w="50"/>
              <w:left w:type="dxa" w:w="80"/>
              <w:bottom w:type="dxa" w:w="50"/>
              <w:right w:type="dxa" w:w="80"/>
            </w:tcMar>
          </w:tcPr>
          <w:p>
            <w:r>
              <w:rPr>
                <w:rFonts w:ascii="Calibri" w:cs="Calibri" w:eastAsia="Calibri" w:hAnsi="Calibri"/>
                <w:color w:val="404040"/>
                <w:sz w:val="19"/>
                <w:szCs w:val="19"/>
              </w:rPr>
              <w:t xml:space="preserve">FUND-ACO-V-FC1 (Interim)
FUND-AIP-II-FC2 (Final)</w:t>
            </w:r>
          </w:p>
        </w:tc>
      </w:tr>
      <w:tr>
        <w:tc>
          <w:tcPr>
            <w:tcW w:type="pct" w:w="8%"/>
            <w:shd w:fill="375623" w:color="375623" w:val="clear"/>
            <w:tcMar>
              <w:top w:type="dxa" w:w="50"/>
              <w:left w:type="dxa" w:w="80"/>
              <w:bottom w:type="dxa" w:w="50"/>
              <w:right w:type="dxa" w:w="80"/>
            </w:tcMar>
          </w:tcPr>
          <w:p>
            <w:r>
              <w:rPr>
                <w:rFonts w:ascii="Calibri" w:cs="Calibri" w:eastAsia="Calibri" w:hAnsi="Calibri"/>
                <w:b/>
                <w:bCs/>
                <w:color w:val="FFFFFF"/>
                <w:sz w:val="19"/>
                <w:szCs w:val="19"/>
              </w:rPr>
              <w:t xml:space="preserve">3</w:t>
            </w:r>
          </w:p>
        </w:tc>
        <w:tc>
          <w:tcPr>
            <w:tcW w:type="pct" w:w="22%"/>
            <w:tcMar>
              <w:top w:type="dxa" w:w="50"/>
              <w:left w:type="dxa" w:w="80"/>
              <w:bottom w:type="dxa" w:w="50"/>
              <w:right w:type="dxa" w:w="80"/>
            </w:tcMar>
          </w:tcPr>
          <w:p>
            <w:r>
              <w:rPr>
                <w:rFonts w:ascii="Calibri" w:cs="Calibri" w:eastAsia="Calibri" w:hAnsi="Calibri"/>
                <w:b/>
                <w:bCs/>
                <w:color w:val="1F3864"/>
                <w:sz w:val="19"/>
                <w:szCs w:val="19"/>
              </w:rPr>
              <w:t xml:space="preserve">Commitment</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The binding pledge: dollar amount, investor, offering, close. Every capital call is calculated as a % of this number.</w:t>
            </w:r>
          </w:p>
        </w:tc>
        <w:tc>
          <w:tcPr>
            <w:tcW w:type="pct" w:w="30%"/>
            <w:tcMar>
              <w:top w:type="dxa" w:w="50"/>
              <w:left w:type="dxa" w:w="80"/>
              <w:bottom w:type="dxa" w:w="50"/>
              <w:right w:type="dxa" w:w="80"/>
            </w:tcMar>
          </w:tcPr>
          <w:p>
            <w:r>
              <w:rPr>
                <w:rFonts w:ascii="Calibri" w:cs="Calibri" w:eastAsia="Calibri" w:hAnsi="Calibri"/>
                <w:color w:val="404040"/>
                <w:sz w:val="19"/>
                <w:szCs w:val="19"/>
              </w:rPr>
              <w:t xml:space="preserve">COMM-0001 $29.8M
COMM-0002 $426.4M
COMM-0003 $64.3M</w:t>
            </w:r>
          </w:p>
        </w:tc>
      </w:tr>
      <w:tr>
        <w:tc>
          <w:tcPr>
            <w:tcW w:type="pct" w:w="8%"/>
            <w:shd w:fill="B8860B" w:color="B8860B" w:val="clear"/>
            <w:tcMar>
              <w:top w:type="dxa" w:w="50"/>
              <w:left w:type="dxa" w:w="80"/>
              <w:bottom w:type="dxa" w:w="50"/>
              <w:right w:type="dxa" w:w="80"/>
            </w:tcMar>
          </w:tcPr>
          <w:p>
            <w:r>
              <w:rPr>
                <w:rFonts w:ascii="Calibri" w:cs="Calibri" w:eastAsia="Calibri" w:hAnsi="Calibri"/>
                <w:b/>
                <w:bCs/>
                <w:color w:val="FFFFFF"/>
                <w:sz w:val="19"/>
                <w:szCs w:val="19"/>
              </w:rPr>
              <w:t xml:space="preserve">4</w:t>
            </w:r>
          </w:p>
        </w:tc>
        <w:tc>
          <w:tcPr>
            <w:tcW w:type="pct" w:w="22%"/>
            <w:tcMar>
              <w:top w:type="dxa" w:w="50"/>
              <w:left w:type="dxa" w:w="80"/>
              <w:bottom w:type="dxa" w:w="50"/>
              <w:right w:type="dxa" w:w="80"/>
            </w:tcMar>
          </w:tcPr>
          <w:p>
            <w:r>
              <w:rPr>
                <w:rFonts w:ascii="Calibri" w:cs="Calibri" w:eastAsia="Calibri" w:hAnsi="Calibri"/>
                <w:b/>
                <w:bCs/>
                <w:color w:val="1F3864"/>
                <w:sz w:val="19"/>
                <w:szCs w:val="19"/>
              </w:rPr>
              <w:t xml:space="preserve">Capital Call Notice</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The payment instruction per LP: called %, dollar amount, due date, bank wire details, unique reference. This is what the LP's treasury team acts on.</w:t>
            </w:r>
          </w:p>
        </w:tc>
        <w:tc>
          <w:tcPr>
            <w:tcW w:type="pct" w:w="30%"/>
            <w:tcMar>
              <w:top w:type="dxa" w:w="50"/>
              <w:left w:type="dxa" w:w="80"/>
              <w:bottom w:type="dxa" w:w="50"/>
              <w:right w:type="dxa" w:w="80"/>
            </w:tcMar>
          </w:tcPr>
          <w:p>
            <w:r>
              <w:rPr>
                <w:rFonts w:ascii="Calibri" w:cs="Calibri" w:eastAsia="Calibri" w:hAnsi="Calibri"/>
                <w:color w:val="404040"/>
                <w:sz w:val="19"/>
                <w:szCs w:val="19"/>
              </w:rPr>
              <w:t xml:space="preserve">CCN-00001 $8.9M
CCN-00003 $127.9M
CCN-00005 $19.3M</w:t>
            </w:r>
          </w:p>
        </w:tc>
      </w:tr>
    </w:tbl>
    <w:p>
      <w:pPr>
        <w:spacing w:after="160" w:before="0"/>
      </w:pPr>
      <w:r>
        <w:t xml:space="preserve"/>
      </w:r>
    </w:p>
    <w:p>
      <w:pPr>
        <w:spacing w:after="120" w:before="0"/>
      </w:pPr>
      <w:r>
        <w:rPr>
          <w:rFonts w:ascii="Calibri" w:cs="Calibri" w:eastAsia="Calibri" w:hAnsi="Calibri"/>
          <w:color w:val="404040"/>
          <w:sz w:val="22"/>
          <w:szCs w:val="22"/>
        </w:rPr>
        <w:t xml:space="preserve">The GP decides the call percentage at fund level. The fund administrator translates that into one notice per active commitment. The LP wires to the feeder bank account. The feeder sweeps aggregate proceeds to the Master Fund. Each step generates GL entries and updates the LP's capital account.</w:t>
      </w:r>
    </w:p>
    <w:p>
      <w:pPr>
        <w:spacing w:after="160" w:before="0"/>
      </w:pPr>
      <w:r>
        <w:t xml:space="preserve"/>
      </w:r>
    </w:p>
    <w:p>
      <w:pPr>
        <w:pStyle w:val="Heading2"/>
        <w:spacing w:after="120" w:before="320"/>
      </w:pPr>
      <w:r>
        <w:t xml:space="preserve">I.2  Example 1 — AMC Credit Opps V, Institutional Fund of Funds</w:t>
      </w:r>
    </w:p>
    <w:p>
      <w:pPr>
        <w:pBdr>
          <w:bottom w:val="single" w:color="2F5496" w:sz="6"/>
        </w:pBdr>
        <w:spacing w:after="160" w:before="160"/>
      </w:pPr>
      <w:r>
        <w:t xml:space="preserve"/>
      </w:r>
    </w:p>
    <w:p>
      <w:pPr>
        <w:spacing w:after="120" w:before="0"/>
      </w:pPr>
      <w:r>
        <w:rPr>
          <w:rFonts w:ascii="Calibri" w:cs="Calibri" w:eastAsia="Calibri" w:hAnsi="Calibri"/>
          <w:color w:val="404040"/>
          <w:sz w:val="22"/>
          <w:szCs w:val="22"/>
        </w:rPr>
        <w:t xml:space="preserve">Blackstone Alternative Asset Management subscribed to AMC Credit Opps V through the Domestic Feeder Class A offering — a standard US institutional investor path. Admitted at the first (interim) close; no equalization required. The GP called 30% four months after close for the first credit portfolio deployment. Wire arrived 3 days after the due date, within the LPA grace period — no default triggered.</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tblGrid>
      <w:tr>
        <w:tc>
          <w:tcPr>
            <w:gridSpan w:val="4"/>
            <w:shd w:fill="1F3864" w:color="1F3864" w:val="clear"/>
            <w:tcMar>
              <w:top w:type="dxa" w:w="80"/>
              <w:left w:type="dxa" w:w="120"/>
              <w:bottom w:type="dxa" w:w="80"/>
              <w:right w:type="dxa" w:w="80"/>
            </w:tcMar>
          </w:tcPr>
          <w:p>
            <w:r>
              <w:rPr>
                <w:rFonts w:ascii="Calibri" w:cs="Calibri" w:eastAsia="Calibri" w:hAnsi="Calibri"/>
                <w:b/>
                <w:bCs/>
                <w:color w:val="FFFFFF"/>
                <w:sz w:val="22"/>
                <w:szCs w:val="22"/>
              </w:rPr>
              <w:t xml:space="preserve">LEVEL 1 — </w:t>
            </w:r>
            <w:r>
              <w:rPr>
                <w:rFonts w:ascii="Calibri" w:cs="Calibri" w:eastAsia="Calibri" w:hAnsi="Calibri"/>
                <w:b w:val="false"/>
                <w:bCs w:val="false"/>
                <w:color w:val="FFFFFF"/>
                <w:sz w:val="22"/>
                <w:szCs w:val="22"/>
              </w:rPr>
              <w:t xml:space="preserve">OFFERING — The Subscription Wrapper</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Offering ID</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FUND-ACO-V-DOM-A</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Offering Name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AMC Credit Opps V — Domestic Feeder — Class A</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Vehicle / Feeder</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FUND-ACO-V-DOM (Domestic Feeder, Delaware LP)</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Share Class</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Class A  |  Min $5M  |  Mgmt Fee 1.5%  |  Carry 20%  |  Hurdle 8%</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Subscription Date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2023-03-18</w:t>
            </w:r>
          </w:p>
        </w:tc>
      </w:tr>
      <w:tr>
        <w:tc>
          <w:tcPr>
            <w:gridSpan w:val="4"/>
            <w:shd w:fill="2F5496" w:color="2F5496" w:val="clear"/>
            <w:tcMar>
              <w:top w:type="dxa" w:w="80"/>
              <w:left w:type="dxa" w:w="120"/>
              <w:bottom w:type="dxa" w:w="80"/>
              <w:right w:type="dxa" w:w="80"/>
            </w:tcMar>
          </w:tcPr>
          <w:p>
            <w:r>
              <w:rPr>
                <w:rFonts w:ascii="Calibri" w:cs="Calibri" w:eastAsia="Calibri" w:hAnsi="Calibri"/>
                <w:b/>
                <w:bCs/>
                <w:color w:val="FFFFFF"/>
                <w:sz w:val="22"/>
                <w:szCs w:val="22"/>
              </w:rPr>
              <w:t xml:space="preserve">LEVEL 2 — </w:t>
            </w:r>
            <w:r>
              <w:rPr>
                <w:rFonts w:ascii="Calibri" w:cs="Calibri" w:eastAsia="Calibri" w:hAnsi="Calibri"/>
                <w:b w:val="false"/>
                <w:bCs w:val="false"/>
                <w:color w:val="FFFFFF"/>
                <w:sz w:val="22"/>
                <w:szCs w:val="22"/>
              </w:rPr>
              <w:t xml:space="preserve">FUND CLOSE — When the LP Was Admitted</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Close ID</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FUND-ACO-V-FC1</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Close Date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2023-04-02</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Close Type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Interim Close</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Aggregate Committed at Close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$5,653M total fund commitments at this close</w:t>
            </w:r>
          </w:p>
        </w:tc>
      </w:tr>
      <w:tr>
        <w:tc>
          <w:tcPr>
            <w:gridSpan w:val="4"/>
            <w:shd w:fill="375623" w:color="375623" w:val="clear"/>
            <w:tcMar>
              <w:top w:type="dxa" w:w="80"/>
              <w:left w:type="dxa" w:w="120"/>
              <w:bottom w:type="dxa" w:w="80"/>
              <w:right w:type="dxa" w:w="80"/>
            </w:tcMar>
          </w:tcPr>
          <w:p>
            <w:r>
              <w:rPr>
                <w:rFonts w:ascii="Calibri" w:cs="Calibri" w:eastAsia="Calibri" w:hAnsi="Calibri"/>
                <w:b/>
                <w:bCs/>
                <w:color w:val="FFFFFF"/>
                <w:sz w:val="22"/>
                <w:szCs w:val="22"/>
              </w:rPr>
              <w:t xml:space="preserve">LEVEL 3 — </w:t>
            </w:r>
            <w:r>
              <w:rPr>
                <w:rFonts w:ascii="Calibri" w:cs="Calibri" w:eastAsia="Calibri" w:hAnsi="Calibri"/>
                <w:b w:val="false"/>
                <w:bCs w:val="false"/>
                <w:color w:val="FFFFFF"/>
                <w:sz w:val="22"/>
                <w:szCs w:val="22"/>
              </w:rPr>
              <w:t xml:space="preserve">COMMITMENT — The Binding Pledge</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Commitment ID</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COMM-0001</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Investor</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Blackstone Alternative Asset Management (INV-0021)</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Investor Type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Institutional Fund of Funds | Direct</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Committed Amount</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$29,820,000</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Equalization</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$0 (admitted at first close — no catch-up required)</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Side Letter</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No</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Status</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Active</w:t>
            </w:r>
          </w:p>
        </w:tc>
      </w:tr>
      <w:tr>
        <w:tc>
          <w:tcPr>
            <w:gridSpan w:val="4"/>
            <w:shd w:fill="B8860B" w:color="B8860B" w:val="clear"/>
            <w:tcMar>
              <w:top w:type="dxa" w:w="80"/>
              <w:left w:type="dxa" w:w="120"/>
              <w:bottom w:type="dxa" w:w="80"/>
              <w:right w:type="dxa" w:w="80"/>
            </w:tcMar>
          </w:tcPr>
          <w:p>
            <w:r>
              <w:rPr>
                <w:rFonts w:ascii="Calibri" w:cs="Calibri" w:eastAsia="Calibri" w:hAnsi="Calibri"/>
                <w:b/>
                <w:bCs/>
                <w:color w:val="FFFFFF"/>
                <w:sz w:val="22"/>
                <w:szCs w:val="22"/>
              </w:rPr>
              <w:t xml:space="preserve">LEVEL 4 — </w:t>
            </w:r>
            <w:r>
              <w:rPr>
                <w:rFonts w:ascii="Calibri" w:cs="Calibri" w:eastAsia="Calibri" w:hAnsi="Calibri"/>
                <w:b w:val="false"/>
                <w:bCs w:val="false"/>
                <w:color w:val="FFFFFF"/>
                <w:sz w:val="22"/>
                <w:szCs w:val="22"/>
              </w:rPr>
              <w:t xml:space="preserve">CAPITAL CALL NOTICE — The Draw</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Notice ID</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CCN-00001</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Capital Call</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FUND-ACO-V-CC1 (Call #1)</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Call Date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2023-08-08</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Due Date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2023-08-22</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Call Percentage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30.0% of committed capital</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Call Amount</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$8,946,000</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 Equalization</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$0</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Total Due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$8,946,000</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Payment Status</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Paid (3 days late — within grace period)</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Payment Date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2023-08-25</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Wire Reference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WIRE-000001</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Bank Account</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Citibank NA — CITI-200300400</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Unfunded Balance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$20,874,000</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Cumulative Called</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30.0%</w:t>
            </w:r>
          </w:p>
        </w:tc>
      </w:tr>
    </w:tbl>
    <w:p>
      <w:pPr>
        <w:spacing w:after="160" w:before="0"/>
      </w:pPr>
      <w:r>
        <w:t xml:space="preserve"/>
      </w:r>
    </w:p>
    <w:p>
      <w:pPr>
        <w:spacing w:after="80" w:before="200"/>
      </w:pPr>
      <w:r>
        <w:rPr>
          <w:rFonts w:ascii="Calibri" w:cs="Calibri" w:eastAsia="Calibri" w:hAnsi="Calibri"/>
          <w:b/>
          <w:bCs/>
          <w:color w:val="1F3864"/>
          <w:sz w:val="24"/>
          <w:szCs w:val="24"/>
        </w:rPr>
        <w:t xml:space="preserve">Plain English — What Happened</w:t>
      </w:r>
    </w:p>
    <w:p>
      <w:pPr>
        <w:spacing w:after="100" w:before="0"/>
      </w:pPr>
      <w:r>
        <w:rPr>
          <w:rFonts w:ascii="Calibri" w:cs="Calibri" w:eastAsia="Calibri" w:hAnsi="Calibri"/>
          <w:b/>
          <w:bCs/>
          <w:color w:val="1F3864"/>
          <w:sz w:val="22"/>
          <w:szCs w:val="22"/>
        </w:rPr>
        <w:t xml:space="preserve">Step 1 — Subscription: </w:t>
      </w:r>
      <w:r>
        <w:rPr>
          <w:rFonts w:ascii="Calibri" w:cs="Calibri" w:eastAsia="Calibri" w:hAnsi="Calibri"/>
          <w:color w:val="404040"/>
          <w:sz w:val="22"/>
          <w:szCs w:val="22"/>
        </w:rPr>
        <w:t xml:space="preserve">Blackstone signed the Class A subscription docs for the Domestic Feeder (FUND-ACO-V-DOM) on Mar 18, 2023. The subscription document references offering FUND-ACO-V-DOM-A, which sets their fee terms: 1.5% management fee, 20% carry, 8% hurdle.</w:t>
      </w:r>
    </w:p>
    <w:p>
      <w:pPr>
        <w:spacing w:after="100" w:before="0"/>
      </w:pPr>
      <w:r>
        <w:rPr>
          <w:rFonts w:ascii="Calibri" w:cs="Calibri" w:eastAsia="Calibri" w:hAnsi="Calibri"/>
          <w:b/>
          <w:bCs/>
          <w:color w:val="1F3864"/>
          <w:sz w:val="22"/>
          <w:szCs w:val="22"/>
        </w:rPr>
        <w:t xml:space="preserve">Step 2 — Fund Close: </w:t>
      </w:r>
      <w:r>
        <w:rPr>
          <w:rFonts w:ascii="Calibri" w:cs="Calibri" w:eastAsia="Calibri" w:hAnsi="Calibri"/>
          <w:color w:val="404040"/>
          <w:sz w:val="22"/>
          <w:szCs w:val="22"/>
        </w:rPr>
        <w:t xml:space="preserve">On Apr 2, 2023 the first close occurred. Blackstone's $29.82M commitment is now legally binding. The fund now has $5.65B of total commitments from all investors in this close. Because this is the first close, Blackstone pays no equalization.</w:t>
      </w:r>
    </w:p>
    <w:p>
      <w:pPr>
        <w:spacing w:after="100" w:before="0"/>
      </w:pPr>
      <w:r>
        <w:rPr>
          <w:rFonts w:ascii="Calibri" w:cs="Calibri" w:eastAsia="Calibri" w:hAnsi="Calibri"/>
          <w:b/>
          <w:bCs/>
          <w:color w:val="1F3864"/>
          <w:sz w:val="22"/>
          <w:szCs w:val="22"/>
        </w:rPr>
        <w:t xml:space="preserve">Step 3 — Capital Call: </w:t>
      </w:r>
      <w:r>
        <w:rPr>
          <w:rFonts w:ascii="Calibri" w:cs="Calibri" w:eastAsia="Calibri" w:hAnsi="Calibri"/>
          <w:color w:val="404040"/>
          <w:sz w:val="22"/>
          <w:szCs w:val="22"/>
        </w:rPr>
        <w:t xml:space="preserve">On Aug 8, 2023 the GP issues Capital Call #1 (FUND-ACO-V-CC1), calling 30% across all Credit Opps V commitments to fund the first credit portfolio purchase.</w:t>
      </w:r>
    </w:p>
    <w:p>
      <w:pPr>
        <w:spacing w:after="100" w:before="0"/>
      </w:pPr>
      <w:r>
        <w:rPr>
          <w:rFonts w:ascii="Calibri" w:cs="Calibri" w:eastAsia="Calibri" w:hAnsi="Calibri"/>
          <w:b/>
          <w:bCs/>
          <w:color w:val="1F3864"/>
          <w:sz w:val="22"/>
          <w:szCs w:val="22"/>
        </w:rPr>
        <w:t xml:space="preserve">Step 4 — Notice Generated: </w:t>
      </w:r>
      <w:r>
        <w:rPr>
          <w:rFonts w:ascii="Calibri" w:cs="Calibri" w:eastAsia="Calibri" w:hAnsi="Calibri"/>
          <w:color w:val="404040"/>
          <w:sz w:val="22"/>
          <w:szCs w:val="22"/>
        </w:rPr>
        <w:t xml:space="preserve">Fund admin generates CCN-00001 specifically for Blackstone's COMM-0001: 30% × $29,820,000 = $8,946,000 due Aug 22. The notice includes the Citibank wire instructions and the unique reference WIRE-000001 for the wire memo.</w:t>
      </w:r>
    </w:p>
    <w:p>
      <w:pPr>
        <w:spacing w:after="100" w:before="0"/>
      </w:pPr>
      <w:r>
        <w:rPr>
          <w:rFonts w:ascii="Calibri" w:cs="Calibri" w:eastAsia="Calibri" w:hAnsi="Calibri"/>
          <w:b/>
          <w:bCs/>
          <w:color w:val="1F3864"/>
          <w:sz w:val="22"/>
          <w:szCs w:val="22"/>
        </w:rPr>
        <w:t xml:space="preserve">Step 5 — Wire Received: </w:t>
      </w:r>
      <w:r>
        <w:rPr>
          <w:rFonts w:ascii="Calibri" w:cs="Calibri" w:eastAsia="Calibri" w:hAnsi="Calibri"/>
          <w:color w:val="404040"/>
          <w:sz w:val="22"/>
          <w:szCs w:val="22"/>
        </w:rPr>
        <w:t xml:space="preserve">Blackstone's treasury team processes the wire and sends $8,946,000 on Aug 25 — 3 days after the due date. The fund admin flags it as late but within the LPA's grace period. No default interest is charged.</w:t>
      </w:r>
    </w:p>
    <w:p>
      <w:pPr>
        <w:spacing w:after="100" w:before="0"/>
      </w:pPr>
      <w:r>
        <w:rPr>
          <w:rFonts w:ascii="Calibri" w:cs="Calibri" w:eastAsia="Calibri" w:hAnsi="Calibri"/>
          <w:b/>
          <w:bCs/>
          <w:color w:val="1F3864"/>
          <w:sz w:val="22"/>
          <w:szCs w:val="22"/>
        </w:rPr>
        <w:t xml:space="preserve">Step 6 — Register Updated: </w:t>
      </w:r>
      <w:r>
        <w:rPr>
          <w:rFonts w:ascii="Calibri" w:cs="Calibri" w:eastAsia="Calibri" w:hAnsi="Calibri"/>
          <w:color w:val="404040"/>
          <w:sz w:val="22"/>
          <w:szCs w:val="22"/>
        </w:rPr>
        <w:t xml:space="preserve">TA posts the receipt: called capital increases to $8.9M, unfunded drops to $20,874,000, cumulative called is now 30%.</w:t>
      </w:r>
    </w:p>
    <w:p>
      <w:pPr>
        <w:spacing w:after="160" w:before="0"/>
      </w:pPr>
      <w:r>
        <w:t xml:space="preserve"/>
      </w:r>
    </w:p>
    <w:p>
      <w:r>
        <w:br w:type="page"/>
      </w:r>
    </w:p>
    <w:p>
      <w:pPr>
        <w:pStyle w:val="Heading2"/>
        <w:spacing w:after="120" w:before="320"/>
      </w:pPr>
      <w:r>
        <w:t xml:space="preserve">I.3  Example 2 — AMC Buyout Fund IX, Wirehouse Aggregate Account</w:t>
      </w:r>
    </w:p>
    <w:p>
      <w:pPr>
        <w:pBdr>
          <w:bottom w:val="single" w:color="1F6B75" w:sz="6"/>
        </w:pBdr>
        <w:spacing w:after="160" w:before="160"/>
      </w:pPr>
      <w:r>
        <w:t xml:space="preserve"/>
      </w:r>
    </w:p>
    <w:p>
      <w:pPr>
        <w:spacing w:after="120" w:before="0"/>
      </w:pPr>
      <w:r>
        <w:rPr>
          <w:rFonts w:ascii="Calibri" w:cs="Calibri" w:eastAsia="Calibri" w:hAnsi="Calibri"/>
          <w:color w:val="404040"/>
          <w:sz w:val="22"/>
          <w:szCs w:val="22"/>
        </w:rPr>
        <w:t xml:space="preserve">UBS Financial Services subscribed as an aggregate account investor — meaning UBS pools hundreds of their high-net-worth client subscriptions behind a single LP position in the Offshore Feeder. UBS negotiated a side letter (fee discount + MFN rights) as a condition of bringing a large wirehouse allocation. The capital call notice is for the full $127.9M aggregate; UBS internally allocates this across their client accounts. As of the data snapshot, the wire is still Pending.</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tblGrid>
      <w:tr>
        <w:tc>
          <w:tcPr>
            <w:gridSpan w:val="4"/>
            <w:shd w:fill="1F3864" w:color="1F3864" w:val="clear"/>
            <w:tcMar>
              <w:top w:type="dxa" w:w="80"/>
              <w:left w:type="dxa" w:w="120"/>
              <w:bottom w:type="dxa" w:w="80"/>
              <w:right w:type="dxa" w:w="80"/>
            </w:tcMar>
          </w:tcPr>
          <w:p>
            <w:r>
              <w:rPr>
                <w:rFonts w:ascii="Calibri" w:cs="Calibri" w:eastAsia="Calibri" w:hAnsi="Calibri"/>
                <w:b/>
                <w:bCs/>
                <w:color w:val="FFFFFF"/>
                <w:sz w:val="22"/>
                <w:szCs w:val="22"/>
              </w:rPr>
              <w:t xml:space="preserve">LEVEL 1 — </w:t>
            </w:r>
            <w:r>
              <w:rPr>
                <w:rFonts w:ascii="Calibri" w:cs="Calibri" w:eastAsia="Calibri" w:hAnsi="Calibri"/>
                <w:b w:val="false"/>
                <w:bCs w:val="false"/>
                <w:color w:val="FFFFFF"/>
                <w:sz w:val="22"/>
                <w:szCs w:val="22"/>
              </w:rPr>
              <w:t xml:space="preserve">OFFERING — The Subscription Wrapper</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Offering ID</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FUND-ABF-IX-OFF-A</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Offering Name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AMC Buyout Fund IX — Offshore Feeder — Class A</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Vehicle / Feeder</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FUND-ABF-IX-OFF (Offshore Feeder, Cayman Islands ELP)</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Share Class</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Class A  |  Min $10M  |  Mgmt Fee 1.5%  |  Carry 20%  |  Hurdle 8%</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Subscription Date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2021-01-29</w:t>
            </w:r>
          </w:p>
        </w:tc>
      </w:tr>
      <w:tr>
        <w:tc>
          <w:tcPr>
            <w:gridSpan w:val="4"/>
            <w:shd w:fill="2F5496" w:color="2F5496" w:val="clear"/>
            <w:tcMar>
              <w:top w:type="dxa" w:w="80"/>
              <w:left w:type="dxa" w:w="120"/>
              <w:bottom w:type="dxa" w:w="80"/>
              <w:right w:type="dxa" w:w="80"/>
            </w:tcMar>
          </w:tcPr>
          <w:p>
            <w:r>
              <w:rPr>
                <w:rFonts w:ascii="Calibri" w:cs="Calibri" w:eastAsia="Calibri" w:hAnsi="Calibri"/>
                <w:b/>
                <w:bCs/>
                <w:color w:val="FFFFFF"/>
                <w:sz w:val="22"/>
                <w:szCs w:val="22"/>
              </w:rPr>
              <w:t xml:space="preserve">LEVEL 2 — </w:t>
            </w:r>
            <w:r>
              <w:rPr>
                <w:rFonts w:ascii="Calibri" w:cs="Calibri" w:eastAsia="Calibri" w:hAnsi="Calibri"/>
                <w:b w:val="false"/>
                <w:bCs w:val="false"/>
                <w:color w:val="FFFFFF"/>
                <w:sz w:val="22"/>
                <w:szCs w:val="22"/>
              </w:rPr>
              <w:t xml:space="preserve">FUND CLOSE — When the LP Was Admitted</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Close ID</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FUND-ABF-IX-FC1</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Close Date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2021-03-11</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Close Type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Interim Close</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Aggregate Committed at Close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$7,177M total fund commitments at this close</w:t>
            </w:r>
          </w:p>
        </w:tc>
      </w:tr>
      <w:tr>
        <w:tc>
          <w:tcPr>
            <w:gridSpan w:val="4"/>
            <w:shd w:fill="375623" w:color="375623" w:val="clear"/>
            <w:tcMar>
              <w:top w:type="dxa" w:w="80"/>
              <w:left w:type="dxa" w:w="120"/>
              <w:bottom w:type="dxa" w:w="80"/>
              <w:right w:type="dxa" w:w="80"/>
            </w:tcMar>
          </w:tcPr>
          <w:p>
            <w:r>
              <w:rPr>
                <w:rFonts w:ascii="Calibri" w:cs="Calibri" w:eastAsia="Calibri" w:hAnsi="Calibri"/>
                <w:b/>
                <w:bCs/>
                <w:color w:val="FFFFFF"/>
                <w:sz w:val="22"/>
                <w:szCs w:val="22"/>
              </w:rPr>
              <w:t xml:space="preserve">LEVEL 3 — </w:t>
            </w:r>
            <w:r>
              <w:rPr>
                <w:rFonts w:ascii="Calibri" w:cs="Calibri" w:eastAsia="Calibri" w:hAnsi="Calibri"/>
                <w:b w:val="false"/>
                <w:bCs w:val="false"/>
                <w:color w:val="FFFFFF"/>
                <w:sz w:val="22"/>
                <w:szCs w:val="22"/>
              </w:rPr>
              <w:t xml:space="preserve">COMMITMENT — The Binding Pledge</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Commitment ID</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COMM-0002</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Investor</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UBS Financial Services — Agg Acc (INV-0033)</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Investor Type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Wirehouse / Platform (aggregate account) | Platform: UBS Financial Services</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Committed Amount</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$426,410,000</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Equalization</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$0 (first close)</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Side Letter</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Yes — fee discount and MFN rights negotiated as anchor wirehouse</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Status</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Active</w:t>
            </w:r>
          </w:p>
        </w:tc>
      </w:tr>
      <w:tr>
        <w:tc>
          <w:tcPr>
            <w:gridSpan w:val="4"/>
            <w:shd w:fill="B8860B" w:color="B8860B" w:val="clear"/>
            <w:tcMar>
              <w:top w:type="dxa" w:w="80"/>
              <w:left w:type="dxa" w:w="120"/>
              <w:bottom w:type="dxa" w:w="80"/>
              <w:right w:type="dxa" w:w="80"/>
            </w:tcMar>
          </w:tcPr>
          <w:p>
            <w:r>
              <w:rPr>
                <w:rFonts w:ascii="Calibri" w:cs="Calibri" w:eastAsia="Calibri" w:hAnsi="Calibri"/>
                <w:b/>
                <w:bCs/>
                <w:color w:val="FFFFFF"/>
                <w:sz w:val="22"/>
                <w:szCs w:val="22"/>
              </w:rPr>
              <w:t xml:space="preserve">LEVEL 4 — </w:t>
            </w:r>
            <w:r>
              <w:rPr>
                <w:rFonts w:ascii="Calibri" w:cs="Calibri" w:eastAsia="Calibri" w:hAnsi="Calibri"/>
                <w:b w:val="false"/>
                <w:bCs w:val="false"/>
                <w:color w:val="FFFFFF"/>
                <w:sz w:val="22"/>
                <w:szCs w:val="22"/>
              </w:rPr>
              <w:t xml:space="preserve">CAPITAL CALL NOTICE — The Draw</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Notice ID</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CCN-00003</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Capital Call</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FUND-ABF-IX-CC1 (Call #1)</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Call Date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2021-08-08</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Due Date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2021-08-20</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Call Percentage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30.0% of committed capital</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Call Amount</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$127,923,000</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 Equalization</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$0</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Total Due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$127,923,000</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Payment Status</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Pending — wire not yet received as of data snapshot</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Payment Date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 awaiting wire</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Wire Reference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 not yet received</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Bank Account</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Goldman Sachs Bank USA — GS-400500600</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Unfunded Balance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$298,487,000</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Cumulative Called</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30.0%</w:t>
            </w:r>
          </w:p>
        </w:tc>
      </w:tr>
    </w:tbl>
    <w:p>
      <w:pPr>
        <w:spacing w:after="160" w:before="0"/>
      </w:pPr>
      <w:r>
        <w:t xml:space="preserve"/>
      </w:r>
    </w:p>
    <w:p>
      <w:pPr>
        <w:spacing w:after="80" w:before="200"/>
      </w:pPr>
      <w:r>
        <w:rPr>
          <w:rFonts w:ascii="Calibri" w:cs="Calibri" w:eastAsia="Calibri" w:hAnsi="Calibri"/>
          <w:b/>
          <w:bCs/>
          <w:color w:val="1F3864"/>
          <w:sz w:val="24"/>
          <w:szCs w:val="24"/>
        </w:rPr>
        <w:t xml:space="preserve">Plain English — What Happened</w:t>
      </w:r>
    </w:p>
    <w:p>
      <w:pPr>
        <w:spacing w:after="100" w:before="0"/>
      </w:pPr>
      <w:r>
        <w:rPr>
          <w:rFonts w:ascii="Calibri" w:cs="Calibri" w:eastAsia="Calibri" w:hAnsi="Calibri"/>
          <w:b/>
          <w:bCs/>
          <w:color w:val="1F3864"/>
          <w:sz w:val="22"/>
          <w:szCs w:val="22"/>
        </w:rPr>
        <w:t xml:space="preserve">Step 1 — Subscription (Wirehouse Model): </w:t>
      </w:r>
      <w:r>
        <w:rPr>
          <w:rFonts w:ascii="Calibri" w:cs="Calibri" w:eastAsia="Calibri" w:hAnsi="Calibri"/>
          <w:color w:val="404040"/>
          <w:sz w:val="22"/>
          <w:szCs w:val="22"/>
        </w:rPr>
        <w:t xml:space="preserve">UBS Financial Services signed one subscription agreement for the Offshore Feeder Class A offering (FUND-ABF-IX-OFF-A) on Jan 29, 2021. Behind this single LP position, UBS holds sub-accounts for each of their client investors — but from the fund's perspective, UBS is one LP with one commitment.</w:t>
      </w:r>
    </w:p>
    <w:p>
      <w:pPr>
        <w:spacing w:after="100" w:before="0"/>
      </w:pPr>
      <w:r>
        <w:rPr>
          <w:rFonts w:ascii="Calibri" w:cs="Calibri" w:eastAsia="Calibri" w:hAnsi="Calibri"/>
          <w:b/>
          <w:bCs/>
          <w:color w:val="1F3864"/>
          <w:sz w:val="22"/>
          <w:szCs w:val="22"/>
        </w:rPr>
        <w:t xml:space="preserve">Step 2 — Side Letter: </w:t>
      </w:r>
      <w:r>
        <w:rPr>
          <w:rFonts w:ascii="Calibri" w:cs="Calibri" w:eastAsia="Calibri" w:hAnsi="Calibri"/>
          <w:color w:val="404040"/>
          <w:sz w:val="22"/>
          <w:szCs w:val="22"/>
        </w:rPr>
        <w:t xml:space="preserve">As a large wirehouse platform bringing significant AUM, UBS negotiated a side letter with AMC Capital. This typically includes: reduced management fee, MFN (most favoured nation) clause — entitling UBS to any better terms offered to other LPs — and possibly enhanced reporting or co-invest rights.</w:t>
      </w:r>
    </w:p>
    <w:p>
      <w:pPr>
        <w:spacing w:after="100" w:before="0"/>
      </w:pPr>
      <w:r>
        <w:rPr>
          <w:rFonts w:ascii="Calibri" w:cs="Calibri" w:eastAsia="Calibri" w:hAnsi="Calibri"/>
          <w:b/>
          <w:bCs/>
          <w:color w:val="1F3864"/>
          <w:sz w:val="22"/>
          <w:szCs w:val="22"/>
        </w:rPr>
        <w:t xml:space="preserve">Step 3 — Fund Close: </w:t>
      </w:r>
      <w:r>
        <w:rPr>
          <w:rFonts w:ascii="Calibri" w:cs="Calibri" w:eastAsia="Calibri" w:hAnsi="Calibri"/>
          <w:color w:val="404040"/>
          <w:sz w:val="22"/>
          <w:szCs w:val="22"/>
        </w:rPr>
        <w:t xml:space="preserve">Admitted at the first interim close (Mar 11, 2021) with $426.41M committed. No equalization (first close). The Offshore Feeder is domiciled in Cayman, appropriate for non-US investors and non-US taxable US investors in UBS's book.</w:t>
      </w:r>
    </w:p>
    <w:p>
      <w:pPr>
        <w:spacing w:after="100" w:before="0"/>
      </w:pPr>
      <w:r>
        <w:rPr>
          <w:rFonts w:ascii="Calibri" w:cs="Calibri" w:eastAsia="Calibri" w:hAnsi="Calibri"/>
          <w:b/>
          <w:bCs/>
          <w:color w:val="1F3864"/>
          <w:sz w:val="22"/>
          <w:szCs w:val="22"/>
        </w:rPr>
        <w:t xml:space="preserve">Step 4 — Capital Call: </w:t>
      </w:r>
      <w:r>
        <w:rPr>
          <w:rFonts w:ascii="Calibri" w:cs="Calibri" w:eastAsia="Calibri" w:hAnsi="Calibri"/>
          <w:color w:val="404040"/>
          <w:sz w:val="22"/>
          <w:szCs w:val="22"/>
        </w:rPr>
        <w:t xml:space="preserve">CC1 issued Aug 8, 2021 calling 30% across all ABF IX commitments. UBS's notice (CCN-00003): $127,923,000 due Aug 20.</w:t>
      </w:r>
    </w:p>
    <w:p>
      <w:pPr>
        <w:spacing w:after="100" w:before="0"/>
      </w:pPr>
      <w:r>
        <w:rPr>
          <w:rFonts w:ascii="Calibri" w:cs="Calibri" w:eastAsia="Calibri" w:hAnsi="Calibri"/>
          <w:b/>
          <w:bCs/>
          <w:color w:val="1F3864"/>
          <w:sz w:val="22"/>
          <w:szCs w:val="22"/>
        </w:rPr>
        <w:t xml:space="preserve">Step 5 — Wire Pending: </w:t>
      </w:r>
      <w:r>
        <w:rPr>
          <w:rFonts w:ascii="Calibri" w:cs="Calibri" w:eastAsia="Calibri" w:hAnsi="Calibri"/>
          <w:color w:val="404040"/>
          <w:sz w:val="22"/>
          <w:szCs w:val="22"/>
        </w:rPr>
        <w:t xml:space="preserve">As of the data snapshot, UBS has not yet wired. The fund admin would be sending a reminder. UBS's ops team may still be getting internal approvals for a $127M outflow across client accounts. This is not yet a default.</w:t>
      </w:r>
    </w:p>
    <w:p>
      <w:pPr>
        <w:spacing w:after="100" w:before="0"/>
      </w:pPr>
      <w:r>
        <w:rPr>
          <w:rFonts w:ascii="Calibri" w:cs="Calibri" w:eastAsia="Calibri" w:hAnsi="Calibri"/>
          <w:b/>
          <w:bCs/>
          <w:color w:val="1F3864"/>
          <w:sz w:val="22"/>
          <w:szCs w:val="22"/>
        </w:rPr>
        <w:t xml:space="preserve">Step 6 — Internal Allocation (UBS side): </w:t>
      </w:r>
      <w:r>
        <w:rPr>
          <w:rFonts w:ascii="Calibri" w:cs="Calibri" w:eastAsia="Calibri" w:hAnsi="Calibri"/>
          <w:color w:val="404040"/>
          <w:sz w:val="22"/>
          <w:szCs w:val="22"/>
        </w:rPr>
        <w:t xml:space="preserve">UBS allocates the $127.9M call pro-rata across their underlying HNW clients based on each client's sub-account commitment. This is internal to UBS — the fund only sees a single wire from UBS.</w:t>
      </w:r>
    </w:p>
    <w:p>
      <w:pPr>
        <w:spacing w:after="160" w:before="0"/>
      </w:pPr>
      <w:r>
        <w:t xml:space="preserve"/>
      </w:r>
    </w:p>
    <w:p>
      <w:pPr>
        <w:pStyle w:val="Heading2"/>
        <w:spacing w:after="120" w:before="320"/>
      </w:pPr>
      <w:r>
        <w:t xml:space="preserve">I.4  Example 3 — AMC Infra Partners II, Pension Fund at Final Close</w:t>
      </w:r>
    </w:p>
    <w:p>
      <w:pPr>
        <w:pBdr>
          <w:bottom w:val="single" w:color="375623" w:sz="6"/>
        </w:pBdr>
        <w:spacing w:after="160" w:before="160"/>
      </w:pPr>
      <w:r>
        <w:t xml:space="preserve"/>
      </w:r>
    </w:p>
    <w:p>
      <w:pPr>
        <w:spacing w:after="120" w:before="0"/>
      </w:pPr>
      <w:r>
        <w:rPr>
          <w:rFonts w:ascii="Calibri" w:cs="Calibri" w:eastAsia="Calibri" w:hAnsi="Calibri"/>
          <w:color w:val="404040"/>
          <w:sz w:val="22"/>
          <w:szCs w:val="22"/>
        </w:rPr>
        <w:t xml:space="preserve">AP4 Sweden (one of Sweden's national pension buffer funds) invested in the Offshore Feeder of AMC Infra Partners II. They came in at the final close — the last admission date. Unusually, no equalization was charged (the data shows $0), which can occur when the GP grants equalization relief at the final close or when the final close equalization rate is zero. The GP moved quickly: capital was called just 14 days after the final close, signalling a deal was already lined up.</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tblGrid>
      <w:tr>
        <w:tc>
          <w:tcPr>
            <w:gridSpan w:val="4"/>
            <w:shd w:fill="1F3864" w:color="1F3864" w:val="clear"/>
            <w:tcMar>
              <w:top w:type="dxa" w:w="80"/>
              <w:left w:type="dxa" w:w="120"/>
              <w:bottom w:type="dxa" w:w="80"/>
              <w:right w:type="dxa" w:w="80"/>
            </w:tcMar>
          </w:tcPr>
          <w:p>
            <w:r>
              <w:rPr>
                <w:rFonts w:ascii="Calibri" w:cs="Calibri" w:eastAsia="Calibri" w:hAnsi="Calibri"/>
                <w:b/>
                <w:bCs/>
                <w:color w:val="FFFFFF"/>
                <w:sz w:val="22"/>
                <w:szCs w:val="22"/>
              </w:rPr>
              <w:t xml:space="preserve">LEVEL 1 — </w:t>
            </w:r>
            <w:r>
              <w:rPr>
                <w:rFonts w:ascii="Calibri" w:cs="Calibri" w:eastAsia="Calibri" w:hAnsi="Calibri"/>
                <w:b w:val="false"/>
                <w:bCs w:val="false"/>
                <w:color w:val="FFFFFF"/>
                <w:sz w:val="22"/>
                <w:szCs w:val="22"/>
              </w:rPr>
              <w:t xml:space="preserve">OFFERING — The Subscription Wrapper</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Offering ID</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FUND-AIP-II-OFF-A</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Offering Name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AMC Infra Partners II — Offshore Feeder — Class A</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Vehicle / Feeder</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FUND-AIP-II-OFF (Offshore Feeder, Cayman Islands ELP)</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Share Class</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Class A  |  Min $10M  |  Mgmt Fee 1.0%  |  Carry 15%  |  Hurdle 8%</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Subscription Date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2021-07-31</w:t>
            </w:r>
          </w:p>
        </w:tc>
      </w:tr>
      <w:tr>
        <w:tc>
          <w:tcPr>
            <w:gridSpan w:val="4"/>
            <w:shd w:fill="2F5496" w:color="2F5496" w:val="clear"/>
            <w:tcMar>
              <w:top w:type="dxa" w:w="80"/>
              <w:left w:type="dxa" w:w="120"/>
              <w:bottom w:type="dxa" w:w="80"/>
              <w:right w:type="dxa" w:w="80"/>
            </w:tcMar>
          </w:tcPr>
          <w:p>
            <w:r>
              <w:rPr>
                <w:rFonts w:ascii="Calibri" w:cs="Calibri" w:eastAsia="Calibri" w:hAnsi="Calibri"/>
                <w:b/>
                <w:bCs/>
                <w:color w:val="FFFFFF"/>
                <w:sz w:val="22"/>
                <w:szCs w:val="22"/>
              </w:rPr>
              <w:t xml:space="preserve">LEVEL 2 — </w:t>
            </w:r>
            <w:r>
              <w:rPr>
                <w:rFonts w:ascii="Calibri" w:cs="Calibri" w:eastAsia="Calibri" w:hAnsi="Calibri"/>
                <w:b w:val="false"/>
                <w:bCs w:val="false"/>
                <w:color w:val="FFFFFF"/>
                <w:sz w:val="22"/>
                <w:szCs w:val="22"/>
              </w:rPr>
              <w:t xml:space="preserve">FUND CLOSE — When the LP Was Admitted</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Close ID</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FUND-AIP-II-FC2</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Close Date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2021-08-09</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Close Type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Final Close</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Aggregate Committed at Close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$12,428M total fund commitments at final close</w:t>
            </w:r>
          </w:p>
        </w:tc>
      </w:tr>
      <w:tr>
        <w:tc>
          <w:tcPr>
            <w:gridSpan w:val="4"/>
            <w:shd w:fill="375623" w:color="375623" w:val="clear"/>
            <w:tcMar>
              <w:top w:type="dxa" w:w="80"/>
              <w:left w:type="dxa" w:w="120"/>
              <w:bottom w:type="dxa" w:w="80"/>
              <w:right w:type="dxa" w:w="80"/>
            </w:tcMar>
          </w:tcPr>
          <w:p>
            <w:r>
              <w:rPr>
                <w:rFonts w:ascii="Calibri" w:cs="Calibri" w:eastAsia="Calibri" w:hAnsi="Calibri"/>
                <w:b/>
                <w:bCs/>
                <w:color w:val="FFFFFF"/>
                <w:sz w:val="22"/>
                <w:szCs w:val="22"/>
              </w:rPr>
              <w:t xml:space="preserve">LEVEL 3 — </w:t>
            </w:r>
            <w:r>
              <w:rPr>
                <w:rFonts w:ascii="Calibri" w:cs="Calibri" w:eastAsia="Calibri" w:hAnsi="Calibri"/>
                <w:b w:val="false"/>
                <w:bCs w:val="false"/>
                <w:color w:val="FFFFFF"/>
                <w:sz w:val="22"/>
                <w:szCs w:val="22"/>
              </w:rPr>
              <w:t xml:space="preserve">COMMITMENT — The Binding Pledge</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Commitment ID</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COMM-0003</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Investor</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AP4 Sweden (INV-0016)</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Investor Type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Pension Fund / Sovereign Buffer Fund | Direct</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Committed Amount</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$64,340,000</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Equalization</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$0 (no equalization at final close)</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Side Letter</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No</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Status</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Active</w:t>
            </w:r>
          </w:p>
        </w:tc>
      </w:tr>
      <w:tr>
        <w:tc>
          <w:tcPr>
            <w:gridSpan w:val="4"/>
            <w:shd w:fill="B8860B" w:color="B8860B" w:val="clear"/>
            <w:tcMar>
              <w:top w:type="dxa" w:w="80"/>
              <w:left w:type="dxa" w:w="120"/>
              <w:bottom w:type="dxa" w:w="80"/>
              <w:right w:type="dxa" w:w="80"/>
            </w:tcMar>
          </w:tcPr>
          <w:p>
            <w:r>
              <w:rPr>
                <w:rFonts w:ascii="Calibri" w:cs="Calibri" w:eastAsia="Calibri" w:hAnsi="Calibri"/>
                <w:b/>
                <w:bCs/>
                <w:color w:val="FFFFFF"/>
                <w:sz w:val="22"/>
                <w:szCs w:val="22"/>
              </w:rPr>
              <w:t xml:space="preserve">LEVEL 4 — </w:t>
            </w:r>
            <w:r>
              <w:rPr>
                <w:rFonts w:ascii="Calibri" w:cs="Calibri" w:eastAsia="Calibri" w:hAnsi="Calibri"/>
                <w:b w:val="false"/>
                <w:bCs w:val="false"/>
                <w:color w:val="FFFFFF"/>
                <w:sz w:val="22"/>
                <w:szCs w:val="22"/>
              </w:rPr>
              <w:t xml:space="preserve">CAPITAL CALL NOTICE — The Draw</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Notice ID</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CCN-00005</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Capital Call</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FUND-AIP-II-CC1 (Call #1)</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Call Date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2021-08-23</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Due Date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2021-09-06</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Call Percentage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30.0% of committed capital</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Call Amount</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$19,302,000</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 Equalization</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$0</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Total Due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$19,302,000</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Payment Status</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Paid (2 days late — within grace period)</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Payment Date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2021-09-08</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Wire Reference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WIRE-000005</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Bank Account</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JPMorgan Chase Bank NA — JPMC-100200300</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Unfunded Balance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$45,038,000</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Cumulative Called</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30.0%</w:t>
            </w:r>
          </w:p>
        </w:tc>
      </w:tr>
    </w:tbl>
    <w:p>
      <w:pPr>
        <w:spacing w:after="160" w:before="0"/>
      </w:pPr>
      <w:r>
        <w:t xml:space="preserve"/>
      </w:r>
    </w:p>
    <w:p>
      <w:pPr>
        <w:spacing w:after="80" w:before="200"/>
      </w:pPr>
      <w:r>
        <w:rPr>
          <w:rFonts w:ascii="Calibri" w:cs="Calibri" w:eastAsia="Calibri" w:hAnsi="Calibri"/>
          <w:b/>
          <w:bCs/>
          <w:color w:val="1F3864"/>
          <w:sz w:val="24"/>
          <w:szCs w:val="24"/>
        </w:rPr>
        <w:t xml:space="preserve">Plain English — What Happened</w:t>
      </w:r>
    </w:p>
    <w:p>
      <w:pPr>
        <w:spacing w:after="100" w:before="0"/>
      </w:pPr>
      <w:r>
        <w:rPr>
          <w:rFonts w:ascii="Calibri" w:cs="Calibri" w:eastAsia="Calibri" w:hAnsi="Calibri"/>
          <w:b/>
          <w:bCs/>
          <w:color w:val="1F3864"/>
          <w:sz w:val="22"/>
          <w:szCs w:val="22"/>
        </w:rPr>
        <w:t xml:space="preserve">Step 1 — Subscription at Final Close: </w:t>
      </w:r>
      <w:r>
        <w:rPr>
          <w:rFonts w:ascii="Calibri" w:cs="Calibri" w:eastAsia="Calibri" w:hAnsi="Calibri"/>
          <w:color w:val="404040"/>
          <w:sz w:val="22"/>
          <w:szCs w:val="22"/>
        </w:rPr>
        <w:t xml:space="preserve">AP4 Sweden signed subscription docs Jul 31, 2021 and was admitted at the final close on Aug 9, 2021. At a final close, normally equalization interest is charged so that late LPs compensate early LPs who had their capital at work longer. Here equalization = $0, meaning either the GP granted relief or the fund had not yet called any capital before this close.</w:t>
      </w:r>
    </w:p>
    <w:p>
      <w:pPr>
        <w:spacing w:after="100" w:before="0"/>
      </w:pPr>
      <w:r>
        <w:rPr>
          <w:rFonts w:ascii="Calibri" w:cs="Calibri" w:eastAsia="Calibri" w:hAnsi="Calibri"/>
          <w:b/>
          <w:bCs/>
          <w:color w:val="1F3864"/>
          <w:sz w:val="22"/>
          <w:szCs w:val="22"/>
        </w:rPr>
        <w:t xml:space="preserve">Step 2 — Commitment: </w:t>
      </w:r>
      <w:r>
        <w:rPr>
          <w:rFonts w:ascii="Calibri" w:cs="Calibri" w:eastAsia="Calibri" w:hAnsi="Calibri"/>
          <w:color w:val="404040"/>
          <w:sz w:val="22"/>
          <w:szCs w:val="22"/>
        </w:rPr>
        <w:t xml:space="preserve">$64.34M committed to the Offshore Feeder Class A. AP4 is a direct institutional investor — no platform, no side letter. Standard LPA terms apply.</w:t>
      </w:r>
    </w:p>
    <w:p>
      <w:pPr>
        <w:spacing w:after="100" w:before="0"/>
      </w:pPr>
      <w:r>
        <w:rPr>
          <w:rFonts w:ascii="Calibri" w:cs="Calibri" w:eastAsia="Calibri" w:hAnsi="Calibri"/>
          <w:b/>
          <w:bCs/>
          <w:color w:val="1F3864"/>
          <w:sz w:val="22"/>
          <w:szCs w:val="22"/>
        </w:rPr>
        <w:t xml:space="preserve">Step 3 — Rapid Capital Call: </w:t>
      </w:r>
      <w:r>
        <w:rPr>
          <w:rFonts w:ascii="Calibri" w:cs="Calibri" w:eastAsia="Calibri" w:hAnsi="Calibri"/>
          <w:color w:val="404040"/>
          <w:sz w:val="22"/>
          <w:szCs w:val="22"/>
        </w:rPr>
        <w:t xml:space="preserve">Only 14 days after the final close (Aug 23, 2021), the GP issues CC1 calling 30%. This speed signals that an infrastructure deal was already in advanced negotiation at the time of the final close — a common pattern where GPs time their final close to coincide with a near-term deployment opportunity.</w:t>
      </w:r>
    </w:p>
    <w:p>
      <w:pPr>
        <w:spacing w:after="100" w:before="0"/>
      </w:pPr>
      <w:r>
        <w:rPr>
          <w:rFonts w:ascii="Calibri" w:cs="Calibri" w:eastAsia="Calibri" w:hAnsi="Calibri"/>
          <w:b/>
          <w:bCs/>
          <w:color w:val="1F3864"/>
          <w:sz w:val="22"/>
          <w:szCs w:val="22"/>
        </w:rPr>
        <w:t xml:space="preserve">Step 4 — Notice: </w:t>
      </w:r>
      <w:r>
        <w:rPr>
          <w:rFonts w:ascii="Calibri" w:cs="Calibri" w:eastAsia="Calibri" w:hAnsi="Calibri"/>
          <w:color w:val="404040"/>
          <w:sz w:val="22"/>
          <w:szCs w:val="22"/>
        </w:rPr>
        <w:t xml:space="preserve">CCN-00005 is issued to AP4 for $19,302,000 due Sep 6. The notice references JPMorgan account JPMC-100200300 (the Offshore Feeder's bank account) and a unique wire reference.</w:t>
      </w:r>
    </w:p>
    <w:p>
      <w:pPr>
        <w:spacing w:after="100" w:before="0"/>
      </w:pPr>
      <w:r>
        <w:rPr>
          <w:rFonts w:ascii="Calibri" w:cs="Calibri" w:eastAsia="Calibri" w:hAnsi="Calibri"/>
          <w:b/>
          <w:bCs/>
          <w:color w:val="1F3864"/>
          <w:sz w:val="22"/>
          <w:szCs w:val="22"/>
        </w:rPr>
        <w:t xml:space="preserve">Step 5 — Wire Received: </w:t>
      </w:r>
      <w:r>
        <w:rPr>
          <w:rFonts w:ascii="Calibri" w:cs="Calibri" w:eastAsia="Calibri" w:hAnsi="Calibri"/>
          <w:color w:val="404040"/>
          <w:sz w:val="22"/>
          <w:szCs w:val="22"/>
        </w:rPr>
        <w:t xml:space="preserve">AP4 wired on Sep 8 — 2 days after the due date, within the LPA grace period. Wire WIRE-000005 received at JPMorgan. TA matches by wire reference, posts to AP4's capital account, unfunded balance reduces to $45,038,000.</w:t>
      </w:r>
    </w:p>
    <w:p>
      <w:pPr>
        <w:spacing w:after="160" w:before="0"/>
      </w:pPr>
      <w:r>
        <w:t xml:space="preserve"/>
      </w:r>
    </w:p>
    <w:p>
      <w:pPr>
        <w:pStyle w:val="Heading2"/>
        <w:spacing w:after="120" w:before="320"/>
      </w:pPr>
      <w:r>
        <w:t xml:space="preserve">I.5  Side-by-Side Comparison</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tblGrid>
      <w:tr>
        <w:trPr>
          <w:tblHeader/>
        </w:trPr>
        <w:tc>
          <w:tcPr>
            <w:tcW w:type="pct" w:w="28%"/>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
            </w:r>
          </w:p>
        </w:tc>
        <w:tc>
          <w:tcPr>
            <w:tcW w:type="pct" w:w="24%"/>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Example 1
Blackstone / ACO-V</w:t>
            </w:r>
          </w:p>
        </w:tc>
        <w:tc>
          <w:tcPr>
            <w:tcW w:type="pct" w:w="24%"/>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Example 2
UBS / ABF-IX</w:t>
            </w:r>
          </w:p>
        </w:tc>
        <w:tc>
          <w:tcPr>
            <w:tcW w:type="pct" w:w="24%"/>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Example 3
AP4 / AIP-II</w:t>
            </w:r>
          </w:p>
        </w:tc>
      </w:tr>
      <w:tr>
        <w:tc>
          <w:tcPr>
            <w:tcW w:type="pct" w:w="28%"/>
            <w:tcMar>
              <w:top w:type="dxa" w:w="50"/>
              <w:left w:type="dxa" w:w="80"/>
              <w:bottom w:type="dxa" w:w="50"/>
              <w:right w:type="dxa" w:w="80"/>
            </w:tcMar>
          </w:tcPr>
          <w:p>
            <w:r>
              <w:rPr>
                <w:rFonts w:ascii="Calibri" w:cs="Calibri" w:eastAsia="Calibri" w:hAnsi="Calibri"/>
                <w:b/>
                <w:bCs/>
                <w:color w:val="1F3864"/>
                <w:sz w:val="19"/>
                <w:szCs w:val="19"/>
              </w:rPr>
              <w:t xml:space="preserve">Fund</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AMC Credit Opps V</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AMC Buyout Fund IX</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AMC Infra Partners II</w:t>
            </w:r>
          </w:p>
        </w:tc>
      </w:tr>
      <w:tr>
        <w:tc>
          <w:tcPr>
            <w:tcW w:type="pct" w:w="28%"/>
            <w:tcMar>
              <w:top w:type="dxa" w:w="50"/>
              <w:left w:type="dxa" w:w="80"/>
              <w:bottom w:type="dxa" w:w="50"/>
              <w:right w:type="dxa" w:w="80"/>
            </w:tcMar>
          </w:tcPr>
          <w:p>
            <w:r>
              <w:rPr>
                <w:rFonts w:ascii="Calibri" w:cs="Calibri" w:eastAsia="Calibri" w:hAnsi="Calibri"/>
                <w:b/>
                <w:bCs/>
                <w:color w:val="1F3864"/>
                <w:sz w:val="19"/>
                <w:szCs w:val="19"/>
              </w:rPr>
              <w:t xml:space="preserve">Feeder</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Domestic (Delaware)</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Offshore (Cayman)</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Offshore (Cayman)</w:t>
            </w:r>
          </w:p>
        </w:tc>
      </w:tr>
      <w:tr>
        <w:tc>
          <w:tcPr>
            <w:tcW w:type="pct" w:w="28%"/>
            <w:tcMar>
              <w:top w:type="dxa" w:w="50"/>
              <w:left w:type="dxa" w:w="80"/>
              <w:bottom w:type="dxa" w:w="50"/>
              <w:right w:type="dxa" w:w="80"/>
            </w:tcMar>
          </w:tcPr>
          <w:p>
            <w:r>
              <w:rPr>
                <w:rFonts w:ascii="Calibri" w:cs="Calibri" w:eastAsia="Calibri" w:hAnsi="Calibri"/>
                <w:b/>
                <w:bCs/>
                <w:color w:val="1F3864"/>
                <w:sz w:val="19"/>
                <w:szCs w:val="19"/>
              </w:rPr>
              <w:t xml:space="preserve">Investor Type</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Institutional FoF</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Wirehouse Agg Acct</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Pension Fund</w:t>
            </w:r>
          </w:p>
        </w:tc>
      </w:tr>
      <w:tr>
        <w:tc>
          <w:tcPr>
            <w:tcW w:type="pct" w:w="28%"/>
            <w:tcMar>
              <w:top w:type="dxa" w:w="50"/>
              <w:left w:type="dxa" w:w="80"/>
              <w:bottom w:type="dxa" w:w="50"/>
              <w:right w:type="dxa" w:w="80"/>
            </w:tcMar>
          </w:tcPr>
          <w:p>
            <w:r>
              <w:rPr>
                <w:rFonts w:ascii="Calibri" w:cs="Calibri" w:eastAsia="Calibri" w:hAnsi="Calibri"/>
                <w:b/>
                <w:bCs/>
                <w:color w:val="1F3864"/>
                <w:sz w:val="19"/>
                <w:szCs w:val="19"/>
              </w:rPr>
              <w:t xml:space="preserve">Close Type</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Interim (1st)</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Interim (1st)</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Final</w:t>
            </w:r>
          </w:p>
        </w:tc>
      </w:tr>
      <w:tr>
        <w:tc>
          <w:tcPr>
            <w:tcW w:type="pct" w:w="28%"/>
            <w:tcMar>
              <w:top w:type="dxa" w:w="50"/>
              <w:left w:type="dxa" w:w="80"/>
              <w:bottom w:type="dxa" w:w="50"/>
              <w:right w:type="dxa" w:w="80"/>
            </w:tcMar>
          </w:tcPr>
          <w:p>
            <w:r>
              <w:rPr>
                <w:rFonts w:ascii="Calibri" w:cs="Calibri" w:eastAsia="Calibri" w:hAnsi="Calibri"/>
                <w:b/>
                <w:bCs/>
                <w:color w:val="1F3864"/>
                <w:sz w:val="19"/>
                <w:szCs w:val="19"/>
              </w:rPr>
              <w:t xml:space="preserve">Equalization</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$0</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$0</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$0</w:t>
            </w:r>
          </w:p>
        </w:tc>
      </w:tr>
      <w:tr>
        <w:tc>
          <w:tcPr>
            <w:tcW w:type="pct" w:w="28%"/>
            <w:tcMar>
              <w:top w:type="dxa" w:w="50"/>
              <w:left w:type="dxa" w:w="80"/>
              <w:bottom w:type="dxa" w:w="50"/>
              <w:right w:type="dxa" w:w="80"/>
            </w:tcMar>
          </w:tcPr>
          <w:p>
            <w:r>
              <w:rPr>
                <w:rFonts w:ascii="Calibri" w:cs="Calibri" w:eastAsia="Calibri" w:hAnsi="Calibri"/>
                <w:b/>
                <w:bCs/>
                <w:color w:val="1F3864"/>
                <w:sz w:val="19"/>
                <w:szCs w:val="19"/>
              </w:rPr>
              <w:t xml:space="preserve">Side Letter</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No</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Yes (fee + MFN)</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No</w:t>
            </w:r>
          </w:p>
        </w:tc>
      </w:tr>
      <w:tr>
        <w:tc>
          <w:tcPr>
            <w:tcW w:type="pct" w:w="28%"/>
            <w:tcMar>
              <w:top w:type="dxa" w:w="50"/>
              <w:left w:type="dxa" w:w="80"/>
              <w:bottom w:type="dxa" w:w="50"/>
              <w:right w:type="dxa" w:w="80"/>
            </w:tcMar>
          </w:tcPr>
          <w:p>
            <w:r>
              <w:rPr>
                <w:rFonts w:ascii="Calibri" w:cs="Calibri" w:eastAsia="Calibri" w:hAnsi="Calibri"/>
                <w:b/>
                <w:bCs/>
                <w:color w:val="1F3864"/>
                <w:sz w:val="19"/>
                <w:szCs w:val="19"/>
              </w:rPr>
              <w:t xml:space="preserve">Commitment</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$29.8M</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$426.4M</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$64.3M</w:t>
            </w:r>
          </w:p>
        </w:tc>
      </w:tr>
      <w:tr>
        <w:tc>
          <w:tcPr>
            <w:tcW w:type="pct" w:w="28%"/>
            <w:tcMar>
              <w:top w:type="dxa" w:w="50"/>
              <w:left w:type="dxa" w:w="80"/>
              <w:bottom w:type="dxa" w:w="50"/>
              <w:right w:type="dxa" w:w="80"/>
            </w:tcMar>
          </w:tcPr>
          <w:p>
            <w:r>
              <w:rPr>
                <w:rFonts w:ascii="Calibri" w:cs="Calibri" w:eastAsia="Calibri" w:hAnsi="Calibri"/>
                <w:b/>
                <w:bCs/>
                <w:color w:val="1F3864"/>
                <w:sz w:val="19"/>
                <w:szCs w:val="19"/>
              </w:rPr>
              <w:t xml:space="preserve">Call % (CC1)</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30%</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30%</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30%</w:t>
            </w:r>
          </w:p>
        </w:tc>
      </w:tr>
      <w:tr>
        <w:tc>
          <w:tcPr>
            <w:tcW w:type="pct" w:w="28%"/>
            <w:tcMar>
              <w:top w:type="dxa" w:w="50"/>
              <w:left w:type="dxa" w:w="80"/>
              <w:bottom w:type="dxa" w:w="50"/>
              <w:right w:type="dxa" w:w="80"/>
            </w:tcMar>
          </w:tcPr>
          <w:p>
            <w:r>
              <w:rPr>
                <w:rFonts w:ascii="Calibri" w:cs="Calibri" w:eastAsia="Calibri" w:hAnsi="Calibri"/>
                <w:b/>
                <w:bCs/>
                <w:color w:val="1F3864"/>
                <w:sz w:val="19"/>
                <w:szCs w:val="19"/>
              </w:rPr>
              <w:t xml:space="preserve">Amount Called</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$8.9M</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$127.9M</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$19.3M</w:t>
            </w:r>
          </w:p>
        </w:tc>
      </w:tr>
      <w:tr>
        <w:tc>
          <w:tcPr>
            <w:tcW w:type="pct" w:w="28%"/>
            <w:tcMar>
              <w:top w:type="dxa" w:w="50"/>
              <w:left w:type="dxa" w:w="80"/>
              <w:bottom w:type="dxa" w:w="50"/>
              <w:right w:type="dxa" w:w="80"/>
            </w:tcMar>
          </w:tcPr>
          <w:p>
            <w:r>
              <w:rPr>
                <w:rFonts w:ascii="Calibri" w:cs="Calibri" w:eastAsia="Calibri" w:hAnsi="Calibri"/>
                <w:b/>
                <w:bCs/>
                <w:color w:val="1F3864"/>
                <w:sz w:val="19"/>
                <w:szCs w:val="19"/>
              </w:rPr>
              <w:t xml:space="preserve">Payment Status</w:t>
            </w:r>
          </w:p>
        </w:tc>
        <w:tc>
          <w:tcPr>
            <w:tcW w:type="pct" w:w="24%"/>
            <w:shd w:fill="E6F0EA" w:color="E6F0EA" w:val="clear"/>
            <w:tcMar>
              <w:top w:type="dxa" w:w="50"/>
              <w:left w:type="dxa" w:w="80"/>
              <w:bottom w:type="dxa" w:w="50"/>
              <w:right w:type="dxa" w:w="80"/>
            </w:tcMar>
          </w:tcPr>
          <w:p>
            <w:r>
              <w:rPr>
                <w:rFonts w:ascii="Calibri" w:cs="Calibri" w:eastAsia="Calibri" w:hAnsi="Calibri"/>
                <w:b/>
                <w:bCs/>
                <w:color w:val="375623"/>
                <w:sz w:val="19"/>
                <w:szCs w:val="19"/>
              </w:rPr>
              <w:t xml:space="preserve">Paid (3d late)</w:t>
            </w:r>
          </w:p>
        </w:tc>
        <w:tc>
          <w:tcPr>
            <w:tcW w:type="pct" w:w="24%"/>
            <w:shd w:fill="FDF3E7" w:color="FDF3E7" w:val="clear"/>
            <w:tcMar>
              <w:top w:type="dxa" w:w="50"/>
              <w:left w:type="dxa" w:w="80"/>
              <w:bottom w:type="dxa" w:w="50"/>
              <w:right w:type="dxa" w:w="80"/>
            </w:tcMar>
          </w:tcPr>
          <w:p>
            <w:r>
              <w:rPr>
                <w:rFonts w:ascii="Calibri" w:cs="Calibri" w:eastAsia="Calibri" w:hAnsi="Calibri"/>
                <w:b/>
                <w:bCs/>
                <w:color w:val="C55A11"/>
                <w:sz w:val="19"/>
                <w:szCs w:val="19"/>
              </w:rPr>
              <w:t xml:space="preserve">Pending</w:t>
            </w:r>
          </w:p>
        </w:tc>
        <w:tc>
          <w:tcPr>
            <w:tcW w:type="pct" w:w="24%"/>
            <w:shd w:fill="E6F0EA" w:color="E6F0EA" w:val="clear"/>
            <w:tcMar>
              <w:top w:type="dxa" w:w="50"/>
              <w:left w:type="dxa" w:w="80"/>
              <w:bottom w:type="dxa" w:w="50"/>
              <w:right w:type="dxa" w:w="80"/>
            </w:tcMar>
          </w:tcPr>
          <w:p>
            <w:r>
              <w:rPr>
                <w:rFonts w:ascii="Calibri" w:cs="Calibri" w:eastAsia="Calibri" w:hAnsi="Calibri"/>
                <w:b/>
                <w:bCs/>
                <w:color w:val="375623"/>
                <w:sz w:val="19"/>
                <w:szCs w:val="19"/>
              </w:rPr>
              <w:t xml:space="preserve">Paid (2d late)</w:t>
            </w:r>
          </w:p>
        </w:tc>
      </w:tr>
      <w:tr>
        <w:tc>
          <w:tcPr>
            <w:tcW w:type="pct" w:w="28%"/>
            <w:tcMar>
              <w:top w:type="dxa" w:w="50"/>
              <w:left w:type="dxa" w:w="80"/>
              <w:bottom w:type="dxa" w:w="50"/>
              <w:right w:type="dxa" w:w="80"/>
            </w:tcMar>
          </w:tcPr>
          <w:p>
            <w:r>
              <w:rPr>
                <w:rFonts w:ascii="Calibri" w:cs="Calibri" w:eastAsia="Calibri" w:hAnsi="Calibri"/>
                <w:b/>
                <w:bCs/>
                <w:color w:val="1F3864"/>
                <w:sz w:val="19"/>
                <w:szCs w:val="19"/>
              </w:rPr>
              <w:t xml:space="preserve">Bank</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Citibank NA</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Goldman Sachs</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JPMorgan Chase</w:t>
            </w:r>
          </w:p>
        </w:tc>
      </w:tr>
      <w:tr>
        <w:tc>
          <w:tcPr>
            <w:tcW w:type="pct" w:w="28%"/>
            <w:tcMar>
              <w:top w:type="dxa" w:w="50"/>
              <w:left w:type="dxa" w:w="80"/>
              <w:bottom w:type="dxa" w:w="50"/>
              <w:right w:type="dxa" w:w="80"/>
            </w:tcMar>
          </w:tcPr>
          <w:p>
            <w:r>
              <w:rPr>
                <w:rFonts w:ascii="Calibri" w:cs="Calibri" w:eastAsia="Calibri" w:hAnsi="Calibri"/>
                <w:b/>
                <w:bCs/>
                <w:color w:val="1F3864"/>
                <w:sz w:val="19"/>
                <w:szCs w:val="19"/>
              </w:rPr>
              <w:t xml:space="preserve">Unfunded After CC1</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$20.9M</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$298.5M</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$45.0M</w:t>
            </w:r>
          </w:p>
        </w:tc>
      </w:tr>
      <w:tr>
        <w:tc>
          <w:tcPr>
            <w:tcW w:type="pct" w:w="28%"/>
            <w:tcMar>
              <w:top w:type="dxa" w:w="50"/>
              <w:left w:type="dxa" w:w="80"/>
              <w:bottom w:type="dxa" w:w="50"/>
              <w:right w:type="dxa" w:w="80"/>
            </w:tcMar>
          </w:tcPr>
          <w:p>
            <w:r>
              <w:rPr>
                <w:rFonts w:ascii="Calibri" w:cs="Calibri" w:eastAsia="Calibri" w:hAnsi="Calibri"/>
                <w:b/>
                <w:bCs/>
                <w:color w:val="1F3864"/>
                <w:sz w:val="19"/>
                <w:szCs w:val="19"/>
              </w:rPr>
              <w:t xml:space="preserve">Days to Next Call (CC2)</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~90–270 days</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~90–270 days</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~90–270 days</w:t>
            </w:r>
          </w:p>
        </w:tc>
      </w:tr>
    </w:tbl>
    <w:p>
      <w:pPr>
        <w:spacing w:after="160" w:before="0"/>
      </w:pPr>
      <w:r>
        <w:t xml:space="preserve"/>
      </w:r>
    </w:p>
    <w:p>
      <w:pPr>
        <w:pStyle w:val="Heading2"/>
        <w:spacing w:after="120" w:before="320"/>
      </w:pPr>
      <w:r>
        <w:t xml:space="preserve">I.6  Key Takeaways</w:t>
      </w:r>
    </w:p>
    <w:p>
      <w:pPr>
        <w:pStyle w:val="ListParagraph"/>
        <w:numPr>
          <w:ilvl w:val="0"/>
          <w:numId w:val="1"/>
        </w:numPr>
        <w:spacing w:after="80" w:before="0"/>
      </w:pPr>
      <w:r>
        <w:rPr>
          <w:rFonts w:ascii="Calibri" w:cs="Calibri" w:eastAsia="Calibri" w:hAnsi="Calibri"/>
          <w:color w:val="404040"/>
          <w:sz w:val="21"/>
          <w:szCs w:val="21"/>
        </w:rPr>
        <w:t xml:space="preserve">Capital is never called at the offering or fund level — it is always called at the individual commitment level. The call % is set fund-wide; the dollar amount is unique to each LP's commitment size.</w:t>
      </w:r>
    </w:p>
    <w:p>
      <w:pPr>
        <w:pStyle w:val="ListParagraph"/>
        <w:numPr>
          <w:ilvl w:val="0"/>
          <w:numId w:val="1"/>
        </w:numPr>
        <w:spacing w:after="80" w:before="0"/>
      </w:pPr>
      <w:r>
        <w:rPr>
          <w:rFonts w:ascii="Calibri" w:cs="Calibri" w:eastAsia="Calibri" w:hAnsi="Calibri"/>
          <w:color w:val="404040"/>
          <w:sz w:val="21"/>
          <w:szCs w:val="21"/>
        </w:rPr>
        <w:t xml:space="preserve">A wirehouse aggregate account (like UBS) looks identical to any other LP from the fund's perspective — one commitment, one notice, one wire. The sub-account allocation to individual HNW clients is entirely internal to UBS.</w:t>
      </w:r>
    </w:p>
    <w:p>
      <w:pPr>
        <w:pStyle w:val="ListParagraph"/>
        <w:numPr>
          <w:ilvl w:val="0"/>
          <w:numId w:val="1"/>
        </w:numPr>
        <w:spacing w:after="80" w:before="0"/>
      </w:pPr>
      <w:r>
        <w:rPr>
          <w:rFonts w:ascii="Calibri" w:cs="Calibri" w:eastAsia="Calibri" w:hAnsi="Calibri"/>
          <w:color w:val="404040"/>
          <w:sz w:val="21"/>
          <w:szCs w:val="21"/>
        </w:rPr>
        <w:t xml:space="preserve">Final-close LPs may owe equalization interest to compensate earlier LPs, but the GP can waive this — the AMC Infra Partners II example shows $0 equalization at the final close.</w:t>
      </w:r>
    </w:p>
    <w:p>
      <w:pPr>
        <w:pStyle w:val="ListParagraph"/>
        <w:numPr>
          <w:ilvl w:val="0"/>
          <w:numId w:val="1"/>
        </w:numPr>
        <w:spacing w:after="80" w:before="0"/>
      </w:pPr>
      <w:r>
        <w:rPr>
          <w:rFonts w:ascii="Calibri" w:cs="Calibri" w:eastAsia="Calibri" w:hAnsi="Calibri"/>
          <w:color w:val="404040"/>
          <w:sz w:val="21"/>
          <w:szCs w:val="21"/>
        </w:rPr>
        <w:t xml:space="preserve">Late wires within the LPA grace period (typically 1–5 business days) do not trigger default. Default interest and formal default notices only apply after the grace period lapses.</w:t>
      </w:r>
    </w:p>
    <w:p>
      <w:pPr>
        <w:pStyle w:val="ListParagraph"/>
        <w:numPr>
          <w:ilvl w:val="0"/>
          <w:numId w:val="1"/>
        </w:numPr>
        <w:spacing w:after="80" w:before="0"/>
      </w:pPr>
      <w:r>
        <w:rPr>
          <w:rFonts w:ascii="Calibri" w:cs="Calibri" w:eastAsia="Calibri" w:hAnsi="Calibri"/>
          <w:color w:val="404040"/>
          <w:sz w:val="21"/>
          <w:szCs w:val="21"/>
        </w:rPr>
        <w:t xml:space="preserve">The unique wire reference on each notice is the critical control that allows the transfer agent to auto-match incoming wires to the correct LP and capital call notice — without it, the wire goes to suspense.</w:t>
      </w:r>
    </w:p>
    <w:p>
      <w:pPr>
        <w:pStyle w:val="ListParagraph"/>
        <w:numPr>
          <w:ilvl w:val="0"/>
          <w:numId w:val="1"/>
        </w:numPr>
        <w:spacing w:after="80" w:before="0"/>
      </w:pPr>
      <w:r>
        <w:rPr>
          <w:rFonts w:ascii="Calibri" w:cs="Calibri" w:eastAsia="Calibri" w:hAnsi="Calibri"/>
          <w:color w:val="404040"/>
          <w:sz w:val="21"/>
          <w:szCs w:val="21"/>
        </w:rPr>
        <w:t xml:space="preserve">The fund administrator and transfer agent are separate entities. The fund admin owns the GL; the TA owns the LP capital account register. Their records must agree at every period-end close.</w:t>
      </w:r>
    </w:p>
    <w:p>
      <w:pPr>
        <w:spacing w:after="160" w:before="0"/>
      </w:pPr>
      <w:r>
        <w:t xml:space="preserve"/>
      </w:r>
    </w:p>
    <w:p>
      <w:pPr>
        <w:pStyle w:val="Heading1"/>
        <w:spacing w:after="160" w:before="480"/>
      </w:pPr>
      <w:r>
        <w:t xml:space="preserve">Appendix J — Transaction Type Glossary &amp; Fund Accounting Data Model</w:t>
      </w:r>
    </w:p>
    <w:p>
      <w:pPr>
        <w:spacing w:after="120" w:before="0"/>
      </w:pPr>
      <w:r>
        <w:rPr>
          <w:rFonts w:ascii="Calibri" w:cs="Calibri" w:eastAsia="Calibri" w:hAnsi="Calibri"/>
          <w:color w:val="404040"/>
          <w:sz w:val="22"/>
          <w:szCs w:val="22"/>
        </w:rPr>
        <w:t xml:space="preserve">This appendix provides a complete glossary of all transaction types used in the AMC Capital sample dataset, their GL debit/credit entries, plain-English descriptions, industry standard equivalents across SS&amp;C Investran, SS&amp;C Geneva, and iCapital, and the phase of the fund lifecycle in which each occurs.</w:t>
      </w:r>
    </w:p>
    <w:p>
      <w:pPr>
        <w:spacing w:after="160" w:before="0"/>
      </w:pPr>
      <w:r>
        <w:t xml:space="preserve"/>
      </w:r>
    </w:p>
    <w:p>
      <w:pPr>
        <w:pStyle w:val="Heading2"/>
        <w:spacing w:after="120" w:before="320"/>
      </w:pPr>
      <w:r>
        <w:t xml:space="preserve">J.1  Transaction Types — Master Glossary</w:t>
      </w:r>
    </w:p>
    <w:p>
      <w:pPr>
        <w:spacing w:after="120" w:before="0"/>
      </w:pPr>
      <w:r>
        <w:rPr>
          <w:rFonts w:ascii="Calibri" w:cs="Calibri" w:eastAsia="Calibri" w:hAnsi="Calibri"/>
          <w:color w:val="404040"/>
          <w:sz w:val="22"/>
          <w:szCs w:val="22"/>
        </w:rPr>
        <w:t xml:space="preserve">The AMC Capital data model contains 9 distinct transaction types spanning the full PE fund accounting lifecycle — from capital call through realization and carry distribution. Each type maps to one or more GL journal entries at the feeder and/or master fund level.</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gridCol w:w="100"/>
        <w:gridCol w:w="100"/>
        <w:gridCol w:w="100"/>
      </w:tblGrid>
      <w:tr>
        <w:trPr>
          <w:tblHeader/>
        </w:trPr>
        <w:tc>
          <w:tcPr>
            <w:tcW w:type="pct" w:w="18%"/>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Transaction Type</w:t>
            </w:r>
          </w:p>
        </w:tc>
        <w:tc>
          <w:tcPr>
            <w:tcW w:type="pct" w:w="12%"/>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Phase</w:t>
            </w:r>
          </w:p>
        </w:tc>
        <w:tc>
          <w:tcPr>
            <w:tcW w:type="pct" w:w="17%"/>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Debit Account</w:t>
            </w:r>
          </w:p>
        </w:tc>
        <w:tc>
          <w:tcPr>
            <w:tcW w:type="pct" w:w="17%"/>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Credit Account</w:t>
            </w:r>
          </w:p>
        </w:tc>
        <w:tc>
          <w:tcPr>
            <w:tcW w:type="pct" w:w="12%"/>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Entity Level</w:t>
            </w:r>
          </w:p>
        </w:tc>
        <w:tc>
          <w:tcPr>
            <w:tcW w:type="pct" w:w="12%"/>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SS&amp;C Investran</w:t>
            </w:r>
          </w:p>
        </w:tc>
        <w:tc>
          <w:tcPr>
            <w:tcW w:type="pct" w:w="12%"/>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SS&amp;C Geneva</w:t>
            </w:r>
          </w:p>
        </w:tc>
      </w:tr>
      <w:tr>
        <w:tc>
          <w:tcPr>
            <w:tcW w:type="pct" w:w="18%"/>
            <w:shd w:fill="F0F4FA" w:color="F0F4FA" w:val="clear"/>
            <w:tcMar>
              <w:top w:type="dxa" w:w="50"/>
              <w:left w:type="dxa" w:w="80"/>
              <w:bottom w:type="dxa" w:w="50"/>
              <w:right w:type="dxa" w:w="80"/>
            </w:tcMar>
          </w:tcPr>
          <w:p>
            <w:r>
              <w:rPr>
                <w:rFonts w:ascii="Courier New" w:cs="Courier New" w:eastAsia="Courier New" w:hAnsi="Courier New"/>
                <w:b/>
                <w:bCs/>
                <w:color w:val="2F5496"/>
                <w:sz w:val="18"/>
                <w:szCs w:val="18"/>
              </w:rPr>
              <w:t xml:space="preserve">CapitalCallReceivable</w:t>
            </w:r>
          </w:p>
        </w:tc>
        <w:tc>
          <w:tcPr>
            <w:tcW w:type="pct" w:w="12%"/>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Fundraising / Capital Call</w:t>
            </w:r>
          </w:p>
        </w:tc>
        <w:tc>
          <w:tcPr>
            <w:tcW w:type="pct" w:w="17%"/>
            <w:tcMar>
              <w:top w:type="dxa" w:w="50"/>
              <w:left w:type="dxa" w:w="80"/>
              <w:bottom w:type="dxa" w:w="50"/>
              <w:right w:type="dxa" w:w="80"/>
            </w:tcMar>
          </w:tcPr>
          <w:p>
            <w:r>
              <w:rPr>
                <w:rFonts w:ascii="Calibri" w:cs="Calibri" w:eastAsia="Calibri" w:hAnsi="Calibri"/>
                <w:color w:val="404040"/>
                <w:sz w:val="18"/>
                <w:szCs w:val="18"/>
              </w:rPr>
              <w:t xml:space="preserve">Capital Call Receivable</w:t>
            </w:r>
          </w:p>
        </w:tc>
        <w:tc>
          <w:tcPr>
            <w:tcW w:type="pct" w:w="17%"/>
            <w:tcMar>
              <w:top w:type="dxa" w:w="50"/>
              <w:left w:type="dxa" w:w="80"/>
              <w:bottom w:type="dxa" w:w="50"/>
              <w:right w:type="dxa" w:w="80"/>
            </w:tcMar>
          </w:tcPr>
          <w:p>
            <w:r>
              <w:rPr>
                <w:rFonts w:ascii="Calibri" w:cs="Calibri" w:eastAsia="Calibri" w:hAnsi="Calibri"/>
                <w:color w:val="404040"/>
                <w:sz w:val="18"/>
                <w:szCs w:val="18"/>
              </w:rPr>
              <w:t xml:space="preserve">Capital Contributions Payable</w:t>
            </w:r>
          </w:p>
        </w:tc>
        <w:tc>
          <w:tcPr>
            <w:tcW w:type="pct" w:w="12%"/>
            <w:shd w:fill="F2F2F2" w:color="F2F2F2" w:val="clear"/>
            <w:tcMar>
              <w:top w:type="dxa" w:w="50"/>
              <w:left w:type="dxa" w:w="80"/>
              <w:bottom w:type="dxa" w:w="50"/>
              <w:right w:type="dxa" w:w="80"/>
            </w:tcMar>
          </w:tcPr>
          <w:p>
            <w:r>
              <w:rPr>
                <w:rFonts w:ascii="Calibri" w:cs="Calibri" w:eastAsia="Calibri" w:hAnsi="Calibri"/>
                <w:b/>
                <w:bCs/>
                <w:color w:val="404040"/>
                <w:sz w:val="19"/>
                <w:szCs w:val="19"/>
              </w:rPr>
              <w:t xml:space="preserve">Feeder &amp; Master Fund</w:t>
            </w:r>
          </w:p>
        </w:tc>
        <w:tc>
          <w:tcPr>
            <w:tcW w:type="pct" w:w="12%"/>
            <w:tcMar>
              <w:top w:type="dxa" w:w="50"/>
              <w:left w:type="dxa" w:w="80"/>
              <w:bottom w:type="dxa" w:w="50"/>
              <w:right w:type="dxa" w:w="80"/>
            </w:tcMar>
          </w:tcPr>
          <w:p>
            <w:r>
              <w:rPr>
                <w:rFonts w:ascii="Calibri" w:cs="Calibri" w:eastAsia="Calibri" w:hAnsi="Calibri"/>
                <w:color w:val="404040"/>
                <w:sz w:val="17"/>
                <w:szCs w:val="17"/>
              </w:rPr>
              <w:t xml:space="preserve">CCRECV</w:t>
            </w:r>
          </w:p>
        </w:tc>
        <w:tc>
          <w:tcPr>
            <w:tcW w:type="pct" w:w="12%"/>
            <w:tcMar>
              <w:top w:type="dxa" w:w="50"/>
              <w:left w:type="dxa" w:w="80"/>
              <w:bottom w:type="dxa" w:w="50"/>
              <w:right w:type="dxa" w:w="80"/>
            </w:tcMar>
          </w:tcPr>
          <w:p>
            <w:r>
              <w:rPr>
                <w:rFonts w:ascii="Calibri" w:cs="Calibri" w:eastAsia="Calibri" w:hAnsi="Calibri"/>
                <w:color w:val="404040"/>
                <w:sz w:val="17"/>
                <w:szCs w:val="17"/>
              </w:rPr>
              <w:t xml:space="preserve">Capital Call (notification)</w:t>
            </w:r>
          </w:p>
        </w:tc>
      </w:tr>
      <w:tr>
        <w:tc>
          <w:tcPr>
            <w:tcW w:type="pct" w:w="18%"/>
            <w:shd w:fill="F0F4FA" w:color="F0F4FA" w:val="clear"/>
            <w:tcMar>
              <w:top w:type="dxa" w:w="50"/>
              <w:left w:type="dxa" w:w="80"/>
              <w:bottom w:type="dxa" w:w="50"/>
              <w:right w:type="dxa" w:w="80"/>
            </w:tcMar>
          </w:tcPr>
          <w:p>
            <w:r>
              <w:rPr>
                <w:rFonts w:ascii="Courier New" w:cs="Courier New" w:eastAsia="Courier New" w:hAnsi="Courier New"/>
                <w:b/>
                <w:bCs/>
                <w:color w:val="2F5496"/>
                <w:sz w:val="18"/>
                <w:szCs w:val="18"/>
              </w:rPr>
              <w:t xml:space="preserve">CashReceipt</w:t>
            </w:r>
          </w:p>
        </w:tc>
        <w:tc>
          <w:tcPr>
            <w:tcW w:type="pct" w:w="12%"/>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Capital Call Settlement</w:t>
            </w:r>
          </w:p>
        </w:tc>
        <w:tc>
          <w:tcPr>
            <w:tcW w:type="pct" w:w="17%"/>
            <w:tcMar>
              <w:top w:type="dxa" w:w="50"/>
              <w:left w:type="dxa" w:w="80"/>
              <w:bottom w:type="dxa" w:w="50"/>
              <w:right w:type="dxa" w:w="80"/>
            </w:tcMar>
          </w:tcPr>
          <w:p>
            <w:r>
              <w:rPr>
                <w:rFonts w:ascii="Calibri" w:cs="Calibri" w:eastAsia="Calibri" w:hAnsi="Calibri"/>
                <w:color w:val="404040"/>
                <w:sz w:val="18"/>
                <w:szCs w:val="18"/>
              </w:rPr>
              <w:t xml:space="preserve">Cash &amp; Cash Equivalents</w:t>
            </w:r>
          </w:p>
        </w:tc>
        <w:tc>
          <w:tcPr>
            <w:tcW w:type="pct" w:w="17%"/>
            <w:tcMar>
              <w:top w:type="dxa" w:w="50"/>
              <w:left w:type="dxa" w:w="80"/>
              <w:bottom w:type="dxa" w:w="50"/>
              <w:right w:type="dxa" w:w="80"/>
            </w:tcMar>
          </w:tcPr>
          <w:p>
            <w:r>
              <w:rPr>
                <w:rFonts w:ascii="Calibri" w:cs="Calibri" w:eastAsia="Calibri" w:hAnsi="Calibri"/>
                <w:color w:val="404040"/>
                <w:sz w:val="18"/>
                <w:szCs w:val="18"/>
              </w:rPr>
              <w:t xml:space="preserve">Capital Call Receivable</w:t>
            </w:r>
          </w:p>
        </w:tc>
        <w:tc>
          <w:tcPr>
            <w:tcW w:type="pct" w:w="12%"/>
            <w:shd w:fill="F2F2F2" w:color="F2F2F2" w:val="clear"/>
            <w:tcMar>
              <w:top w:type="dxa" w:w="50"/>
              <w:left w:type="dxa" w:w="80"/>
              <w:bottom w:type="dxa" w:w="50"/>
              <w:right w:type="dxa" w:w="80"/>
            </w:tcMar>
          </w:tcPr>
          <w:p>
            <w:r>
              <w:rPr>
                <w:rFonts w:ascii="Calibri" w:cs="Calibri" w:eastAsia="Calibri" w:hAnsi="Calibri"/>
                <w:b/>
                <w:bCs/>
                <w:color w:val="404040"/>
                <w:sz w:val="19"/>
                <w:szCs w:val="19"/>
              </w:rPr>
              <w:t xml:space="preserve">Feeder</w:t>
            </w:r>
          </w:p>
        </w:tc>
        <w:tc>
          <w:tcPr>
            <w:tcW w:type="pct" w:w="12%"/>
            <w:tcMar>
              <w:top w:type="dxa" w:w="50"/>
              <w:left w:type="dxa" w:w="80"/>
              <w:bottom w:type="dxa" w:w="50"/>
              <w:right w:type="dxa" w:w="80"/>
            </w:tcMar>
          </w:tcPr>
          <w:p>
            <w:r>
              <w:rPr>
                <w:rFonts w:ascii="Calibri" w:cs="Calibri" w:eastAsia="Calibri" w:hAnsi="Calibri"/>
                <w:color w:val="404040"/>
                <w:sz w:val="17"/>
                <w:szCs w:val="17"/>
              </w:rPr>
              <w:t xml:space="preserve">CONTRIB / SUB</w:t>
            </w:r>
          </w:p>
        </w:tc>
        <w:tc>
          <w:tcPr>
            <w:tcW w:type="pct" w:w="12%"/>
            <w:tcMar>
              <w:top w:type="dxa" w:w="50"/>
              <w:left w:type="dxa" w:w="80"/>
              <w:bottom w:type="dxa" w:w="50"/>
              <w:right w:type="dxa" w:w="80"/>
            </w:tcMar>
          </w:tcPr>
          <w:p>
            <w:r>
              <w:rPr>
                <w:rFonts w:ascii="Calibri" w:cs="Calibri" w:eastAsia="Calibri" w:hAnsi="Calibri"/>
                <w:color w:val="404040"/>
                <w:sz w:val="17"/>
                <w:szCs w:val="17"/>
              </w:rPr>
              <w:t xml:space="preserve">Capital Call Payment</w:t>
            </w:r>
          </w:p>
        </w:tc>
      </w:tr>
      <w:tr>
        <w:tc>
          <w:tcPr>
            <w:tcW w:type="pct" w:w="18%"/>
            <w:shd w:fill="F0F4FA" w:color="F0F4FA" w:val="clear"/>
            <w:tcMar>
              <w:top w:type="dxa" w:w="50"/>
              <w:left w:type="dxa" w:w="80"/>
              <w:bottom w:type="dxa" w:w="50"/>
              <w:right w:type="dxa" w:w="80"/>
            </w:tcMar>
          </w:tcPr>
          <w:p>
            <w:r>
              <w:rPr>
                <w:rFonts w:ascii="Courier New" w:cs="Courier New" w:eastAsia="Courier New" w:hAnsi="Courier New"/>
                <w:b/>
                <w:bCs/>
                <w:color w:val="2F5496"/>
                <w:sz w:val="18"/>
                <w:szCs w:val="18"/>
              </w:rPr>
              <w:t xml:space="preserve">InvestmentInMasterFund</w:t>
            </w:r>
          </w:p>
        </w:tc>
        <w:tc>
          <w:tcPr>
            <w:tcW w:type="pct" w:w="12%"/>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Feeder → Master Sweep</w:t>
            </w:r>
          </w:p>
        </w:tc>
        <w:tc>
          <w:tcPr>
            <w:tcW w:type="pct" w:w="17%"/>
            <w:tcMar>
              <w:top w:type="dxa" w:w="50"/>
              <w:left w:type="dxa" w:w="80"/>
              <w:bottom w:type="dxa" w:w="50"/>
              <w:right w:type="dxa" w:w="80"/>
            </w:tcMar>
          </w:tcPr>
          <w:p>
            <w:r>
              <w:rPr>
                <w:rFonts w:ascii="Calibri" w:cs="Calibri" w:eastAsia="Calibri" w:hAnsi="Calibri"/>
                <w:color w:val="404040"/>
                <w:sz w:val="18"/>
                <w:szCs w:val="18"/>
              </w:rPr>
              <w:t xml:space="preserve">Investment in Master Fund</w:t>
            </w:r>
          </w:p>
        </w:tc>
        <w:tc>
          <w:tcPr>
            <w:tcW w:type="pct" w:w="17%"/>
            <w:tcMar>
              <w:top w:type="dxa" w:w="50"/>
              <w:left w:type="dxa" w:w="80"/>
              <w:bottom w:type="dxa" w:w="50"/>
              <w:right w:type="dxa" w:w="80"/>
            </w:tcMar>
          </w:tcPr>
          <w:p>
            <w:r>
              <w:rPr>
                <w:rFonts w:ascii="Calibri" w:cs="Calibri" w:eastAsia="Calibri" w:hAnsi="Calibri"/>
                <w:color w:val="404040"/>
                <w:sz w:val="18"/>
                <w:szCs w:val="18"/>
              </w:rPr>
              <w:t xml:space="preserve">Cash &amp; Cash Equivalents</w:t>
            </w:r>
          </w:p>
        </w:tc>
        <w:tc>
          <w:tcPr>
            <w:tcW w:type="pct" w:w="12%"/>
            <w:shd w:fill="F2F2F2" w:color="F2F2F2" w:val="clear"/>
            <w:tcMar>
              <w:top w:type="dxa" w:w="50"/>
              <w:left w:type="dxa" w:w="80"/>
              <w:bottom w:type="dxa" w:w="50"/>
              <w:right w:type="dxa" w:w="80"/>
            </w:tcMar>
          </w:tcPr>
          <w:p>
            <w:r>
              <w:rPr>
                <w:rFonts w:ascii="Calibri" w:cs="Calibri" w:eastAsia="Calibri" w:hAnsi="Calibri"/>
                <w:b/>
                <w:bCs/>
                <w:color w:val="404040"/>
                <w:sz w:val="19"/>
                <w:szCs w:val="19"/>
              </w:rPr>
              <w:t xml:space="preserve">Feeder only</w:t>
            </w:r>
          </w:p>
        </w:tc>
        <w:tc>
          <w:tcPr>
            <w:tcW w:type="pct" w:w="12%"/>
            <w:tcMar>
              <w:top w:type="dxa" w:w="50"/>
              <w:left w:type="dxa" w:w="80"/>
              <w:bottom w:type="dxa" w:w="50"/>
              <w:right w:type="dxa" w:w="80"/>
            </w:tcMar>
          </w:tcPr>
          <w:p>
            <w:r>
              <w:rPr>
                <w:rFonts w:ascii="Calibri" w:cs="Calibri" w:eastAsia="Calibri" w:hAnsi="Calibri"/>
                <w:color w:val="404040"/>
                <w:sz w:val="17"/>
                <w:szCs w:val="17"/>
              </w:rPr>
              <w:t xml:space="preserve">XFER</w:t>
            </w:r>
          </w:p>
        </w:tc>
        <w:tc>
          <w:tcPr>
            <w:tcW w:type="pct" w:w="12%"/>
            <w:tcMar>
              <w:top w:type="dxa" w:w="50"/>
              <w:left w:type="dxa" w:w="80"/>
              <w:bottom w:type="dxa" w:w="50"/>
              <w:right w:type="dxa" w:w="80"/>
            </w:tcMar>
          </w:tcPr>
          <w:p>
            <w:r>
              <w:rPr>
                <w:rFonts w:ascii="Calibri" w:cs="Calibri" w:eastAsia="Calibri" w:hAnsi="Calibri"/>
                <w:color w:val="404040"/>
                <w:sz w:val="17"/>
                <w:szCs w:val="17"/>
              </w:rPr>
              <w:t xml:space="preserve">N/A (internal)</w:t>
            </w:r>
          </w:p>
        </w:tc>
      </w:tr>
      <w:tr>
        <w:tc>
          <w:tcPr>
            <w:tcW w:type="pct" w:w="18%"/>
            <w:shd w:fill="F0F4FA" w:color="F0F4FA" w:val="clear"/>
            <w:tcMar>
              <w:top w:type="dxa" w:w="50"/>
              <w:left w:type="dxa" w:w="80"/>
              <w:bottom w:type="dxa" w:w="50"/>
              <w:right w:type="dxa" w:w="80"/>
            </w:tcMar>
          </w:tcPr>
          <w:p>
            <w:r>
              <w:rPr>
                <w:rFonts w:ascii="Courier New" w:cs="Courier New" w:eastAsia="Courier New" w:hAnsi="Courier New"/>
                <w:b/>
                <w:bCs/>
                <w:color w:val="2F5496"/>
                <w:sz w:val="18"/>
                <w:szCs w:val="18"/>
              </w:rPr>
              <w:t xml:space="preserve">CapitalFromFeeder</w:t>
            </w:r>
          </w:p>
        </w:tc>
        <w:tc>
          <w:tcPr>
            <w:tcW w:type="pct" w:w="12%"/>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Master Fund Receipt</w:t>
            </w:r>
          </w:p>
        </w:tc>
        <w:tc>
          <w:tcPr>
            <w:tcW w:type="pct" w:w="17%"/>
            <w:tcMar>
              <w:top w:type="dxa" w:w="50"/>
              <w:left w:type="dxa" w:w="80"/>
              <w:bottom w:type="dxa" w:w="50"/>
              <w:right w:type="dxa" w:w="80"/>
            </w:tcMar>
          </w:tcPr>
          <w:p>
            <w:r>
              <w:rPr>
                <w:rFonts w:ascii="Calibri" w:cs="Calibri" w:eastAsia="Calibri" w:hAnsi="Calibri"/>
                <w:color w:val="404040"/>
                <w:sz w:val="18"/>
                <w:szCs w:val="18"/>
              </w:rPr>
              <w:t xml:space="preserve">Cash &amp; Cash Equivalents</w:t>
            </w:r>
          </w:p>
        </w:tc>
        <w:tc>
          <w:tcPr>
            <w:tcW w:type="pct" w:w="17%"/>
            <w:tcMar>
              <w:top w:type="dxa" w:w="50"/>
              <w:left w:type="dxa" w:w="80"/>
              <w:bottom w:type="dxa" w:w="50"/>
              <w:right w:type="dxa" w:w="80"/>
            </w:tcMar>
          </w:tcPr>
          <w:p>
            <w:r>
              <w:rPr>
                <w:rFonts w:ascii="Calibri" w:cs="Calibri" w:eastAsia="Calibri" w:hAnsi="Calibri"/>
                <w:color w:val="404040"/>
                <w:sz w:val="18"/>
                <w:szCs w:val="18"/>
              </w:rPr>
              <w:t xml:space="preserve">LP Capital Account — Feeder</w:t>
            </w:r>
          </w:p>
        </w:tc>
        <w:tc>
          <w:tcPr>
            <w:tcW w:type="pct" w:w="12%"/>
            <w:shd w:fill="F2F2F2" w:color="F2F2F2" w:val="clear"/>
            <w:tcMar>
              <w:top w:type="dxa" w:w="50"/>
              <w:left w:type="dxa" w:w="80"/>
              <w:bottom w:type="dxa" w:w="50"/>
              <w:right w:type="dxa" w:w="80"/>
            </w:tcMar>
          </w:tcPr>
          <w:p>
            <w:r>
              <w:rPr>
                <w:rFonts w:ascii="Calibri" w:cs="Calibri" w:eastAsia="Calibri" w:hAnsi="Calibri"/>
                <w:b/>
                <w:bCs/>
                <w:color w:val="404040"/>
                <w:sz w:val="19"/>
                <w:szCs w:val="19"/>
              </w:rPr>
              <w:t xml:space="preserve">Master Fund only</w:t>
            </w:r>
          </w:p>
        </w:tc>
        <w:tc>
          <w:tcPr>
            <w:tcW w:type="pct" w:w="12%"/>
            <w:tcMar>
              <w:top w:type="dxa" w:w="50"/>
              <w:left w:type="dxa" w:w="80"/>
              <w:bottom w:type="dxa" w:w="50"/>
              <w:right w:type="dxa" w:w="80"/>
            </w:tcMar>
          </w:tcPr>
          <w:p>
            <w:r>
              <w:rPr>
                <w:rFonts w:ascii="Calibri" w:cs="Calibri" w:eastAsia="Calibri" w:hAnsi="Calibri"/>
                <w:color w:val="404040"/>
                <w:sz w:val="17"/>
                <w:szCs w:val="17"/>
              </w:rPr>
              <w:t xml:space="preserve">CONTRIB</w:t>
            </w:r>
          </w:p>
        </w:tc>
        <w:tc>
          <w:tcPr>
            <w:tcW w:type="pct" w:w="12%"/>
            <w:tcMar>
              <w:top w:type="dxa" w:w="50"/>
              <w:left w:type="dxa" w:w="80"/>
              <w:bottom w:type="dxa" w:w="50"/>
              <w:right w:type="dxa" w:w="80"/>
            </w:tcMar>
          </w:tcPr>
          <w:p>
            <w:r>
              <w:rPr>
                <w:rFonts w:ascii="Calibri" w:cs="Calibri" w:eastAsia="Calibri" w:hAnsi="Calibri"/>
                <w:color w:val="404040"/>
                <w:sz w:val="17"/>
                <w:szCs w:val="17"/>
              </w:rPr>
              <w:t xml:space="preserve">N/A (internal)</w:t>
            </w:r>
          </w:p>
        </w:tc>
      </w:tr>
      <w:tr>
        <w:tc>
          <w:tcPr>
            <w:tcW w:type="pct" w:w="18%"/>
            <w:shd w:fill="F0F4FA" w:color="F0F4FA" w:val="clear"/>
            <w:tcMar>
              <w:top w:type="dxa" w:w="50"/>
              <w:left w:type="dxa" w:w="80"/>
              <w:bottom w:type="dxa" w:w="50"/>
              <w:right w:type="dxa" w:w="80"/>
            </w:tcMar>
          </w:tcPr>
          <w:p>
            <w:r>
              <w:rPr>
                <w:rFonts w:ascii="Courier New" w:cs="Courier New" w:eastAsia="Courier New" w:hAnsi="Courier New"/>
                <w:b/>
                <w:bCs/>
                <w:color w:val="2F5496"/>
                <w:sz w:val="18"/>
                <w:szCs w:val="18"/>
              </w:rPr>
              <w:t xml:space="preserve">PortfolioDeployment</w:t>
            </w:r>
          </w:p>
        </w:tc>
        <w:tc>
          <w:tcPr>
            <w:tcW w:type="pct" w:w="12%"/>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Investment / Deployment</w:t>
            </w:r>
          </w:p>
        </w:tc>
        <w:tc>
          <w:tcPr>
            <w:tcW w:type="pct" w:w="17%"/>
            <w:tcMar>
              <w:top w:type="dxa" w:w="50"/>
              <w:left w:type="dxa" w:w="80"/>
              <w:bottom w:type="dxa" w:w="50"/>
              <w:right w:type="dxa" w:w="80"/>
            </w:tcMar>
          </w:tcPr>
          <w:p>
            <w:r>
              <w:rPr>
                <w:rFonts w:ascii="Calibri" w:cs="Calibri" w:eastAsia="Calibri" w:hAnsi="Calibri"/>
                <w:color w:val="404040"/>
                <w:sz w:val="18"/>
                <w:szCs w:val="18"/>
              </w:rPr>
              <w:t xml:space="preserve">Investment in Portfolio — Cost</w:t>
            </w:r>
          </w:p>
        </w:tc>
        <w:tc>
          <w:tcPr>
            <w:tcW w:type="pct" w:w="17%"/>
            <w:tcMar>
              <w:top w:type="dxa" w:w="50"/>
              <w:left w:type="dxa" w:w="80"/>
              <w:bottom w:type="dxa" w:w="50"/>
              <w:right w:type="dxa" w:w="80"/>
            </w:tcMar>
          </w:tcPr>
          <w:p>
            <w:r>
              <w:rPr>
                <w:rFonts w:ascii="Calibri" w:cs="Calibri" w:eastAsia="Calibri" w:hAnsi="Calibri"/>
                <w:color w:val="404040"/>
                <w:sz w:val="18"/>
                <w:szCs w:val="18"/>
              </w:rPr>
              <w:t xml:space="preserve">Cash &amp; Cash Equivalents</w:t>
            </w:r>
          </w:p>
        </w:tc>
        <w:tc>
          <w:tcPr>
            <w:tcW w:type="pct" w:w="12%"/>
            <w:shd w:fill="F2F2F2" w:color="F2F2F2" w:val="clear"/>
            <w:tcMar>
              <w:top w:type="dxa" w:w="50"/>
              <w:left w:type="dxa" w:w="80"/>
              <w:bottom w:type="dxa" w:w="50"/>
              <w:right w:type="dxa" w:w="80"/>
            </w:tcMar>
          </w:tcPr>
          <w:p>
            <w:r>
              <w:rPr>
                <w:rFonts w:ascii="Calibri" w:cs="Calibri" w:eastAsia="Calibri" w:hAnsi="Calibri"/>
                <w:b/>
                <w:bCs/>
                <w:color w:val="404040"/>
                <w:sz w:val="19"/>
                <w:szCs w:val="19"/>
              </w:rPr>
              <w:t xml:space="preserve">Master Fund</w:t>
            </w:r>
          </w:p>
        </w:tc>
        <w:tc>
          <w:tcPr>
            <w:tcW w:type="pct" w:w="12%"/>
            <w:tcMar>
              <w:top w:type="dxa" w:w="50"/>
              <w:left w:type="dxa" w:w="80"/>
              <w:bottom w:type="dxa" w:w="50"/>
              <w:right w:type="dxa" w:w="80"/>
            </w:tcMar>
          </w:tcPr>
          <w:p>
            <w:r>
              <w:rPr>
                <w:rFonts w:ascii="Calibri" w:cs="Calibri" w:eastAsia="Calibri" w:hAnsi="Calibri"/>
                <w:color w:val="404040"/>
                <w:sz w:val="17"/>
                <w:szCs w:val="17"/>
              </w:rPr>
              <w:t xml:space="preserve">BUY</w:t>
            </w:r>
          </w:p>
        </w:tc>
        <w:tc>
          <w:tcPr>
            <w:tcW w:type="pct" w:w="12%"/>
            <w:tcMar>
              <w:top w:type="dxa" w:w="50"/>
              <w:left w:type="dxa" w:w="80"/>
              <w:bottom w:type="dxa" w:w="50"/>
              <w:right w:type="dxa" w:w="80"/>
            </w:tcMar>
          </w:tcPr>
          <w:p>
            <w:r>
              <w:rPr>
                <w:rFonts w:ascii="Calibri" w:cs="Calibri" w:eastAsia="Calibri" w:hAnsi="Calibri"/>
                <w:color w:val="404040"/>
                <w:sz w:val="17"/>
                <w:szCs w:val="17"/>
              </w:rPr>
              <w:t xml:space="preserve">N/A</w:t>
            </w:r>
          </w:p>
        </w:tc>
      </w:tr>
      <w:tr>
        <w:tc>
          <w:tcPr>
            <w:tcW w:type="pct" w:w="18%"/>
            <w:shd w:fill="F0F4FA" w:color="F0F4FA" w:val="clear"/>
            <w:tcMar>
              <w:top w:type="dxa" w:w="50"/>
              <w:left w:type="dxa" w:w="80"/>
              <w:bottom w:type="dxa" w:w="50"/>
              <w:right w:type="dxa" w:w="80"/>
            </w:tcMar>
          </w:tcPr>
          <w:p>
            <w:r>
              <w:rPr>
                <w:rFonts w:ascii="Courier New" w:cs="Courier New" w:eastAsia="Courier New" w:hAnsi="Courier New"/>
                <w:b/>
                <w:bCs/>
                <w:color w:val="2F5496"/>
                <w:sz w:val="18"/>
                <w:szCs w:val="18"/>
              </w:rPr>
              <w:t xml:space="preserve">PortfolioRealization</w:t>
            </w:r>
          </w:p>
        </w:tc>
        <w:tc>
          <w:tcPr>
            <w:tcW w:type="pct" w:w="12%"/>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Exit / Realization</w:t>
            </w:r>
          </w:p>
        </w:tc>
        <w:tc>
          <w:tcPr>
            <w:tcW w:type="pct" w:w="17%"/>
            <w:tcMar>
              <w:top w:type="dxa" w:w="50"/>
              <w:left w:type="dxa" w:w="80"/>
              <w:bottom w:type="dxa" w:w="50"/>
              <w:right w:type="dxa" w:w="80"/>
            </w:tcMar>
          </w:tcPr>
          <w:p>
            <w:r>
              <w:rPr>
                <w:rFonts w:ascii="Calibri" w:cs="Calibri" w:eastAsia="Calibri" w:hAnsi="Calibri"/>
                <w:color w:val="404040"/>
                <w:sz w:val="18"/>
                <w:szCs w:val="18"/>
              </w:rPr>
              <w:t xml:space="preserve">Cash &amp; Cash Equivalents</w:t>
            </w:r>
          </w:p>
        </w:tc>
        <w:tc>
          <w:tcPr>
            <w:tcW w:type="pct" w:w="17%"/>
            <w:tcMar>
              <w:top w:type="dxa" w:w="50"/>
              <w:left w:type="dxa" w:w="80"/>
              <w:bottom w:type="dxa" w:w="50"/>
              <w:right w:type="dxa" w:w="80"/>
            </w:tcMar>
          </w:tcPr>
          <w:p>
            <w:r>
              <w:rPr>
                <w:rFonts w:ascii="Calibri" w:cs="Calibri" w:eastAsia="Calibri" w:hAnsi="Calibri"/>
                <w:color w:val="404040"/>
                <w:sz w:val="18"/>
                <w:szCs w:val="18"/>
              </w:rPr>
              <w:t xml:space="preserve">Investment in Portfolio — Cost</w:t>
            </w:r>
          </w:p>
        </w:tc>
        <w:tc>
          <w:tcPr>
            <w:tcW w:type="pct" w:w="12%"/>
            <w:shd w:fill="F2F2F2" w:color="F2F2F2" w:val="clear"/>
            <w:tcMar>
              <w:top w:type="dxa" w:w="50"/>
              <w:left w:type="dxa" w:w="80"/>
              <w:bottom w:type="dxa" w:w="50"/>
              <w:right w:type="dxa" w:w="80"/>
            </w:tcMar>
          </w:tcPr>
          <w:p>
            <w:r>
              <w:rPr>
                <w:rFonts w:ascii="Calibri" w:cs="Calibri" w:eastAsia="Calibri" w:hAnsi="Calibri"/>
                <w:b/>
                <w:bCs/>
                <w:color w:val="404040"/>
                <w:sz w:val="19"/>
                <w:szCs w:val="19"/>
              </w:rPr>
              <w:t xml:space="preserve">Master Fund</w:t>
            </w:r>
          </w:p>
        </w:tc>
        <w:tc>
          <w:tcPr>
            <w:tcW w:type="pct" w:w="12%"/>
            <w:tcMar>
              <w:top w:type="dxa" w:w="50"/>
              <w:left w:type="dxa" w:w="80"/>
              <w:bottom w:type="dxa" w:w="50"/>
              <w:right w:type="dxa" w:w="80"/>
            </w:tcMar>
          </w:tcPr>
          <w:p>
            <w:r>
              <w:rPr>
                <w:rFonts w:ascii="Calibri" w:cs="Calibri" w:eastAsia="Calibri" w:hAnsi="Calibri"/>
                <w:color w:val="404040"/>
                <w:sz w:val="17"/>
                <w:szCs w:val="17"/>
              </w:rPr>
              <w:t xml:space="preserve">SELL</w:t>
            </w:r>
          </w:p>
        </w:tc>
        <w:tc>
          <w:tcPr>
            <w:tcW w:type="pct" w:w="12%"/>
            <w:tcMar>
              <w:top w:type="dxa" w:w="50"/>
              <w:left w:type="dxa" w:w="80"/>
              <w:bottom w:type="dxa" w:w="50"/>
              <w:right w:type="dxa" w:w="80"/>
            </w:tcMar>
          </w:tcPr>
          <w:p>
            <w:r>
              <w:rPr>
                <w:rFonts w:ascii="Calibri" w:cs="Calibri" w:eastAsia="Calibri" w:hAnsi="Calibri"/>
                <w:color w:val="404040"/>
                <w:sz w:val="17"/>
                <w:szCs w:val="17"/>
              </w:rPr>
              <w:t xml:space="preserve">N/A</w:t>
            </w:r>
          </w:p>
        </w:tc>
      </w:tr>
      <w:tr>
        <w:tc>
          <w:tcPr>
            <w:tcW w:type="pct" w:w="18%"/>
            <w:shd w:fill="F0F4FA" w:color="F0F4FA" w:val="clear"/>
            <w:tcMar>
              <w:top w:type="dxa" w:w="50"/>
              <w:left w:type="dxa" w:w="80"/>
              <w:bottom w:type="dxa" w:w="50"/>
              <w:right w:type="dxa" w:w="80"/>
            </w:tcMar>
          </w:tcPr>
          <w:p>
            <w:r>
              <w:rPr>
                <w:rFonts w:ascii="Courier New" w:cs="Courier New" w:eastAsia="Courier New" w:hAnsi="Courier New"/>
                <w:b/>
                <w:bCs/>
                <w:color w:val="2F5496"/>
                <w:sz w:val="18"/>
                <w:szCs w:val="18"/>
              </w:rPr>
              <w:t xml:space="preserve">RealizedGain</w:t>
            </w:r>
          </w:p>
        </w:tc>
        <w:tc>
          <w:tcPr>
            <w:tcW w:type="pct" w:w="12%"/>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Exit / Realization</w:t>
            </w:r>
          </w:p>
        </w:tc>
        <w:tc>
          <w:tcPr>
            <w:tcW w:type="pct" w:w="17%"/>
            <w:tcMar>
              <w:top w:type="dxa" w:w="50"/>
              <w:left w:type="dxa" w:w="80"/>
              <w:bottom w:type="dxa" w:w="50"/>
              <w:right w:type="dxa" w:w="80"/>
            </w:tcMar>
          </w:tcPr>
          <w:p>
            <w:r>
              <w:rPr>
                <w:rFonts w:ascii="Calibri" w:cs="Calibri" w:eastAsia="Calibri" w:hAnsi="Calibri"/>
                <w:color w:val="404040"/>
                <w:sz w:val="18"/>
                <w:szCs w:val="18"/>
              </w:rPr>
              <w:t xml:space="preserve">Investment in Portfolio — Cost (loss) or Realized Gain (gain)</w:t>
            </w:r>
          </w:p>
        </w:tc>
        <w:tc>
          <w:tcPr>
            <w:tcW w:type="pct" w:w="17%"/>
            <w:tcMar>
              <w:top w:type="dxa" w:w="50"/>
              <w:left w:type="dxa" w:w="80"/>
              <w:bottom w:type="dxa" w:w="50"/>
              <w:right w:type="dxa" w:w="80"/>
            </w:tcMar>
          </w:tcPr>
          <w:p>
            <w:r>
              <w:rPr>
                <w:rFonts w:ascii="Calibri" w:cs="Calibri" w:eastAsia="Calibri" w:hAnsi="Calibri"/>
                <w:color w:val="404040"/>
                <w:sz w:val="18"/>
                <w:szCs w:val="18"/>
              </w:rPr>
              <w:t xml:space="preserve">Realized Gain on Investment</w:t>
            </w:r>
          </w:p>
        </w:tc>
        <w:tc>
          <w:tcPr>
            <w:tcW w:type="pct" w:w="12%"/>
            <w:shd w:fill="F2F2F2" w:color="F2F2F2" w:val="clear"/>
            <w:tcMar>
              <w:top w:type="dxa" w:w="50"/>
              <w:left w:type="dxa" w:w="80"/>
              <w:bottom w:type="dxa" w:w="50"/>
              <w:right w:type="dxa" w:w="80"/>
            </w:tcMar>
          </w:tcPr>
          <w:p>
            <w:r>
              <w:rPr>
                <w:rFonts w:ascii="Calibri" w:cs="Calibri" w:eastAsia="Calibri" w:hAnsi="Calibri"/>
                <w:b/>
                <w:bCs/>
                <w:color w:val="404040"/>
                <w:sz w:val="19"/>
                <w:szCs w:val="19"/>
              </w:rPr>
              <w:t xml:space="preserve">Master Fund</w:t>
            </w:r>
          </w:p>
        </w:tc>
        <w:tc>
          <w:tcPr>
            <w:tcW w:type="pct" w:w="12%"/>
            <w:tcMar>
              <w:top w:type="dxa" w:w="50"/>
              <w:left w:type="dxa" w:w="80"/>
              <w:bottom w:type="dxa" w:w="50"/>
              <w:right w:type="dxa" w:w="80"/>
            </w:tcMar>
          </w:tcPr>
          <w:p>
            <w:r>
              <w:rPr>
                <w:rFonts w:ascii="Calibri" w:cs="Calibri" w:eastAsia="Calibri" w:hAnsi="Calibri"/>
                <w:color w:val="404040"/>
                <w:sz w:val="17"/>
                <w:szCs w:val="17"/>
              </w:rPr>
              <w:t xml:space="preserve">SELL (P&amp;L leg)</w:t>
            </w:r>
          </w:p>
        </w:tc>
        <w:tc>
          <w:tcPr>
            <w:tcW w:type="pct" w:w="12%"/>
            <w:tcMar>
              <w:top w:type="dxa" w:w="50"/>
              <w:left w:type="dxa" w:w="80"/>
              <w:bottom w:type="dxa" w:w="50"/>
              <w:right w:type="dxa" w:w="80"/>
            </w:tcMar>
          </w:tcPr>
          <w:p>
            <w:r>
              <w:rPr>
                <w:rFonts w:ascii="Calibri" w:cs="Calibri" w:eastAsia="Calibri" w:hAnsi="Calibri"/>
                <w:color w:val="404040"/>
                <w:sz w:val="17"/>
                <w:szCs w:val="17"/>
              </w:rPr>
              <w:t xml:space="preserve">N/A</w:t>
            </w:r>
          </w:p>
        </w:tc>
      </w:tr>
      <w:tr>
        <w:tc>
          <w:tcPr>
            <w:tcW w:type="pct" w:w="18%"/>
            <w:shd w:fill="F0F4FA" w:color="F0F4FA" w:val="clear"/>
            <w:tcMar>
              <w:top w:type="dxa" w:w="50"/>
              <w:left w:type="dxa" w:w="80"/>
              <w:bottom w:type="dxa" w:w="50"/>
              <w:right w:type="dxa" w:w="80"/>
            </w:tcMar>
          </w:tcPr>
          <w:p>
            <w:r>
              <w:rPr>
                <w:rFonts w:ascii="Courier New" w:cs="Courier New" w:eastAsia="Courier New" w:hAnsi="Courier New"/>
                <w:b/>
                <w:bCs/>
                <w:color w:val="2F5496"/>
                <w:sz w:val="18"/>
                <w:szCs w:val="18"/>
              </w:rPr>
              <w:t xml:space="preserve">DistributionPayable</w:t>
            </w:r>
          </w:p>
        </w:tc>
        <w:tc>
          <w:tcPr>
            <w:tcW w:type="pct" w:w="12%"/>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Distribution</w:t>
            </w:r>
          </w:p>
        </w:tc>
        <w:tc>
          <w:tcPr>
            <w:tcW w:type="pct" w:w="17%"/>
            <w:tcMar>
              <w:top w:type="dxa" w:w="50"/>
              <w:left w:type="dxa" w:w="80"/>
              <w:bottom w:type="dxa" w:w="50"/>
              <w:right w:type="dxa" w:w="80"/>
            </w:tcMar>
          </w:tcPr>
          <w:p>
            <w:r>
              <w:rPr>
                <w:rFonts w:ascii="Calibri" w:cs="Calibri" w:eastAsia="Calibri" w:hAnsi="Calibri"/>
                <w:color w:val="404040"/>
                <w:sz w:val="18"/>
                <w:szCs w:val="18"/>
              </w:rPr>
              <w:t xml:space="preserve">LP Capital Account</w:t>
            </w:r>
          </w:p>
        </w:tc>
        <w:tc>
          <w:tcPr>
            <w:tcW w:type="pct" w:w="17%"/>
            <w:tcMar>
              <w:top w:type="dxa" w:w="50"/>
              <w:left w:type="dxa" w:w="80"/>
              <w:bottom w:type="dxa" w:w="50"/>
              <w:right w:type="dxa" w:w="80"/>
            </w:tcMar>
          </w:tcPr>
          <w:p>
            <w:r>
              <w:rPr>
                <w:rFonts w:ascii="Calibri" w:cs="Calibri" w:eastAsia="Calibri" w:hAnsi="Calibri"/>
                <w:color w:val="404040"/>
                <w:sz w:val="18"/>
                <w:szCs w:val="18"/>
              </w:rPr>
              <w:t xml:space="preserve">Distribution Payable</w:t>
            </w:r>
          </w:p>
        </w:tc>
        <w:tc>
          <w:tcPr>
            <w:tcW w:type="pct" w:w="12%"/>
            <w:shd w:fill="F2F2F2" w:color="F2F2F2" w:val="clear"/>
            <w:tcMar>
              <w:top w:type="dxa" w:w="50"/>
              <w:left w:type="dxa" w:w="80"/>
              <w:bottom w:type="dxa" w:w="50"/>
              <w:right w:type="dxa" w:w="80"/>
            </w:tcMar>
          </w:tcPr>
          <w:p>
            <w:r>
              <w:rPr>
                <w:rFonts w:ascii="Calibri" w:cs="Calibri" w:eastAsia="Calibri" w:hAnsi="Calibri"/>
                <w:b/>
                <w:bCs/>
                <w:color w:val="404040"/>
                <w:sz w:val="19"/>
                <w:szCs w:val="19"/>
              </w:rPr>
              <w:t xml:space="preserve">Master Fund &amp; Feeder</w:t>
            </w:r>
          </w:p>
        </w:tc>
        <w:tc>
          <w:tcPr>
            <w:tcW w:type="pct" w:w="12%"/>
            <w:tcMar>
              <w:top w:type="dxa" w:w="50"/>
              <w:left w:type="dxa" w:w="80"/>
              <w:bottom w:type="dxa" w:w="50"/>
              <w:right w:type="dxa" w:w="80"/>
            </w:tcMar>
          </w:tcPr>
          <w:p>
            <w:r>
              <w:rPr>
                <w:rFonts w:ascii="Calibri" w:cs="Calibri" w:eastAsia="Calibri" w:hAnsi="Calibri"/>
                <w:color w:val="404040"/>
                <w:sz w:val="17"/>
                <w:szCs w:val="17"/>
              </w:rPr>
              <w:t xml:space="preserve">DISTRIB</w:t>
            </w:r>
          </w:p>
        </w:tc>
        <w:tc>
          <w:tcPr>
            <w:tcW w:type="pct" w:w="12%"/>
            <w:tcMar>
              <w:top w:type="dxa" w:w="50"/>
              <w:left w:type="dxa" w:w="80"/>
              <w:bottom w:type="dxa" w:w="50"/>
              <w:right w:type="dxa" w:w="80"/>
            </w:tcMar>
          </w:tcPr>
          <w:p>
            <w:r>
              <w:rPr>
                <w:rFonts w:ascii="Calibri" w:cs="Calibri" w:eastAsia="Calibri" w:hAnsi="Calibri"/>
                <w:color w:val="404040"/>
                <w:sz w:val="17"/>
                <w:szCs w:val="17"/>
              </w:rPr>
              <w:t xml:space="preserve">Distribution (notification)</w:t>
            </w:r>
          </w:p>
        </w:tc>
      </w:tr>
      <w:tr>
        <w:tc>
          <w:tcPr>
            <w:tcW w:type="pct" w:w="18%"/>
            <w:shd w:fill="F0F4FA" w:color="F0F4FA" w:val="clear"/>
            <w:tcMar>
              <w:top w:type="dxa" w:w="50"/>
              <w:left w:type="dxa" w:w="80"/>
              <w:bottom w:type="dxa" w:w="50"/>
              <w:right w:type="dxa" w:w="80"/>
            </w:tcMar>
          </w:tcPr>
          <w:p>
            <w:r>
              <w:rPr>
                <w:rFonts w:ascii="Courier New" w:cs="Courier New" w:eastAsia="Courier New" w:hAnsi="Courier New"/>
                <w:b/>
                <w:bCs/>
                <w:color w:val="2F5496"/>
                <w:sz w:val="18"/>
                <w:szCs w:val="18"/>
              </w:rPr>
              <w:t xml:space="preserve">CarryPayment</w:t>
            </w:r>
          </w:p>
        </w:tc>
        <w:tc>
          <w:tcPr>
            <w:tcW w:type="pct" w:w="12%"/>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Carry Crystallization</w:t>
            </w:r>
          </w:p>
        </w:tc>
        <w:tc>
          <w:tcPr>
            <w:tcW w:type="pct" w:w="17%"/>
            <w:tcMar>
              <w:top w:type="dxa" w:w="50"/>
              <w:left w:type="dxa" w:w="80"/>
              <w:bottom w:type="dxa" w:w="50"/>
              <w:right w:type="dxa" w:w="80"/>
            </w:tcMar>
          </w:tcPr>
          <w:p>
            <w:r>
              <w:rPr>
                <w:rFonts w:ascii="Calibri" w:cs="Calibri" w:eastAsia="Calibri" w:hAnsi="Calibri"/>
                <w:color w:val="404040"/>
                <w:sz w:val="18"/>
                <w:szCs w:val="18"/>
              </w:rPr>
              <w:t xml:space="preserve">Carried Interest Expense</w:t>
            </w:r>
          </w:p>
        </w:tc>
        <w:tc>
          <w:tcPr>
            <w:tcW w:type="pct" w:w="17%"/>
            <w:tcMar>
              <w:top w:type="dxa" w:w="50"/>
              <w:left w:type="dxa" w:w="80"/>
              <w:bottom w:type="dxa" w:w="50"/>
              <w:right w:type="dxa" w:w="80"/>
            </w:tcMar>
          </w:tcPr>
          <w:p>
            <w:r>
              <w:rPr>
                <w:rFonts w:ascii="Calibri" w:cs="Calibri" w:eastAsia="Calibri" w:hAnsi="Calibri"/>
                <w:color w:val="404040"/>
                <w:sz w:val="18"/>
                <w:szCs w:val="18"/>
              </w:rPr>
              <w:t xml:space="preserve">Carried Interest Payable → Cash</w:t>
            </w:r>
          </w:p>
        </w:tc>
        <w:tc>
          <w:tcPr>
            <w:tcW w:type="pct" w:w="12%"/>
            <w:shd w:fill="F2F2F2" w:color="F2F2F2" w:val="clear"/>
            <w:tcMar>
              <w:top w:type="dxa" w:w="50"/>
              <w:left w:type="dxa" w:w="80"/>
              <w:bottom w:type="dxa" w:w="50"/>
              <w:right w:type="dxa" w:w="80"/>
            </w:tcMar>
          </w:tcPr>
          <w:p>
            <w:r>
              <w:rPr>
                <w:rFonts w:ascii="Calibri" w:cs="Calibri" w:eastAsia="Calibri" w:hAnsi="Calibri"/>
                <w:b/>
                <w:bCs/>
                <w:color w:val="404040"/>
                <w:sz w:val="19"/>
                <w:szCs w:val="19"/>
              </w:rPr>
              <w:t xml:space="preserve">Master Fund</w:t>
            </w:r>
          </w:p>
        </w:tc>
        <w:tc>
          <w:tcPr>
            <w:tcW w:type="pct" w:w="12%"/>
            <w:tcMar>
              <w:top w:type="dxa" w:w="50"/>
              <w:left w:type="dxa" w:w="80"/>
              <w:bottom w:type="dxa" w:w="50"/>
              <w:right w:type="dxa" w:w="80"/>
            </w:tcMar>
          </w:tcPr>
          <w:p>
            <w:r>
              <w:rPr>
                <w:rFonts w:ascii="Calibri" w:cs="Calibri" w:eastAsia="Calibri" w:hAnsi="Calibri"/>
                <w:color w:val="404040"/>
                <w:sz w:val="17"/>
                <w:szCs w:val="17"/>
              </w:rPr>
              <w:t xml:space="preserve">DISTRIB (carry leg)</w:t>
            </w:r>
          </w:p>
        </w:tc>
        <w:tc>
          <w:tcPr>
            <w:tcW w:type="pct" w:w="12%"/>
            <w:tcMar>
              <w:top w:type="dxa" w:w="50"/>
              <w:left w:type="dxa" w:w="80"/>
              <w:bottom w:type="dxa" w:w="50"/>
              <w:right w:type="dxa" w:w="80"/>
            </w:tcMar>
          </w:tcPr>
          <w:p>
            <w:r>
              <w:rPr>
                <w:rFonts w:ascii="Calibri" w:cs="Calibri" w:eastAsia="Calibri" w:hAnsi="Calibri"/>
                <w:color w:val="404040"/>
                <w:sz w:val="17"/>
                <w:szCs w:val="17"/>
              </w:rPr>
              <w:t xml:space="preserve">N/A</w:t>
            </w:r>
          </w:p>
        </w:tc>
      </w:tr>
    </w:tbl>
    <w:p>
      <w:pPr>
        <w:spacing w:after="160" w:before="0"/>
      </w:pPr>
      <w:r>
        <w:t xml:space="preserve"/>
      </w:r>
    </w:p>
    <w:p>
      <w:pPr>
        <w:pStyle w:val="Heading2"/>
        <w:spacing w:after="120" w:before="320"/>
      </w:pPr>
      <w:r>
        <w:t xml:space="preserve">J.2  Detailed Transaction Descriptions</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tblGrid>
      <w:tr>
        <w:tc>
          <w:tcPr>
            <w:gridSpan w:val="2"/>
            <w:shd w:fill="1F3864" w:color="1F3864" w:val="clear"/>
            <w:tcMar>
              <w:top w:type="dxa" w:w="80"/>
              <w:left w:type="dxa" w:w="120"/>
              <w:bottom w:type="dxa" w:w="80"/>
              <w:right w:type="dxa" w:w="80"/>
            </w:tcMar>
          </w:tcPr>
          <w:p>
            <w:r>
              <w:rPr>
                <w:rFonts w:ascii="Courier New" w:cs="Courier New" w:eastAsia="Courier New" w:hAnsi="Courier New"/>
                <w:b/>
                <w:bCs/>
                <w:color w:val="FFFFFF"/>
                <w:sz w:val="24"/>
                <w:szCs w:val="24"/>
              </w:rPr>
              <w:t xml:space="preserve">CapitalCallReceivable</w:t>
            </w:r>
          </w:p>
          <w:p>
            <w:r>
              <w:rPr>
                <w:rFonts w:ascii="Calibri" w:cs="Calibri" w:eastAsia="Calibri" w:hAnsi="Calibri"/>
                <w:color w:val="D0D8E8"/>
                <w:sz w:val="18"/>
                <w:szCs w:val="18"/>
              </w:rPr>
              <w:t xml:space="preserve">Phase 1 — Capital Call Notice   |   181 records in AMC dataset</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Plain English</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Booked on the call date (T=0) when the GP issues the capital call notice. The fund recognises a legal right to receive cash from the LP (receivable) and a corresponding obligation to deploy that capital (payable). No cash has moved yet.</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Debit</w:t>
            </w:r>
          </w:p>
        </w:tc>
        <w:tc>
          <w:tcPr>
            <w:tcW w:type="pct" w:w="80%"/>
            <w:shd w:fill="E6F0EA" w:color="E6F0EA" w:val="clear"/>
            <w:tcMar>
              <w:top w:type="dxa" w:w="50"/>
              <w:left w:type="dxa" w:w="80"/>
              <w:bottom w:type="dxa" w:w="50"/>
              <w:right w:type="dxa" w:w="80"/>
            </w:tcMar>
          </w:tcPr>
          <w:p>
            <w:r>
              <w:rPr>
                <w:rFonts w:ascii="Calibri" w:cs="Calibri" w:eastAsia="Calibri" w:hAnsi="Calibri"/>
                <w:b/>
                <w:bCs/>
                <w:color w:val="375623"/>
                <w:sz w:val="19"/>
                <w:szCs w:val="19"/>
              </w:rPr>
              <w:t xml:space="preserve">Capital Call Receivable (Asset ↑)</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Credit</w:t>
            </w:r>
          </w:p>
        </w:tc>
        <w:tc>
          <w:tcPr>
            <w:tcW w:type="pct" w:w="80%"/>
            <w:shd w:fill="FDE8E8" w:color="FDE8E8" w:val="clear"/>
            <w:tcMar>
              <w:top w:type="dxa" w:w="50"/>
              <w:left w:type="dxa" w:w="80"/>
              <w:bottom w:type="dxa" w:w="50"/>
              <w:right w:type="dxa" w:w="80"/>
            </w:tcMar>
          </w:tcPr>
          <w:p>
            <w:r>
              <w:rPr>
                <w:rFonts w:ascii="Calibri" w:cs="Calibri" w:eastAsia="Calibri" w:hAnsi="Calibri"/>
                <w:b/>
                <w:bCs/>
                <w:color w:val="C00000"/>
                <w:sz w:val="19"/>
                <w:szCs w:val="19"/>
              </w:rPr>
              <w:t xml:space="preserve">Capital Contributions Payable (Liability ↑)</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Entity Level</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Feeder level (per LP notice) and Master Fund level (aggregate)</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Trigger</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Call date — same day the notice PDF is sent to the LP</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SS&amp;C Investran</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Capital Call — Receivable</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SS&amp;C Geneva</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CCRECV</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iCapital</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Capital Call notification event; LP sees notice in portal</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Notes</w:t>
            </w:r>
          </w:p>
        </w:tc>
        <w:tc>
          <w:tcPr>
            <w:tcW w:type="pct" w:w="80%"/>
            <w:shd w:fill="FDF3E7" w:color="FDF3E7" w:val="clear"/>
            <w:tcMar>
              <w:top w:type="dxa" w:w="50"/>
              <w:left w:type="dxa" w:w="80"/>
              <w:bottom w:type="dxa" w:w="50"/>
              <w:right w:type="dxa" w:w="80"/>
            </w:tcMar>
          </w:tcPr>
          <w:p>
            <w:r>
              <w:rPr>
                <w:rFonts w:ascii="Calibri" w:cs="Calibri" w:eastAsia="Calibri" w:hAnsi="Calibri"/>
                <w:color w:val="404040"/>
                <w:sz w:val="18"/>
                <w:szCs w:val="18"/>
              </w:rPr>
              <w:t xml:space="preserve">This entry is reversed when CashReceipt is posted. If the LP defaults, the receivable is written off via a separate writeoff transaction type.</w:t>
            </w:r>
          </w:p>
        </w:tc>
      </w:tr>
    </w:tbl>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tblGrid>
      <w:tr>
        <w:tc>
          <w:tcPr>
            <w:gridSpan w:val="2"/>
            <w:shd w:fill="2F5496" w:color="2F5496" w:val="clear"/>
            <w:tcMar>
              <w:top w:type="dxa" w:w="80"/>
              <w:left w:type="dxa" w:w="120"/>
              <w:bottom w:type="dxa" w:w="80"/>
              <w:right w:type="dxa" w:w="80"/>
            </w:tcMar>
          </w:tcPr>
          <w:p>
            <w:r>
              <w:rPr>
                <w:rFonts w:ascii="Courier New" w:cs="Courier New" w:eastAsia="Courier New" w:hAnsi="Courier New"/>
                <w:b/>
                <w:bCs/>
                <w:color w:val="FFFFFF"/>
                <w:sz w:val="24"/>
                <w:szCs w:val="24"/>
              </w:rPr>
              <w:t xml:space="preserve">CashReceipt</w:t>
            </w:r>
          </w:p>
          <w:p>
            <w:r>
              <w:rPr>
                <w:rFonts w:ascii="Calibri" w:cs="Calibri" w:eastAsia="Calibri" w:hAnsi="Calibri"/>
                <w:color w:val="D0D8E8"/>
                <w:sz w:val="18"/>
                <w:szCs w:val="18"/>
              </w:rPr>
              <w:t xml:space="preserve">Phase 2 — LP Wire Settlement   |   181 records in AMC dataset</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Plain English</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Booked on the settlement date (T+5 to T+10) when the LP's wire hits the feeder bank account. It clears the receivable and records real cash on the balance sheet. The transfer agent matches the wire by payment reference before posting.</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Debit</w:t>
            </w:r>
          </w:p>
        </w:tc>
        <w:tc>
          <w:tcPr>
            <w:tcW w:type="pct" w:w="80%"/>
            <w:shd w:fill="E6F0EA" w:color="E6F0EA" w:val="clear"/>
            <w:tcMar>
              <w:top w:type="dxa" w:w="50"/>
              <w:left w:type="dxa" w:w="80"/>
              <w:bottom w:type="dxa" w:w="50"/>
              <w:right w:type="dxa" w:w="80"/>
            </w:tcMar>
          </w:tcPr>
          <w:p>
            <w:r>
              <w:rPr>
                <w:rFonts w:ascii="Calibri" w:cs="Calibri" w:eastAsia="Calibri" w:hAnsi="Calibri"/>
                <w:b/>
                <w:bCs/>
                <w:color w:val="375623"/>
                <w:sz w:val="19"/>
                <w:szCs w:val="19"/>
              </w:rPr>
              <w:t xml:space="preserve">Cash &amp; Cash Equivalents (Asset ↑)</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Credit</w:t>
            </w:r>
          </w:p>
        </w:tc>
        <w:tc>
          <w:tcPr>
            <w:tcW w:type="pct" w:w="80%"/>
            <w:shd w:fill="FDE8E8" w:color="FDE8E8" w:val="clear"/>
            <w:tcMar>
              <w:top w:type="dxa" w:w="50"/>
              <w:left w:type="dxa" w:w="80"/>
              <w:bottom w:type="dxa" w:w="50"/>
              <w:right w:type="dxa" w:w="80"/>
            </w:tcMar>
          </w:tcPr>
          <w:p>
            <w:r>
              <w:rPr>
                <w:rFonts w:ascii="Calibri" w:cs="Calibri" w:eastAsia="Calibri" w:hAnsi="Calibri"/>
                <w:b/>
                <w:bCs/>
                <w:color w:val="C00000"/>
                <w:sz w:val="19"/>
                <w:szCs w:val="19"/>
              </w:rPr>
              <w:t xml:space="preserve">Capital Call Receivable (Asset ↓ — cleared)</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Entity Level</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Feeder level</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Trigger</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Bank statement credit confirmed; TA matches wire reference to notice</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SS&amp;C Investran</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Capital Call — Receipt</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SS&amp;C Geneva</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CONTRIB / SUB</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iCapital</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Capital Call Payment confirmed; wire receipt recorded on platform</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Notes</w:t>
            </w:r>
          </w:p>
        </w:tc>
        <w:tc>
          <w:tcPr>
            <w:tcW w:type="pct" w:w="80%"/>
            <w:shd w:fill="FDF3E7" w:color="FDF3E7" w:val="clear"/>
            <w:tcMar>
              <w:top w:type="dxa" w:w="50"/>
              <w:left w:type="dxa" w:w="80"/>
              <w:bottom w:type="dxa" w:w="50"/>
              <w:right w:type="dxa" w:w="80"/>
            </w:tcMar>
          </w:tcPr>
          <w:p>
            <w:r>
              <w:rPr>
                <w:rFonts w:ascii="Calibri" w:cs="Calibri" w:eastAsia="Calibri" w:hAnsi="Calibri"/>
                <w:color w:val="404040"/>
                <w:sz w:val="18"/>
                <w:szCs w:val="18"/>
              </w:rPr>
              <w:t xml:space="preserve">If the wire arrives without a payment reference it is parked in a Suspense account rather than posted here. Late wires within the grace period are posted with the actual receipt date.</w:t>
            </w:r>
          </w:p>
        </w:tc>
      </w:tr>
    </w:tbl>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tblGrid>
      <w:tr>
        <w:tc>
          <w:tcPr>
            <w:gridSpan w:val="2"/>
            <w:shd w:fill="375623" w:color="375623" w:val="clear"/>
            <w:tcMar>
              <w:top w:type="dxa" w:w="80"/>
              <w:left w:type="dxa" w:w="120"/>
              <w:bottom w:type="dxa" w:w="80"/>
              <w:right w:type="dxa" w:w="80"/>
            </w:tcMar>
          </w:tcPr>
          <w:p>
            <w:r>
              <w:rPr>
                <w:rFonts w:ascii="Courier New" w:cs="Courier New" w:eastAsia="Courier New" w:hAnsi="Courier New"/>
                <w:b/>
                <w:bCs/>
                <w:color w:val="FFFFFF"/>
                <w:sz w:val="24"/>
                <w:szCs w:val="24"/>
              </w:rPr>
              <w:t xml:space="preserve">InvestmentInMasterFund</w:t>
            </w:r>
          </w:p>
          <w:p>
            <w:r>
              <w:rPr>
                <w:rFonts w:ascii="Calibri" w:cs="Calibri" w:eastAsia="Calibri" w:hAnsi="Calibri"/>
                <w:color w:val="D0D8E8"/>
                <w:sz w:val="18"/>
                <w:szCs w:val="18"/>
              </w:rPr>
              <w:t xml:space="preserve">Phase 3 — Feeder Sweep   |   150 records in AMC dataset</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Plain English</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Booked at the feeder level when the feeder sweeps aggregate LP proceeds up to the Master Fund. From the feeder's perspective it is exchanging cash for a growing ownership interest in the Master Fund — recorded as a long-term investment asset.</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Debit</w:t>
            </w:r>
          </w:p>
        </w:tc>
        <w:tc>
          <w:tcPr>
            <w:tcW w:type="pct" w:w="80%"/>
            <w:shd w:fill="E6F0EA" w:color="E6F0EA" w:val="clear"/>
            <w:tcMar>
              <w:top w:type="dxa" w:w="50"/>
              <w:left w:type="dxa" w:w="80"/>
              <w:bottom w:type="dxa" w:w="50"/>
              <w:right w:type="dxa" w:w="80"/>
            </w:tcMar>
          </w:tcPr>
          <w:p>
            <w:r>
              <w:rPr>
                <w:rFonts w:ascii="Calibri" w:cs="Calibri" w:eastAsia="Calibri" w:hAnsi="Calibri"/>
                <w:b/>
                <w:bCs/>
                <w:color w:val="375623"/>
                <w:sz w:val="19"/>
                <w:szCs w:val="19"/>
              </w:rPr>
              <w:t xml:space="preserve">Investment in Master Fund (Asset ↑)</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Credit</w:t>
            </w:r>
          </w:p>
        </w:tc>
        <w:tc>
          <w:tcPr>
            <w:tcW w:type="pct" w:w="80%"/>
            <w:shd w:fill="FDE8E8" w:color="FDE8E8" w:val="clear"/>
            <w:tcMar>
              <w:top w:type="dxa" w:w="50"/>
              <w:left w:type="dxa" w:w="80"/>
              <w:bottom w:type="dxa" w:w="50"/>
              <w:right w:type="dxa" w:w="80"/>
            </w:tcMar>
          </w:tcPr>
          <w:p>
            <w:r>
              <w:rPr>
                <w:rFonts w:ascii="Calibri" w:cs="Calibri" w:eastAsia="Calibri" w:hAnsi="Calibri"/>
                <w:b/>
                <w:bCs/>
                <w:color w:val="C00000"/>
                <w:sz w:val="19"/>
                <w:szCs w:val="19"/>
              </w:rPr>
              <w:t xml:space="preserve">Cash &amp; Cash Equivalents (Asset ↓)</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Entity Level</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Feeder level only — not applicable to direct LPs in Master Fund</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Trigger</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Day after due date (T+11) — feeder initiates single aggregate wire to Master Fund</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SS&amp;C Investran</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Feeder Contribution</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SS&amp;C Geneva</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XFER (intercompany transfer)</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iCapital</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Not visible on iCapital — internal inter-entity entry</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Notes</w:t>
            </w:r>
          </w:p>
        </w:tc>
        <w:tc>
          <w:tcPr>
            <w:tcW w:type="pct" w:w="80%"/>
            <w:shd w:fill="FDF3E7" w:color="FDF3E7" w:val="clear"/>
            <w:tcMar>
              <w:top w:type="dxa" w:w="50"/>
              <w:left w:type="dxa" w:w="80"/>
              <w:bottom w:type="dxa" w:w="50"/>
              <w:right w:type="dxa" w:w="80"/>
            </w:tcMar>
          </w:tcPr>
          <w:p>
            <w:r>
              <w:rPr>
                <w:rFonts w:ascii="Calibri" w:cs="Calibri" w:eastAsia="Calibri" w:hAnsi="Calibri"/>
                <w:color w:val="404040"/>
                <w:sz w:val="18"/>
                <w:szCs w:val="18"/>
              </w:rPr>
              <w:t xml:space="preserve">This is the entry that the Master Fund TA cross-confirms with the feeder TA before posting CapitalFromFeeder. The two entries are mirror images across entity boundaries.</w:t>
            </w:r>
          </w:p>
        </w:tc>
      </w:tr>
    </w:tbl>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tblGrid>
      <w:tr>
        <w:tc>
          <w:tcPr>
            <w:gridSpan w:val="2"/>
            <w:shd w:fill="B8860B" w:color="B8860B" w:val="clear"/>
            <w:tcMar>
              <w:top w:type="dxa" w:w="80"/>
              <w:left w:type="dxa" w:w="120"/>
              <w:bottom w:type="dxa" w:w="80"/>
              <w:right w:type="dxa" w:w="80"/>
            </w:tcMar>
          </w:tcPr>
          <w:p>
            <w:r>
              <w:rPr>
                <w:rFonts w:ascii="Courier New" w:cs="Courier New" w:eastAsia="Courier New" w:hAnsi="Courier New"/>
                <w:b/>
                <w:bCs/>
                <w:color w:val="FFFFFF"/>
                <w:sz w:val="24"/>
                <w:szCs w:val="24"/>
              </w:rPr>
              <w:t xml:space="preserve">CapitalFromFeeder</w:t>
            </w:r>
          </w:p>
          <w:p>
            <w:r>
              <w:rPr>
                <w:rFonts w:ascii="Calibri" w:cs="Calibri" w:eastAsia="Calibri" w:hAnsi="Calibri"/>
                <w:color w:val="D0D8E8"/>
                <w:sz w:val="18"/>
                <w:szCs w:val="18"/>
              </w:rPr>
              <w:t xml:space="preserve">Phase 3 — Master Fund Receipt   |   150 records in AMC dataset</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Plain English</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The mirror entry at Master Fund level. When the feeder wire arrives, the Master Fund records the cash and credits the feeder's LP capital account — increasing the feeder's ownership stake in the Master Fund.</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Debit</w:t>
            </w:r>
          </w:p>
        </w:tc>
        <w:tc>
          <w:tcPr>
            <w:tcW w:type="pct" w:w="80%"/>
            <w:shd w:fill="E6F0EA" w:color="E6F0EA" w:val="clear"/>
            <w:tcMar>
              <w:top w:type="dxa" w:w="50"/>
              <w:left w:type="dxa" w:w="80"/>
              <w:bottom w:type="dxa" w:w="50"/>
              <w:right w:type="dxa" w:w="80"/>
            </w:tcMar>
          </w:tcPr>
          <w:p>
            <w:r>
              <w:rPr>
                <w:rFonts w:ascii="Calibri" w:cs="Calibri" w:eastAsia="Calibri" w:hAnsi="Calibri"/>
                <w:b/>
                <w:bCs/>
                <w:color w:val="375623"/>
                <w:sz w:val="19"/>
                <w:szCs w:val="19"/>
              </w:rPr>
              <w:t xml:space="preserve">Cash &amp; Cash Equivalents (Asset ↑)</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Credit</w:t>
            </w:r>
          </w:p>
        </w:tc>
        <w:tc>
          <w:tcPr>
            <w:tcW w:type="pct" w:w="80%"/>
            <w:shd w:fill="FDE8E8" w:color="FDE8E8" w:val="clear"/>
            <w:tcMar>
              <w:top w:type="dxa" w:w="50"/>
              <w:left w:type="dxa" w:w="80"/>
              <w:bottom w:type="dxa" w:w="50"/>
              <w:right w:type="dxa" w:w="80"/>
            </w:tcMar>
          </w:tcPr>
          <w:p>
            <w:r>
              <w:rPr>
                <w:rFonts w:ascii="Calibri" w:cs="Calibri" w:eastAsia="Calibri" w:hAnsi="Calibri"/>
                <w:b/>
                <w:bCs/>
                <w:color w:val="C00000"/>
                <w:sz w:val="19"/>
                <w:szCs w:val="19"/>
              </w:rPr>
              <w:t xml:space="preserve">LP Capital Account — Feeder (Equity ↑)</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Entity Level</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Master Fund level only</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Trigger</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Same day as InvestmentInMasterFund — confirmed by cross-entity TA reconciliation</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SS&amp;C Investran</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Master Fund Receipt</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SS&amp;C Geneva</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CONTRIB</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iCapital</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Not visible — internal</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Notes</w:t>
            </w:r>
          </w:p>
        </w:tc>
        <w:tc>
          <w:tcPr>
            <w:tcW w:type="pct" w:w="80%"/>
            <w:shd w:fill="FDF3E7" w:color="FDF3E7" w:val="clear"/>
            <w:tcMar>
              <w:top w:type="dxa" w:w="50"/>
              <w:left w:type="dxa" w:w="80"/>
              <w:bottom w:type="dxa" w:w="50"/>
              <w:right w:type="dxa" w:w="80"/>
            </w:tcMar>
          </w:tcPr>
          <w:p>
            <w:r>
              <w:rPr>
                <w:rFonts w:ascii="Calibri" w:cs="Calibri" w:eastAsia="Calibri" w:hAnsi="Calibri"/>
                <w:color w:val="404040"/>
                <w:sz w:val="18"/>
                <w:szCs w:val="18"/>
              </w:rPr>
              <w:t xml:space="preserve">For direct LPs in the Master Fund (e.g., QIA, GP co-invest), this entry uses LP Capital Account — Direct instead of LP Capital Account — Feeder. The capital account credit is what the transfer agent reconciles against its LP register.</w:t>
            </w:r>
          </w:p>
        </w:tc>
      </w:tr>
    </w:tbl>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tblGrid>
      <w:tr>
        <w:tc>
          <w:tcPr>
            <w:gridSpan w:val="2"/>
            <w:shd w:fill="1F6B75" w:color="1F6B75" w:val="clear"/>
            <w:tcMar>
              <w:top w:type="dxa" w:w="80"/>
              <w:left w:type="dxa" w:w="120"/>
              <w:bottom w:type="dxa" w:w="80"/>
              <w:right w:type="dxa" w:w="80"/>
            </w:tcMar>
          </w:tcPr>
          <w:p>
            <w:r>
              <w:rPr>
                <w:rFonts w:ascii="Courier New" w:cs="Courier New" w:eastAsia="Courier New" w:hAnsi="Courier New"/>
                <w:b/>
                <w:bCs/>
                <w:color w:val="FFFFFF"/>
                <w:sz w:val="24"/>
                <w:szCs w:val="24"/>
              </w:rPr>
              <w:t xml:space="preserve">PortfolioDeployment</w:t>
            </w:r>
          </w:p>
          <w:p>
            <w:r>
              <w:rPr>
                <w:rFonts w:ascii="Calibri" w:cs="Calibri" w:eastAsia="Calibri" w:hAnsi="Calibri"/>
                <w:color w:val="D0D8E8"/>
                <w:sz w:val="18"/>
                <w:szCs w:val="18"/>
              </w:rPr>
              <w:t xml:space="preserve">Phase 4 — Investment / Deployment   |   12 records in AMC dataset (one per portfolio company)</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Plain English</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Booked when the GP wires invested capital to a portfolio company. The fund exchanges cash for an ownership interest in the portfolio company, recorded at cost. This is the first entry in the portfolio investment sub-ledger.</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Debit</w:t>
            </w:r>
          </w:p>
        </w:tc>
        <w:tc>
          <w:tcPr>
            <w:tcW w:type="pct" w:w="80%"/>
            <w:shd w:fill="E6F0EA" w:color="E6F0EA" w:val="clear"/>
            <w:tcMar>
              <w:top w:type="dxa" w:w="50"/>
              <w:left w:type="dxa" w:w="80"/>
              <w:bottom w:type="dxa" w:w="50"/>
              <w:right w:type="dxa" w:w="80"/>
            </w:tcMar>
          </w:tcPr>
          <w:p>
            <w:r>
              <w:rPr>
                <w:rFonts w:ascii="Calibri" w:cs="Calibri" w:eastAsia="Calibri" w:hAnsi="Calibri"/>
                <w:b/>
                <w:bCs/>
                <w:color w:val="375623"/>
                <w:sz w:val="19"/>
                <w:szCs w:val="19"/>
              </w:rPr>
              <w:t xml:space="preserve">Investment in Portfolio — Cost (Asset ↑)</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Credit</w:t>
            </w:r>
          </w:p>
        </w:tc>
        <w:tc>
          <w:tcPr>
            <w:tcW w:type="pct" w:w="80%"/>
            <w:shd w:fill="FDE8E8" w:color="FDE8E8" w:val="clear"/>
            <w:tcMar>
              <w:top w:type="dxa" w:w="50"/>
              <w:left w:type="dxa" w:w="80"/>
              <w:bottom w:type="dxa" w:w="50"/>
              <w:right w:type="dxa" w:w="80"/>
            </w:tcMar>
          </w:tcPr>
          <w:p>
            <w:r>
              <w:rPr>
                <w:rFonts w:ascii="Calibri" w:cs="Calibri" w:eastAsia="Calibri" w:hAnsi="Calibri"/>
                <w:b/>
                <w:bCs/>
                <w:color w:val="C00000"/>
                <w:sz w:val="19"/>
                <w:szCs w:val="19"/>
              </w:rPr>
              <w:t xml:space="preserve">Cash &amp; Cash Equivalents (Asset ↓)</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Entity Level</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Master Fund level</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Trigger</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GP payment instruction approved by IC; wire sent to portfolio company / deal escrow</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SS&amp;C Investran</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Contribution to Portfolio Co.</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SS&amp;C Geneva</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BUY</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iCapital</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Not applicable — portfolio-level entry</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Notes</w:t>
            </w:r>
          </w:p>
        </w:tc>
        <w:tc>
          <w:tcPr>
            <w:tcW w:type="pct" w:w="80%"/>
            <w:shd w:fill="FDF3E7" w:color="FDF3E7" w:val="clear"/>
            <w:tcMar>
              <w:top w:type="dxa" w:w="50"/>
              <w:left w:type="dxa" w:w="80"/>
              <w:bottom w:type="dxa" w:w="50"/>
              <w:right w:type="dxa" w:w="80"/>
            </w:tcMar>
          </w:tcPr>
          <w:p>
            <w:r>
              <w:rPr>
                <w:rFonts w:ascii="Calibri" w:cs="Calibri" w:eastAsia="Calibri" w:hAnsi="Calibri"/>
                <w:color w:val="404040"/>
                <w:sz w:val="18"/>
                <w:szCs w:val="18"/>
              </w:rPr>
              <w:t xml:space="preserve">Cost basis established here is used for all future MOIC / IRR calculations and for the gain/loss calculation on eventual realization. PE investments are carried at cost until a quarterly fair value mark is applied.</w:t>
            </w:r>
          </w:p>
        </w:tc>
      </w:tr>
    </w:tbl>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tblGrid>
      <w:tr>
        <w:tc>
          <w:tcPr>
            <w:gridSpan w:val="2"/>
            <w:shd w:fill="C00000" w:color="C00000" w:val="clear"/>
            <w:tcMar>
              <w:top w:type="dxa" w:w="80"/>
              <w:left w:type="dxa" w:w="120"/>
              <w:bottom w:type="dxa" w:w="80"/>
              <w:right w:type="dxa" w:w="80"/>
            </w:tcMar>
          </w:tcPr>
          <w:p>
            <w:r>
              <w:rPr>
                <w:rFonts w:ascii="Courier New" w:cs="Courier New" w:eastAsia="Courier New" w:hAnsi="Courier New"/>
                <w:b/>
                <w:bCs/>
                <w:color w:val="FFFFFF"/>
                <w:sz w:val="24"/>
                <w:szCs w:val="24"/>
              </w:rPr>
              <w:t xml:space="preserve">PortfolioRealization</w:t>
            </w:r>
          </w:p>
          <w:p>
            <w:r>
              <w:rPr>
                <w:rFonts w:ascii="Calibri" w:cs="Calibri" w:eastAsia="Calibri" w:hAnsi="Calibri"/>
                <w:color w:val="D0D8E8"/>
                <w:sz w:val="18"/>
                <w:szCs w:val="18"/>
              </w:rPr>
              <w:t xml:space="preserve">Phase 5 — Exit / Realization   |   3 records in AMC dataset (PC-008, PC-011 exits + partial PC-001)</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Plain English</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Booked when sale proceeds are received from a portfolio company exit. The cash inflow is recorded and the cost basis investment is removed from the balance sheet. A separate RealizedGain entry books the gain or loss.</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Debit</w:t>
            </w:r>
          </w:p>
        </w:tc>
        <w:tc>
          <w:tcPr>
            <w:tcW w:type="pct" w:w="80%"/>
            <w:shd w:fill="E6F0EA" w:color="E6F0EA" w:val="clear"/>
            <w:tcMar>
              <w:top w:type="dxa" w:w="50"/>
              <w:left w:type="dxa" w:w="80"/>
              <w:bottom w:type="dxa" w:w="50"/>
              <w:right w:type="dxa" w:w="80"/>
            </w:tcMar>
          </w:tcPr>
          <w:p>
            <w:r>
              <w:rPr>
                <w:rFonts w:ascii="Calibri" w:cs="Calibri" w:eastAsia="Calibri" w:hAnsi="Calibri"/>
                <w:b/>
                <w:bCs/>
                <w:color w:val="375623"/>
                <w:sz w:val="19"/>
                <w:szCs w:val="19"/>
              </w:rPr>
              <w:t xml:space="preserve">Cash &amp; Cash Equivalents (Asset ↑)</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Credit</w:t>
            </w:r>
          </w:p>
        </w:tc>
        <w:tc>
          <w:tcPr>
            <w:tcW w:type="pct" w:w="80%"/>
            <w:shd w:fill="FDE8E8" w:color="FDE8E8" w:val="clear"/>
            <w:tcMar>
              <w:top w:type="dxa" w:w="50"/>
              <w:left w:type="dxa" w:w="80"/>
              <w:bottom w:type="dxa" w:w="50"/>
              <w:right w:type="dxa" w:w="80"/>
            </w:tcMar>
          </w:tcPr>
          <w:p>
            <w:r>
              <w:rPr>
                <w:rFonts w:ascii="Calibri" w:cs="Calibri" w:eastAsia="Calibri" w:hAnsi="Calibri"/>
                <w:b/>
                <w:bCs/>
                <w:color w:val="C00000"/>
                <w:sz w:val="19"/>
                <w:szCs w:val="19"/>
              </w:rPr>
              <w:t xml:space="preserve">Investment in Portfolio — Cost (Asset ↓ — removed)</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Entity Level</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Master Fund level</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Trigger</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Sale completion; proceeds wire received</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SS&amp;C Investran</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Realization Receipt</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SS&amp;C Geneva</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SELL</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iCapital</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Not applicable</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Notes</w:t>
            </w:r>
          </w:p>
        </w:tc>
        <w:tc>
          <w:tcPr>
            <w:tcW w:type="pct" w:w="80%"/>
            <w:shd w:fill="FDF3E7" w:color="FDF3E7" w:val="clear"/>
            <w:tcMar>
              <w:top w:type="dxa" w:w="50"/>
              <w:left w:type="dxa" w:w="80"/>
              <w:bottom w:type="dxa" w:w="50"/>
              <w:right w:type="dxa" w:w="80"/>
            </w:tcMar>
          </w:tcPr>
          <w:p>
            <w:r>
              <w:rPr>
                <w:rFonts w:ascii="Calibri" w:cs="Calibri" w:eastAsia="Calibri" w:hAnsi="Calibri"/>
                <w:color w:val="404040"/>
                <w:sz w:val="18"/>
                <w:szCs w:val="18"/>
              </w:rPr>
              <w:t xml:space="preserve">Followed immediately by RealizedGain entry. Together the two entries complete the exit accounting. Remaining unrealized marks for the same investment are reversed.</w:t>
            </w:r>
          </w:p>
        </w:tc>
      </w:tr>
    </w:tbl>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tblGrid>
      <w:tr>
        <w:tc>
          <w:tcPr>
            <w:gridSpan w:val="2"/>
            <w:shd w:fill="7030A0" w:color="7030A0" w:val="clear"/>
            <w:tcMar>
              <w:top w:type="dxa" w:w="80"/>
              <w:left w:type="dxa" w:w="120"/>
              <w:bottom w:type="dxa" w:w="80"/>
              <w:right w:type="dxa" w:w="80"/>
            </w:tcMar>
          </w:tcPr>
          <w:p>
            <w:r>
              <w:rPr>
                <w:rFonts w:ascii="Courier New" w:cs="Courier New" w:eastAsia="Courier New" w:hAnsi="Courier New"/>
                <w:b/>
                <w:bCs/>
                <w:color w:val="FFFFFF"/>
                <w:sz w:val="24"/>
                <w:szCs w:val="24"/>
              </w:rPr>
              <w:t xml:space="preserve">RealizedGain</w:t>
            </w:r>
          </w:p>
          <w:p>
            <w:r>
              <w:rPr>
                <w:rFonts w:ascii="Calibri" w:cs="Calibri" w:eastAsia="Calibri" w:hAnsi="Calibri"/>
                <w:color w:val="D0D8E8"/>
                <w:sz w:val="18"/>
                <w:szCs w:val="18"/>
              </w:rPr>
              <w:t xml:space="preserve">Phase 5 — Exit / Realization (P&amp;L leg)   |   3 records in AMC dataset</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Plain English</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Books the gain or loss on a portfolio exit — the difference between proceeds and cost basis. A gain increases the Realized Gain income account; a loss is debited to a loss account. This drives the waterfall calculation for distributions and carry.</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Debit</w:t>
            </w:r>
          </w:p>
        </w:tc>
        <w:tc>
          <w:tcPr>
            <w:tcW w:type="pct" w:w="80%"/>
            <w:shd w:fill="E6F0EA" w:color="E6F0EA" w:val="clear"/>
            <w:tcMar>
              <w:top w:type="dxa" w:w="50"/>
              <w:left w:type="dxa" w:w="80"/>
              <w:bottom w:type="dxa" w:w="50"/>
              <w:right w:type="dxa" w:w="80"/>
            </w:tcMar>
          </w:tcPr>
          <w:p>
            <w:r>
              <w:rPr>
                <w:rFonts w:ascii="Calibri" w:cs="Calibri" w:eastAsia="Calibri" w:hAnsi="Calibri"/>
                <w:b/>
                <w:bCs/>
                <w:color w:val="375623"/>
                <w:sz w:val="19"/>
                <w:szCs w:val="19"/>
              </w:rPr>
              <w:t xml:space="preserve">(Gain) Realized Gain on Investment  |  (Loss) Realized Loss on Investment</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Credit</w:t>
            </w:r>
          </w:p>
        </w:tc>
        <w:tc>
          <w:tcPr>
            <w:tcW w:type="pct" w:w="80%"/>
            <w:shd w:fill="FDE8E8" w:color="FDE8E8" w:val="clear"/>
            <w:tcMar>
              <w:top w:type="dxa" w:w="50"/>
              <w:left w:type="dxa" w:w="80"/>
              <w:bottom w:type="dxa" w:w="50"/>
              <w:right w:type="dxa" w:w="80"/>
            </w:tcMar>
          </w:tcPr>
          <w:p>
            <w:r>
              <w:rPr>
                <w:rFonts w:ascii="Calibri" w:cs="Calibri" w:eastAsia="Calibri" w:hAnsi="Calibri"/>
                <w:b/>
                <w:bCs/>
                <w:color w:val="C00000"/>
                <w:sz w:val="19"/>
                <w:szCs w:val="19"/>
              </w:rPr>
              <w:t xml:space="preserve">(Gain) Realized Gain on Investment  |  (Loss) Investment in Portfolio — Cost</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Entity Level</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Master Fund level</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Trigger</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Same date as PortfolioRealization</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SS&amp;C Investran</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Realized Gain/(Loss)</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SS&amp;C Geneva</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SELL — P&amp;L leg</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iCapital</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Not applicable</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Notes</w:t>
            </w:r>
          </w:p>
        </w:tc>
        <w:tc>
          <w:tcPr>
            <w:tcW w:type="pct" w:w="80%"/>
            <w:shd w:fill="FDF3E7" w:color="FDF3E7" w:val="clear"/>
            <w:tcMar>
              <w:top w:type="dxa" w:w="50"/>
              <w:left w:type="dxa" w:w="80"/>
              <w:bottom w:type="dxa" w:w="50"/>
              <w:right w:type="dxa" w:w="80"/>
            </w:tcMar>
          </w:tcPr>
          <w:p>
            <w:r>
              <w:rPr>
                <w:rFonts w:ascii="Calibri" w:cs="Calibri" w:eastAsia="Calibri" w:hAnsi="Calibri"/>
                <w:color w:val="404040"/>
                <w:sz w:val="18"/>
                <w:szCs w:val="18"/>
              </w:rPr>
              <w:t xml:space="preserve">AMC dataset examples: PC-008 (Meridian Real Estate) — cost $280M, exit proceeds $510M, gain $230M. PC-011 (FastGrowth E-Commerce) — cost $85M, exit proceeds $210M, gain $125M.</w:t>
            </w:r>
          </w:p>
        </w:tc>
      </w:tr>
    </w:tbl>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tblGrid>
      <w:tr>
        <w:tc>
          <w:tcPr>
            <w:gridSpan w:val="2"/>
            <w:shd w:fill="C55A11" w:color="C55A11" w:val="clear"/>
            <w:tcMar>
              <w:top w:type="dxa" w:w="80"/>
              <w:left w:type="dxa" w:w="120"/>
              <w:bottom w:type="dxa" w:w="80"/>
              <w:right w:type="dxa" w:w="80"/>
            </w:tcMar>
          </w:tcPr>
          <w:p>
            <w:r>
              <w:rPr>
                <w:rFonts w:ascii="Courier New" w:cs="Courier New" w:eastAsia="Courier New" w:hAnsi="Courier New"/>
                <w:b/>
                <w:bCs/>
                <w:color w:val="FFFFFF"/>
                <w:sz w:val="24"/>
                <w:szCs w:val="24"/>
              </w:rPr>
              <w:t xml:space="preserve">DistributionPayable</w:t>
            </w:r>
          </w:p>
          <w:p>
            <w:r>
              <w:rPr>
                <w:rFonts w:ascii="Calibri" w:cs="Calibri" w:eastAsia="Calibri" w:hAnsi="Calibri"/>
                <w:color w:val="D0D8E8"/>
                <w:sz w:val="18"/>
                <w:szCs w:val="18"/>
              </w:rPr>
              <w:t xml:space="preserve">Phase 6 — Distribution   |   5 distributions, 40 LP notices in AMC dataset</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Plain English</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When the GP declares a distribution, a payable is booked reducing LP capital accounts and creating a liability. When the wire is sent to LPs, the payable is cleared against cash. Each LP receives a distribution notice (mirror of the capital call notice) showing their pro-rata share.</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Debit</w:t>
            </w:r>
          </w:p>
        </w:tc>
        <w:tc>
          <w:tcPr>
            <w:tcW w:type="pct" w:w="80%"/>
            <w:shd w:fill="E6F0EA" w:color="E6F0EA" w:val="clear"/>
            <w:tcMar>
              <w:top w:type="dxa" w:w="50"/>
              <w:left w:type="dxa" w:w="80"/>
              <w:bottom w:type="dxa" w:w="50"/>
              <w:right w:type="dxa" w:w="80"/>
            </w:tcMar>
          </w:tcPr>
          <w:p>
            <w:r>
              <w:rPr>
                <w:rFonts w:ascii="Calibri" w:cs="Calibri" w:eastAsia="Calibri" w:hAnsi="Calibri"/>
                <w:b/>
                <w:bCs/>
                <w:color w:val="375623"/>
                <w:sz w:val="19"/>
                <w:szCs w:val="19"/>
              </w:rPr>
              <w:t xml:space="preserve">LP Capital Account (Equity ↓)</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Credit</w:t>
            </w:r>
          </w:p>
        </w:tc>
        <w:tc>
          <w:tcPr>
            <w:tcW w:type="pct" w:w="80%"/>
            <w:shd w:fill="FDE8E8" w:color="FDE8E8" w:val="clear"/>
            <w:tcMar>
              <w:top w:type="dxa" w:w="50"/>
              <w:left w:type="dxa" w:w="80"/>
              <w:bottom w:type="dxa" w:w="50"/>
              <w:right w:type="dxa" w:w="80"/>
            </w:tcMar>
          </w:tcPr>
          <w:p>
            <w:r>
              <w:rPr>
                <w:rFonts w:ascii="Calibri" w:cs="Calibri" w:eastAsia="Calibri" w:hAnsi="Calibri"/>
                <w:b/>
                <w:bCs/>
                <w:color w:val="C00000"/>
                <w:sz w:val="19"/>
                <w:szCs w:val="19"/>
              </w:rPr>
              <w:t xml:space="preserve">Distribution Payable (Liability ↑)  →  then Cash on payment</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Entity Level</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Master Fund and Feeder level</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Trigger</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GP distribution notice; typically follows a realization event</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SS&amp;C Investran</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Distribution — Return of Capital / Realized Gain</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SS&amp;C Geneva</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DISTRIB</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iCapital</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Distribution notification; LP sees amount in portal</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Notes</w:t>
            </w:r>
          </w:p>
        </w:tc>
        <w:tc>
          <w:tcPr>
            <w:tcW w:type="pct" w:w="80%"/>
            <w:shd w:fill="FDF3E7" w:color="FDF3E7" w:val="clear"/>
            <w:tcMar>
              <w:top w:type="dxa" w:w="50"/>
              <w:left w:type="dxa" w:w="80"/>
              <w:bottom w:type="dxa" w:w="50"/>
              <w:right w:type="dxa" w:w="80"/>
            </w:tcMar>
          </w:tcPr>
          <w:p>
            <w:r>
              <w:rPr>
                <w:rFonts w:ascii="Calibri" w:cs="Calibri" w:eastAsia="Calibri" w:hAnsi="Calibri"/>
                <w:color w:val="404040"/>
                <w:sz w:val="18"/>
                <w:szCs w:val="18"/>
              </w:rPr>
              <w:t xml:space="preserve">Distributions are split into Return of Capital (reduces cost basis — no tax until cost basis recovered) and Income/Realized Gain (taxable). The split determines LP tax reporting (Schedule K-1). Carried interest is deducted before distributions reach LPs.</w:t>
            </w:r>
          </w:p>
        </w:tc>
      </w:tr>
    </w:tbl>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tblGrid>
      <w:tr>
        <w:tc>
          <w:tcPr>
            <w:gridSpan w:val="2"/>
            <w:shd w:fill="1F3864" w:color="1F3864" w:val="clear"/>
            <w:tcMar>
              <w:top w:type="dxa" w:w="80"/>
              <w:left w:type="dxa" w:w="120"/>
              <w:bottom w:type="dxa" w:w="80"/>
              <w:right w:type="dxa" w:w="80"/>
            </w:tcMar>
          </w:tcPr>
          <w:p>
            <w:r>
              <w:rPr>
                <w:rFonts w:ascii="Courier New" w:cs="Courier New" w:eastAsia="Courier New" w:hAnsi="Courier New"/>
                <w:b/>
                <w:bCs/>
                <w:color w:val="FFFFFF"/>
                <w:sz w:val="24"/>
                <w:szCs w:val="24"/>
              </w:rPr>
              <w:t xml:space="preserve">CarryPayment</w:t>
            </w:r>
          </w:p>
          <w:p>
            <w:r>
              <w:rPr>
                <w:rFonts w:ascii="Calibri" w:cs="Calibri" w:eastAsia="Calibri" w:hAnsi="Calibri"/>
                <w:color w:val="D0D8E8"/>
                <w:sz w:val="18"/>
                <w:szCs w:val="18"/>
              </w:rPr>
              <w:t xml:space="preserve">Phase 7 — Carried Interest Crystallization   |   5 carry events in AMC dataset</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Plain English</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When realized gains exceed the hurdle rate (8%), the GP is entitled to carried interest — typically 20% of profits above the hurdle. The carry is accrued as a liability and paid out to the GP carry vehicle. This is the GP's primary economic incentive and is separate from management fees.</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Debit</w:t>
            </w:r>
          </w:p>
        </w:tc>
        <w:tc>
          <w:tcPr>
            <w:tcW w:type="pct" w:w="80%"/>
            <w:shd w:fill="E6F0EA" w:color="E6F0EA" w:val="clear"/>
            <w:tcMar>
              <w:top w:type="dxa" w:w="50"/>
              <w:left w:type="dxa" w:w="80"/>
              <w:bottom w:type="dxa" w:w="50"/>
              <w:right w:type="dxa" w:w="80"/>
            </w:tcMar>
          </w:tcPr>
          <w:p>
            <w:r>
              <w:rPr>
                <w:rFonts w:ascii="Calibri" w:cs="Calibri" w:eastAsia="Calibri" w:hAnsi="Calibri"/>
                <w:b/>
                <w:bCs/>
                <w:color w:val="375623"/>
                <w:sz w:val="19"/>
                <w:szCs w:val="19"/>
              </w:rPr>
              <w:t xml:space="preserve">Carried Interest Expense (Expense ↑)</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Credit</w:t>
            </w:r>
          </w:p>
        </w:tc>
        <w:tc>
          <w:tcPr>
            <w:tcW w:type="pct" w:w="80%"/>
            <w:shd w:fill="FDE8E8" w:color="FDE8E8" w:val="clear"/>
            <w:tcMar>
              <w:top w:type="dxa" w:w="50"/>
              <w:left w:type="dxa" w:w="80"/>
              <w:bottom w:type="dxa" w:w="50"/>
              <w:right w:type="dxa" w:w="80"/>
            </w:tcMar>
          </w:tcPr>
          <w:p>
            <w:r>
              <w:rPr>
                <w:rFonts w:ascii="Calibri" w:cs="Calibri" w:eastAsia="Calibri" w:hAnsi="Calibri"/>
                <w:b/>
                <w:bCs/>
                <w:color w:val="C00000"/>
                <w:sz w:val="19"/>
                <w:szCs w:val="19"/>
              </w:rPr>
              <w:t xml:space="preserve">Carried Interest Payable (Liability ↑)  →  then Cash on payment</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Entity Level</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Master Fund level</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Trigger</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Realization event where cumulative returns exceed preferred return + cost basis</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SS&amp;C Investran</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Carried Interest — Payment</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SS&amp;C Geneva</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DISTRIB (carry leg)</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iCapital</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Not visible to LPs directly — reduces net distribution amount</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Notes</w:t>
            </w:r>
          </w:p>
        </w:tc>
        <w:tc>
          <w:tcPr>
            <w:tcW w:type="pct" w:w="80%"/>
            <w:shd w:fill="FDF3E7" w:color="FDF3E7" w:val="clear"/>
            <w:tcMar>
              <w:top w:type="dxa" w:w="50"/>
              <w:left w:type="dxa" w:w="80"/>
              <w:bottom w:type="dxa" w:w="50"/>
              <w:right w:type="dxa" w:w="80"/>
            </w:tcMar>
          </w:tcPr>
          <w:p>
            <w:r>
              <w:rPr>
                <w:rFonts w:ascii="Calibri" w:cs="Calibri" w:eastAsia="Calibri" w:hAnsi="Calibri"/>
                <w:color w:val="404040"/>
                <w:sz w:val="18"/>
                <w:szCs w:val="18"/>
              </w:rPr>
              <w:t xml:space="preserve">AMC dataset: carry rate is 20% on all funds. AMC Buyout / Real Assets / Growth Equity also carry a 8% preferred return (hurdle). Carry is calculated after the full return of capital and preferred return to LPs. Subject to clawback if subsequent losses reduce cumulative returns.</w:t>
            </w:r>
          </w:p>
        </w:tc>
      </w:tr>
    </w:tbl>
    <w:p>
      <w:pPr>
        <w:spacing w:after="160" w:before="0"/>
      </w:pPr>
      <w:r>
        <w:t xml:space="preserve"/>
      </w:r>
    </w:p>
    <w:p>
      <w:r>
        <w:br w:type="page"/>
      </w:r>
    </w:p>
    <w:p>
      <w:pPr>
        <w:pStyle w:val="Heading2"/>
        <w:spacing w:after="120" w:before="320"/>
      </w:pPr>
      <w:r>
        <w:t xml:space="preserve">J.3  Complete GL Entry Sequence — Full Fund Lifecycle</w:t>
      </w:r>
    </w:p>
    <w:p>
      <w:pPr>
        <w:spacing w:after="120" w:before="0"/>
      </w:pPr>
      <w:r>
        <w:rPr>
          <w:rFonts w:ascii="Calibri" w:cs="Calibri" w:eastAsia="Calibri" w:hAnsi="Calibri"/>
          <w:color w:val="404040"/>
          <w:sz w:val="22"/>
          <w:szCs w:val="22"/>
        </w:rPr>
        <w:t xml:space="preserve">The following table shows all GL entries in chronological order for a single LP commitment from capital call through exit distribution, at both feeder and master fund level.</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gridCol w:w="100"/>
        <w:gridCol w:w="100"/>
      </w:tblGrid>
      <w:tr>
        <w:trPr>
          <w:tblHeader/>
        </w:trPr>
        <w:tc>
          <w:tcPr>
            <w:tcW w:type="pct" w:w="1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Timing</w:t>
            </w:r>
          </w:p>
        </w:tc>
        <w:tc>
          <w:tcPr>
            <w:tcW w:type="pct" w:w="22%"/>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Event</w:t>
            </w:r>
          </w:p>
        </w:tc>
        <w:tc>
          <w:tcPr>
            <w:tcW w:type="pct" w:w="2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Transaction Type</w:t>
            </w:r>
          </w:p>
        </w:tc>
        <w:tc>
          <w:tcPr>
            <w:tcW w:type="pct" w:w="12%"/>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Entity</w:t>
            </w:r>
          </w:p>
        </w:tc>
        <w:tc>
          <w:tcPr>
            <w:tcW w:type="pct" w:w="18%"/>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Debit Account</w:t>
            </w:r>
          </w:p>
        </w:tc>
        <w:tc>
          <w:tcPr>
            <w:tcW w:type="pct" w:w="18%"/>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Credit Account</w:t>
            </w:r>
          </w:p>
        </w:tc>
      </w:tr>
      <w:tr>
        <w:tc>
          <w:tcPr>
            <w:tcW w:type="pct" w:w="10%"/>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T=0</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Call notice issued</w:t>
            </w:r>
          </w:p>
        </w:tc>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7"/>
                <w:szCs w:val="17"/>
              </w:rPr>
              <w:t xml:space="preserve">CapitalCallReceivable</w:t>
            </w:r>
          </w:p>
        </w:tc>
        <w:tc>
          <w:tcPr>
            <w:tcW w:type="pct" w:w="12%"/>
            <w:shd w:fill="F2F2F2" w:color="F2F2F2" w:val="clear"/>
            <w:tcMar>
              <w:top w:type="dxa" w:w="50"/>
              <w:left w:type="dxa" w:w="80"/>
              <w:bottom w:type="dxa" w:w="50"/>
              <w:right w:type="dxa" w:w="80"/>
            </w:tcMar>
          </w:tcPr>
          <w:p>
            <w:r>
              <w:rPr>
                <w:rFonts w:ascii="Calibri" w:cs="Calibri" w:eastAsia="Calibri" w:hAnsi="Calibri"/>
                <w:b/>
                <w:bCs/>
                <w:color w:val="404040"/>
                <w:sz w:val="19"/>
                <w:szCs w:val="19"/>
              </w:rPr>
              <w:t xml:space="preserve">Feeder</w:t>
            </w:r>
          </w:p>
        </w:tc>
        <w:tc>
          <w:tcPr>
            <w:tcW w:type="pct" w:w="18%"/>
            <w:shd w:fill="E6F0EA" w:color="E6F0EA" w:val="clear"/>
            <w:tcMar>
              <w:top w:type="dxa" w:w="50"/>
              <w:left w:type="dxa" w:w="80"/>
              <w:bottom w:type="dxa" w:w="50"/>
              <w:right w:type="dxa" w:w="80"/>
            </w:tcMar>
          </w:tcPr>
          <w:p>
            <w:r>
              <w:rPr>
                <w:rFonts w:ascii="Calibri" w:cs="Calibri" w:eastAsia="Calibri" w:hAnsi="Calibri"/>
                <w:b/>
                <w:bCs/>
                <w:color w:val="375623"/>
                <w:sz w:val="18"/>
                <w:szCs w:val="18"/>
              </w:rPr>
              <w:t xml:space="preserve">Capital Call Receivable</w:t>
            </w:r>
          </w:p>
        </w:tc>
        <w:tc>
          <w:tcPr>
            <w:tcW w:type="pct" w:w="18%"/>
            <w:shd w:fill="FDE8E8" w:color="FDE8E8" w:val="clear"/>
            <w:tcMar>
              <w:top w:type="dxa" w:w="50"/>
              <w:left w:type="dxa" w:w="80"/>
              <w:bottom w:type="dxa" w:w="50"/>
              <w:right w:type="dxa" w:w="80"/>
            </w:tcMar>
          </w:tcPr>
          <w:p>
            <w:r>
              <w:rPr>
                <w:rFonts w:ascii="Calibri" w:cs="Calibri" w:eastAsia="Calibri" w:hAnsi="Calibri"/>
                <w:b/>
                <w:bCs/>
                <w:color w:val="C00000"/>
                <w:sz w:val="18"/>
                <w:szCs w:val="18"/>
              </w:rPr>
              <w:t xml:space="preserve">Capital Contributions Payable</w:t>
            </w:r>
          </w:p>
        </w:tc>
      </w:tr>
      <w:tr>
        <w:tc>
          <w:tcPr>
            <w:tcW w:type="pct" w:w="10%"/>
            <w:shd w:fill="F0F4FA" w:color="F0F4FA" w:val="clear"/>
            <w:tcMar>
              <w:top w:type="dxa" w:w="50"/>
              <w:left w:type="dxa" w:w="80"/>
              <w:bottom w:type="dxa" w:w="50"/>
              <w:right w:type="dxa" w:w="80"/>
            </w:tcMar>
          </w:tcPr>
          <w:p>
            <w:r>
              <w:rPr>
                <w:rFonts w:ascii="Calibri" w:cs="Calibri" w:eastAsia="Calibri" w:hAnsi="Calibri"/>
                <w:b/>
                <w:bCs/>
                <w:color w:val="1F3864"/>
                <w:sz w:val="19"/>
                <w:szCs w:val="19"/>
              </w:rPr>
              <w:t xml:space="preserve">T+5–10</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LP wire received</w:t>
            </w:r>
          </w:p>
        </w:tc>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7"/>
                <w:szCs w:val="17"/>
              </w:rPr>
              <w:t xml:space="preserve">CashReceipt</w:t>
            </w:r>
          </w:p>
        </w:tc>
        <w:tc>
          <w:tcPr>
            <w:tcW w:type="pct" w:w="12%"/>
            <w:shd w:fill="F2F2F2" w:color="F2F2F2" w:val="clear"/>
            <w:tcMar>
              <w:top w:type="dxa" w:w="50"/>
              <w:left w:type="dxa" w:w="80"/>
              <w:bottom w:type="dxa" w:w="50"/>
              <w:right w:type="dxa" w:w="80"/>
            </w:tcMar>
          </w:tcPr>
          <w:p>
            <w:r>
              <w:rPr>
                <w:rFonts w:ascii="Calibri" w:cs="Calibri" w:eastAsia="Calibri" w:hAnsi="Calibri"/>
                <w:b/>
                <w:bCs/>
                <w:color w:val="404040"/>
                <w:sz w:val="19"/>
                <w:szCs w:val="19"/>
              </w:rPr>
              <w:t xml:space="preserve">Feeder</w:t>
            </w:r>
          </w:p>
        </w:tc>
        <w:tc>
          <w:tcPr>
            <w:tcW w:type="pct" w:w="18%"/>
            <w:shd w:fill="E6F0EA" w:color="E6F0EA" w:val="clear"/>
            <w:tcMar>
              <w:top w:type="dxa" w:w="50"/>
              <w:left w:type="dxa" w:w="80"/>
              <w:bottom w:type="dxa" w:w="50"/>
              <w:right w:type="dxa" w:w="80"/>
            </w:tcMar>
          </w:tcPr>
          <w:p>
            <w:r>
              <w:rPr>
                <w:rFonts w:ascii="Calibri" w:cs="Calibri" w:eastAsia="Calibri" w:hAnsi="Calibri"/>
                <w:b/>
                <w:bCs/>
                <w:color w:val="375623"/>
                <w:sz w:val="18"/>
                <w:szCs w:val="18"/>
              </w:rPr>
              <w:t xml:space="preserve">Cash &amp; Cash Equivalents</w:t>
            </w:r>
          </w:p>
        </w:tc>
        <w:tc>
          <w:tcPr>
            <w:tcW w:type="pct" w:w="18%"/>
            <w:shd w:fill="FDE8E8" w:color="FDE8E8" w:val="clear"/>
            <w:tcMar>
              <w:top w:type="dxa" w:w="50"/>
              <w:left w:type="dxa" w:w="80"/>
              <w:bottom w:type="dxa" w:w="50"/>
              <w:right w:type="dxa" w:w="80"/>
            </w:tcMar>
          </w:tcPr>
          <w:p>
            <w:r>
              <w:rPr>
                <w:rFonts w:ascii="Calibri" w:cs="Calibri" w:eastAsia="Calibri" w:hAnsi="Calibri"/>
                <w:b/>
                <w:bCs/>
                <w:color w:val="C00000"/>
                <w:sz w:val="18"/>
                <w:szCs w:val="18"/>
              </w:rPr>
              <w:t xml:space="preserve">Capital Call Receivable</w:t>
            </w:r>
          </w:p>
        </w:tc>
      </w:tr>
      <w:tr>
        <w:tc>
          <w:tcPr>
            <w:tcW w:type="pct" w:w="10%"/>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T+11</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Feeder sweeps to MF</w:t>
            </w:r>
          </w:p>
        </w:tc>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7"/>
                <w:szCs w:val="17"/>
              </w:rPr>
              <w:t xml:space="preserve">InvestmentInMasterFund</w:t>
            </w:r>
          </w:p>
        </w:tc>
        <w:tc>
          <w:tcPr>
            <w:tcW w:type="pct" w:w="12%"/>
            <w:shd w:fill="F2F2F2" w:color="F2F2F2" w:val="clear"/>
            <w:tcMar>
              <w:top w:type="dxa" w:w="50"/>
              <w:left w:type="dxa" w:w="80"/>
              <w:bottom w:type="dxa" w:w="50"/>
              <w:right w:type="dxa" w:w="80"/>
            </w:tcMar>
          </w:tcPr>
          <w:p>
            <w:r>
              <w:rPr>
                <w:rFonts w:ascii="Calibri" w:cs="Calibri" w:eastAsia="Calibri" w:hAnsi="Calibri"/>
                <w:b/>
                <w:bCs/>
                <w:color w:val="404040"/>
                <w:sz w:val="19"/>
                <w:szCs w:val="19"/>
              </w:rPr>
              <w:t xml:space="preserve">Feeder</w:t>
            </w:r>
          </w:p>
        </w:tc>
        <w:tc>
          <w:tcPr>
            <w:tcW w:type="pct" w:w="18%"/>
            <w:shd w:fill="E6F0EA" w:color="E6F0EA" w:val="clear"/>
            <w:tcMar>
              <w:top w:type="dxa" w:w="50"/>
              <w:left w:type="dxa" w:w="80"/>
              <w:bottom w:type="dxa" w:w="50"/>
              <w:right w:type="dxa" w:w="80"/>
            </w:tcMar>
          </w:tcPr>
          <w:p>
            <w:r>
              <w:rPr>
                <w:rFonts w:ascii="Calibri" w:cs="Calibri" w:eastAsia="Calibri" w:hAnsi="Calibri"/>
                <w:b/>
                <w:bCs/>
                <w:color w:val="375623"/>
                <w:sz w:val="18"/>
                <w:szCs w:val="18"/>
              </w:rPr>
              <w:t xml:space="preserve">Investment in Master Fund</w:t>
            </w:r>
          </w:p>
        </w:tc>
        <w:tc>
          <w:tcPr>
            <w:tcW w:type="pct" w:w="18%"/>
            <w:shd w:fill="FDE8E8" w:color="FDE8E8" w:val="clear"/>
            <w:tcMar>
              <w:top w:type="dxa" w:w="50"/>
              <w:left w:type="dxa" w:w="80"/>
              <w:bottom w:type="dxa" w:w="50"/>
              <w:right w:type="dxa" w:w="80"/>
            </w:tcMar>
          </w:tcPr>
          <w:p>
            <w:r>
              <w:rPr>
                <w:rFonts w:ascii="Calibri" w:cs="Calibri" w:eastAsia="Calibri" w:hAnsi="Calibri"/>
                <w:b/>
                <w:bCs/>
                <w:color w:val="C00000"/>
                <w:sz w:val="18"/>
                <w:szCs w:val="18"/>
              </w:rPr>
              <w:t xml:space="preserve">Cash &amp; Cash Equivalents</w:t>
            </w:r>
          </w:p>
        </w:tc>
      </w:tr>
      <w:tr>
        <w:tc>
          <w:tcPr>
            <w:tcW w:type="pct" w:w="10%"/>
            <w:shd w:fill="F0F4FA" w:color="F0F4FA" w:val="clear"/>
            <w:tcMar>
              <w:top w:type="dxa" w:w="50"/>
              <w:left w:type="dxa" w:w="80"/>
              <w:bottom w:type="dxa" w:w="50"/>
              <w:right w:type="dxa" w:w="80"/>
            </w:tcMar>
          </w:tcPr>
          <w:p>
            <w:r>
              <w:rPr>
                <w:rFonts w:ascii="Calibri" w:cs="Calibri" w:eastAsia="Calibri" w:hAnsi="Calibri"/>
                <w:b/>
                <w:bCs/>
                <w:color w:val="1F3864"/>
                <w:sz w:val="19"/>
                <w:szCs w:val="19"/>
              </w:rPr>
              <w:t xml:space="preserve">T+11</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MF receives sweep</w:t>
            </w:r>
          </w:p>
        </w:tc>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7"/>
                <w:szCs w:val="17"/>
              </w:rPr>
              <w:t xml:space="preserve">CapitalFromFeeder</w:t>
            </w:r>
          </w:p>
        </w:tc>
        <w:tc>
          <w:tcPr>
            <w:tcW w:type="pct" w:w="12%"/>
            <w:shd w:fill="F2F2F2" w:color="F2F2F2" w:val="clear"/>
            <w:tcMar>
              <w:top w:type="dxa" w:w="50"/>
              <w:left w:type="dxa" w:w="80"/>
              <w:bottom w:type="dxa" w:w="50"/>
              <w:right w:type="dxa" w:w="80"/>
            </w:tcMar>
          </w:tcPr>
          <w:p>
            <w:r>
              <w:rPr>
                <w:rFonts w:ascii="Calibri" w:cs="Calibri" w:eastAsia="Calibri" w:hAnsi="Calibri"/>
                <w:b/>
                <w:bCs/>
                <w:color w:val="404040"/>
                <w:sz w:val="19"/>
                <w:szCs w:val="19"/>
              </w:rPr>
              <w:t xml:space="preserve">Master Fund</w:t>
            </w:r>
          </w:p>
        </w:tc>
        <w:tc>
          <w:tcPr>
            <w:tcW w:type="pct" w:w="18%"/>
            <w:shd w:fill="E6F0EA" w:color="E6F0EA" w:val="clear"/>
            <w:tcMar>
              <w:top w:type="dxa" w:w="50"/>
              <w:left w:type="dxa" w:w="80"/>
              <w:bottom w:type="dxa" w:w="50"/>
              <w:right w:type="dxa" w:w="80"/>
            </w:tcMar>
          </w:tcPr>
          <w:p>
            <w:r>
              <w:rPr>
                <w:rFonts w:ascii="Calibri" w:cs="Calibri" w:eastAsia="Calibri" w:hAnsi="Calibri"/>
                <w:b/>
                <w:bCs/>
                <w:color w:val="375623"/>
                <w:sz w:val="18"/>
                <w:szCs w:val="18"/>
              </w:rPr>
              <w:t xml:space="preserve">Cash &amp; Cash Equivalents</w:t>
            </w:r>
          </w:p>
        </w:tc>
        <w:tc>
          <w:tcPr>
            <w:tcW w:type="pct" w:w="18%"/>
            <w:shd w:fill="FDE8E8" w:color="FDE8E8" w:val="clear"/>
            <w:tcMar>
              <w:top w:type="dxa" w:w="50"/>
              <w:left w:type="dxa" w:w="80"/>
              <w:bottom w:type="dxa" w:w="50"/>
              <w:right w:type="dxa" w:w="80"/>
            </w:tcMar>
          </w:tcPr>
          <w:p>
            <w:r>
              <w:rPr>
                <w:rFonts w:ascii="Calibri" w:cs="Calibri" w:eastAsia="Calibri" w:hAnsi="Calibri"/>
                <w:b/>
                <w:bCs/>
                <w:color w:val="C00000"/>
                <w:sz w:val="18"/>
                <w:szCs w:val="18"/>
              </w:rPr>
              <w:t xml:space="preserve">LP Capital Acct — Feeder</w:t>
            </w:r>
          </w:p>
        </w:tc>
      </w:tr>
      <w:tr>
        <w:tc>
          <w:tcPr>
            <w:tcW w:type="pct" w:w="10%"/>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T+11→30+</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Deploy to portco</w:t>
            </w:r>
          </w:p>
        </w:tc>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7"/>
                <w:szCs w:val="17"/>
              </w:rPr>
              <w:t xml:space="preserve">PortfolioDeployment</w:t>
            </w:r>
          </w:p>
        </w:tc>
        <w:tc>
          <w:tcPr>
            <w:tcW w:type="pct" w:w="12%"/>
            <w:shd w:fill="F2F2F2" w:color="F2F2F2" w:val="clear"/>
            <w:tcMar>
              <w:top w:type="dxa" w:w="50"/>
              <w:left w:type="dxa" w:w="80"/>
              <w:bottom w:type="dxa" w:w="50"/>
              <w:right w:type="dxa" w:w="80"/>
            </w:tcMar>
          </w:tcPr>
          <w:p>
            <w:r>
              <w:rPr>
                <w:rFonts w:ascii="Calibri" w:cs="Calibri" w:eastAsia="Calibri" w:hAnsi="Calibri"/>
                <w:b/>
                <w:bCs/>
                <w:color w:val="404040"/>
                <w:sz w:val="19"/>
                <w:szCs w:val="19"/>
              </w:rPr>
              <w:t xml:space="preserve">Master Fund</w:t>
            </w:r>
          </w:p>
        </w:tc>
        <w:tc>
          <w:tcPr>
            <w:tcW w:type="pct" w:w="18%"/>
            <w:shd w:fill="E6F0EA" w:color="E6F0EA" w:val="clear"/>
            <w:tcMar>
              <w:top w:type="dxa" w:w="50"/>
              <w:left w:type="dxa" w:w="80"/>
              <w:bottom w:type="dxa" w:w="50"/>
              <w:right w:type="dxa" w:w="80"/>
            </w:tcMar>
          </w:tcPr>
          <w:p>
            <w:r>
              <w:rPr>
                <w:rFonts w:ascii="Calibri" w:cs="Calibri" w:eastAsia="Calibri" w:hAnsi="Calibri"/>
                <w:b/>
                <w:bCs/>
                <w:color w:val="375623"/>
                <w:sz w:val="18"/>
                <w:szCs w:val="18"/>
              </w:rPr>
              <w:t xml:space="preserve">Investment in Portfolio — Cost</w:t>
            </w:r>
          </w:p>
        </w:tc>
        <w:tc>
          <w:tcPr>
            <w:tcW w:type="pct" w:w="18%"/>
            <w:shd w:fill="FDE8E8" w:color="FDE8E8" w:val="clear"/>
            <w:tcMar>
              <w:top w:type="dxa" w:w="50"/>
              <w:left w:type="dxa" w:w="80"/>
              <w:bottom w:type="dxa" w:w="50"/>
              <w:right w:type="dxa" w:w="80"/>
            </w:tcMar>
          </w:tcPr>
          <w:p>
            <w:r>
              <w:rPr>
                <w:rFonts w:ascii="Calibri" w:cs="Calibri" w:eastAsia="Calibri" w:hAnsi="Calibri"/>
                <w:b/>
                <w:bCs/>
                <w:color w:val="C00000"/>
                <w:sz w:val="18"/>
                <w:szCs w:val="18"/>
              </w:rPr>
              <w:t xml:space="preserve">Cash &amp; Cash Equivalents</w:t>
            </w:r>
          </w:p>
        </w:tc>
      </w:tr>
      <w:tr>
        <w:tc>
          <w:tcPr>
            <w:tcW w:type="pct" w:w="10%"/>
            <w:shd w:fill="F0F4FA" w:color="F0F4FA" w:val="clear"/>
            <w:tcMar>
              <w:top w:type="dxa" w:w="50"/>
              <w:left w:type="dxa" w:w="80"/>
              <w:bottom w:type="dxa" w:w="50"/>
              <w:right w:type="dxa" w:w="80"/>
            </w:tcMar>
          </w:tcPr>
          <w:p>
            <w:r>
              <w:rPr>
                <w:rFonts w:ascii="Calibri" w:cs="Calibri" w:eastAsia="Calibri" w:hAnsi="Calibri"/>
                <w:b/>
                <w:bCs/>
                <w:color w:val="1F3864"/>
                <w:sz w:val="19"/>
                <w:szCs w:val="19"/>
              </w:rPr>
              <w:t xml:space="preserve">Quarterly</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FV mark (unrealized)</w:t>
            </w:r>
          </w:p>
        </w:tc>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7"/>
                <w:szCs w:val="17"/>
              </w:rPr>
              <w:t xml:space="preserve">NAV Adjustment</w:t>
            </w:r>
          </w:p>
        </w:tc>
        <w:tc>
          <w:tcPr>
            <w:tcW w:type="pct" w:w="12%"/>
            <w:shd w:fill="F2F2F2" w:color="F2F2F2" w:val="clear"/>
            <w:tcMar>
              <w:top w:type="dxa" w:w="50"/>
              <w:left w:type="dxa" w:w="80"/>
              <w:bottom w:type="dxa" w:w="50"/>
              <w:right w:type="dxa" w:w="80"/>
            </w:tcMar>
          </w:tcPr>
          <w:p>
            <w:r>
              <w:rPr>
                <w:rFonts w:ascii="Calibri" w:cs="Calibri" w:eastAsia="Calibri" w:hAnsi="Calibri"/>
                <w:b/>
                <w:bCs/>
                <w:color w:val="404040"/>
                <w:sz w:val="19"/>
                <w:szCs w:val="19"/>
              </w:rPr>
              <w:t xml:space="preserve">Master Fund</w:t>
            </w:r>
          </w:p>
        </w:tc>
        <w:tc>
          <w:tcPr>
            <w:tcW w:type="pct" w:w="18%"/>
            <w:shd w:fill="E6F0EA" w:color="E6F0EA" w:val="clear"/>
            <w:tcMar>
              <w:top w:type="dxa" w:w="50"/>
              <w:left w:type="dxa" w:w="80"/>
              <w:bottom w:type="dxa" w:w="50"/>
              <w:right w:type="dxa" w:w="80"/>
            </w:tcMar>
          </w:tcPr>
          <w:p>
            <w:r>
              <w:rPr>
                <w:rFonts w:ascii="Calibri" w:cs="Calibri" w:eastAsia="Calibri" w:hAnsi="Calibri"/>
                <w:b/>
                <w:bCs/>
                <w:color w:val="375623"/>
                <w:sz w:val="18"/>
                <w:szCs w:val="18"/>
              </w:rPr>
              <w:t xml:space="preserve">Unrealized Gain/(Loss)</w:t>
            </w:r>
          </w:p>
        </w:tc>
        <w:tc>
          <w:tcPr>
            <w:tcW w:type="pct" w:w="18%"/>
            <w:shd w:fill="FDE8E8" w:color="FDE8E8" w:val="clear"/>
            <w:tcMar>
              <w:top w:type="dxa" w:w="50"/>
              <w:left w:type="dxa" w:w="80"/>
              <w:bottom w:type="dxa" w:w="50"/>
              <w:right w:type="dxa" w:w="80"/>
            </w:tcMar>
          </w:tcPr>
          <w:p>
            <w:r>
              <w:rPr>
                <w:rFonts w:ascii="Calibri" w:cs="Calibri" w:eastAsia="Calibri" w:hAnsi="Calibri"/>
                <w:b/>
                <w:bCs/>
                <w:color w:val="C00000"/>
                <w:sz w:val="18"/>
                <w:szCs w:val="18"/>
              </w:rPr>
              <w:t xml:space="preserve">Investment — Unrealized G/L</w:t>
            </w:r>
          </w:p>
        </w:tc>
      </w:tr>
      <w:tr>
        <w:tc>
          <w:tcPr>
            <w:tcW w:type="pct" w:w="10%"/>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Quarterly</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Mgmt fee accrual</w:t>
            </w:r>
          </w:p>
        </w:tc>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7"/>
                <w:szCs w:val="17"/>
              </w:rPr>
              <w:t xml:space="preserve">ManagementFeeAccrual</w:t>
            </w:r>
          </w:p>
        </w:tc>
        <w:tc>
          <w:tcPr>
            <w:tcW w:type="pct" w:w="12%"/>
            <w:shd w:fill="F2F2F2" w:color="F2F2F2" w:val="clear"/>
            <w:tcMar>
              <w:top w:type="dxa" w:w="50"/>
              <w:left w:type="dxa" w:w="80"/>
              <w:bottom w:type="dxa" w:w="50"/>
              <w:right w:type="dxa" w:w="80"/>
            </w:tcMar>
          </w:tcPr>
          <w:p>
            <w:r>
              <w:rPr>
                <w:rFonts w:ascii="Calibri" w:cs="Calibri" w:eastAsia="Calibri" w:hAnsi="Calibri"/>
                <w:b/>
                <w:bCs/>
                <w:color w:val="404040"/>
                <w:sz w:val="19"/>
                <w:szCs w:val="19"/>
              </w:rPr>
              <w:t xml:space="preserve">Feeder / MF</w:t>
            </w:r>
          </w:p>
        </w:tc>
        <w:tc>
          <w:tcPr>
            <w:tcW w:type="pct" w:w="18%"/>
            <w:shd w:fill="E6F0EA" w:color="E6F0EA" w:val="clear"/>
            <w:tcMar>
              <w:top w:type="dxa" w:w="50"/>
              <w:left w:type="dxa" w:w="80"/>
              <w:bottom w:type="dxa" w:w="50"/>
              <w:right w:type="dxa" w:w="80"/>
            </w:tcMar>
          </w:tcPr>
          <w:p>
            <w:r>
              <w:rPr>
                <w:rFonts w:ascii="Calibri" w:cs="Calibri" w:eastAsia="Calibri" w:hAnsi="Calibri"/>
                <w:b/>
                <w:bCs/>
                <w:color w:val="375623"/>
                <w:sz w:val="18"/>
                <w:szCs w:val="18"/>
              </w:rPr>
              <w:t xml:space="preserve">Management Fee Expense</w:t>
            </w:r>
          </w:p>
        </w:tc>
        <w:tc>
          <w:tcPr>
            <w:tcW w:type="pct" w:w="18%"/>
            <w:shd w:fill="FDE8E8" w:color="FDE8E8" w:val="clear"/>
            <w:tcMar>
              <w:top w:type="dxa" w:w="50"/>
              <w:left w:type="dxa" w:w="80"/>
              <w:bottom w:type="dxa" w:w="50"/>
              <w:right w:type="dxa" w:w="80"/>
            </w:tcMar>
          </w:tcPr>
          <w:p>
            <w:r>
              <w:rPr>
                <w:rFonts w:ascii="Calibri" w:cs="Calibri" w:eastAsia="Calibri" w:hAnsi="Calibri"/>
                <w:b/>
                <w:bCs/>
                <w:color w:val="C00000"/>
                <w:sz w:val="18"/>
                <w:szCs w:val="18"/>
              </w:rPr>
              <w:t xml:space="preserve">Management Fee Payable</w:t>
            </w:r>
          </w:p>
        </w:tc>
      </w:tr>
      <w:tr>
        <w:tc>
          <w:tcPr>
            <w:tcW w:type="pct" w:w="10%"/>
            <w:shd w:fill="F0F4FA" w:color="F0F4FA" w:val="clear"/>
            <w:tcMar>
              <w:top w:type="dxa" w:w="50"/>
              <w:left w:type="dxa" w:w="80"/>
              <w:bottom w:type="dxa" w:w="50"/>
              <w:right w:type="dxa" w:w="80"/>
            </w:tcMar>
          </w:tcPr>
          <w:p>
            <w:r>
              <w:rPr>
                <w:rFonts w:ascii="Calibri" w:cs="Calibri" w:eastAsia="Calibri" w:hAnsi="Calibri"/>
                <w:b/>
                <w:bCs/>
                <w:color w:val="1F3864"/>
                <w:sz w:val="19"/>
                <w:szCs w:val="19"/>
              </w:rPr>
              <w:t xml:space="preserve">Exit date</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Proceeds received</w:t>
            </w:r>
          </w:p>
        </w:tc>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7"/>
                <w:szCs w:val="17"/>
              </w:rPr>
              <w:t xml:space="preserve">PortfolioRealization</w:t>
            </w:r>
          </w:p>
        </w:tc>
        <w:tc>
          <w:tcPr>
            <w:tcW w:type="pct" w:w="12%"/>
            <w:shd w:fill="F2F2F2" w:color="F2F2F2" w:val="clear"/>
            <w:tcMar>
              <w:top w:type="dxa" w:w="50"/>
              <w:left w:type="dxa" w:w="80"/>
              <w:bottom w:type="dxa" w:w="50"/>
              <w:right w:type="dxa" w:w="80"/>
            </w:tcMar>
          </w:tcPr>
          <w:p>
            <w:r>
              <w:rPr>
                <w:rFonts w:ascii="Calibri" w:cs="Calibri" w:eastAsia="Calibri" w:hAnsi="Calibri"/>
                <w:b/>
                <w:bCs/>
                <w:color w:val="404040"/>
                <w:sz w:val="19"/>
                <w:szCs w:val="19"/>
              </w:rPr>
              <w:t xml:space="preserve">Master Fund</w:t>
            </w:r>
          </w:p>
        </w:tc>
        <w:tc>
          <w:tcPr>
            <w:tcW w:type="pct" w:w="18%"/>
            <w:shd w:fill="E6F0EA" w:color="E6F0EA" w:val="clear"/>
            <w:tcMar>
              <w:top w:type="dxa" w:w="50"/>
              <w:left w:type="dxa" w:w="80"/>
              <w:bottom w:type="dxa" w:w="50"/>
              <w:right w:type="dxa" w:w="80"/>
            </w:tcMar>
          </w:tcPr>
          <w:p>
            <w:r>
              <w:rPr>
                <w:rFonts w:ascii="Calibri" w:cs="Calibri" w:eastAsia="Calibri" w:hAnsi="Calibri"/>
                <w:b/>
                <w:bCs/>
                <w:color w:val="375623"/>
                <w:sz w:val="18"/>
                <w:szCs w:val="18"/>
              </w:rPr>
              <w:t xml:space="preserve">Cash &amp; Cash Equivalents</w:t>
            </w:r>
          </w:p>
        </w:tc>
        <w:tc>
          <w:tcPr>
            <w:tcW w:type="pct" w:w="18%"/>
            <w:shd w:fill="FDE8E8" w:color="FDE8E8" w:val="clear"/>
            <w:tcMar>
              <w:top w:type="dxa" w:w="50"/>
              <w:left w:type="dxa" w:w="80"/>
              <w:bottom w:type="dxa" w:w="50"/>
              <w:right w:type="dxa" w:w="80"/>
            </w:tcMar>
          </w:tcPr>
          <w:p>
            <w:r>
              <w:rPr>
                <w:rFonts w:ascii="Calibri" w:cs="Calibri" w:eastAsia="Calibri" w:hAnsi="Calibri"/>
                <w:b/>
                <w:bCs/>
                <w:color w:val="C00000"/>
                <w:sz w:val="18"/>
                <w:szCs w:val="18"/>
              </w:rPr>
              <w:t xml:space="preserve">Investment in Portfolio — Cost</w:t>
            </w:r>
          </w:p>
        </w:tc>
      </w:tr>
      <w:tr>
        <w:tc>
          <w:tcPr>
            <w:tcW w:type="pct" w:w="10%"/>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Exit date</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Book gain</w:t>
            </w:r>
          </w:p>
        </w:tc>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7"/>
                <w:szCs w:val="17"/>
              </w:rPr>
              <w:t xml:space="preserve">RealizedGain</w:t>
            </w:r>
          </w:p>
        </w:tc>
        <w:tc>
          <w:tcPr>
            <w:tcW w:type="pct" w:w="12%"/>
            <w:shd w:fill="F2F2F2" w:color="F2F2F2" w:val="clear"/>
            <w:tcMar>
              <w:top w:type="dxa" w:w="50"/>
              <w:left w:type="dxa" w:w="80"/>
              <w:bottom w:type="dxa" w:w="50"/>
              <w:right w:type="dxa" w:w="80"/>
            </w:tcMar>
          </w:tcPr>
          <w:p>
            <w:r>
              <w:rPr>
                <w:rFonts w:ascii="Calibri" w:cs="Calibri" w:eastAsia="Calibri" w:hAnsi="Calibri"/>
                <w:b/>
                <w:bCs/>
                <w:color w:val="404040"/>
                <w:sz w:val="19"/>
                <w:szCs w:val="19"/>
              </w:rPr>
              <w:t xml:space="preserve">Master Fund</w:t>
            </w:r>
          </w:p>
        </w:tc>
        <w:tc>
          <w:tcPr>
            <w:tcW w:type="pct" w:w="18%"/>
            <w:shd w:fill="E6F0EA" w:color="E6F0EA" w:val="clear"/>
            <w:tcMar>
              <w:top w:type="dxa" w:w="50"/>
              <w:left w:type="dxa" w:w="80"/>
              <w:bottom w:type="dxa" w:w="50"/>
              <w:right w:type="dxa" w:w="80"/>
            </w:tcMar>
          </w:tcPr>
          <w:p>
            <w:r>
              <w:rPr>
                <w:rFonts w:ascii="Calibri" w:cs="Calibri" w:eastAsia="Calibri" w:hAnsi="Calibri"/>
                <w:b/>
                <w:bCs/>
                <w:color w:val="375623"/>
                <w:sz w:val="18"/>
                <w:szCs w:val="18"/>
              </w:rPr>
              <w:t xml:space="preserve">Realized Gain on Investment</w:t>
            </w:r>
          </w:p>
        </w:tc>
        <w:tc>
          <w:tcPr>
            <w:tcW w:type="pct" w:w="18%"/>
            <w:shd w:fill="FDE8E8" w:color="FDE8E8" w:val="clear"/>
            <w:tcMar>
              <w:top w:type="dxa" w:w="50"/>
              <w:left w:type="dxa" w:w="80"/>
              <w:bottom w:type="dxa" w:w="50"/>
              <w:right w:type="dxa" w:w="80"/>
            </w:tcMar>
          </w:tcPr>
          <w:p>
            <w:r>
              <w:rPr>
                <w:rFonts w:ascii="Calibri" w:cs="Calibri" w:eastAsia="Calibri" w:hAnsi="Calibri"/>
                <w:b/>
                <w:bCs/>
                <w:color w:val="C00000"/>
                <w:sz w:val="18"/>
                <w:szCs w:val="18"/>
              </w:rPr>
              <w:t xml:space="preserve">Realized Gain on Investment</w:t>
            </w:r>
          </w:p>
        </w:tc>
      </w:tr>
      <w:tr>
        <w:tc>
          <w:tcPr>
            <w:tcW w:type="pct" w:w="10%"/>
            <w:shd w:fill="F0F4FA" w:color="F0F4FA" w:val="clear"/>
            <w:tcMar>
              <w:top w:type="dxa" w:w="50"/>
              <w:left w:type="dxa" w:w="80"/>
              <w:bottom w:type="dxa" w:w="50"/>
              <w:right w:type="dxa" w:w="80"/>
            </w:tcMar>
          </w:tcPr>
          <w:p>
            <w:r>
              <w:rPr>
                <w:rFonts w:ascii="Calibri" w:cs="Calibri" w:eastAsia="Calibri" w:hAnsi="Calibri"/>
                <w:b/>
                <w:bCs/>
                <w:color w:val="1F3864"/>
                <w:sz w:val="19"/>
                <w:szCs w:val="19"/>
              </w:rPr>
              <w:t xml:space="preserve">Dist date</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Declare distribution</w:t>
            </w:r>
          </w:p>
        </w:tc>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7"/>
                <w:szCs w:val="17"/>
              </w:rPr>
              <w:t xml:space="preserve">DistributionPayable</w:t>
            </w:r>
          </w:p>
        </w:tc>
        <w:tc>
          <w:tcPr>
            <w:tcW w:type="pct" w:w="12%"/>
            <w:shd w:fill="F2F2F2" w:color="F2F2F2" w:val="clear"/>
            <w:tcMar>
              <w:top w:type="dxa" w:w="50"/>
              <w:left w:type="dxa" w:w="80"/>
              <w:bottom w:type="dxa" w:w="50"/>
              <w:right w:type="dxa" w:w="80"/>
            </w:tcMar>
          </w:tcPr>
          <w:p>
            <w:r>
              <w:rPr>
                <w:rFonts w:ascii="Calibri" w:cs="Calibri" w:eastAsia="Calibri" w:hAnsi="Calibri"/>
                <w:b/>
                <w:bCs/>
                <w:color w:val="404040"/>
                <w:sz w:val="19"/>
                <w:szCs w:val="19"/>
              </w:rPr>
              <w:t xml:space="preserve">Master Fund</w:t>
            </w:r>
          </w:p>
        </w:tc>
        <w:tc>
          <w:tcPr>
            <w:tcW w:type="pct" w:w="18%"/>
            <w:shd w:fill="E6F0EA" w:color="E6F0EA" w:val="clear"/>
            <w:tcMar>
              <w:top w:type="dxa" w:w="50"/>
              <w:left w:type="dxa" w:w="80"/>
              <w:bottom w:type="dxa" w:w="50"/>
              <w:right w:type="dxa" w:w="80"/>
            </w:tcMar>
          </w:tcPr>
          <w:p>
            <w:r>
              <w:rPr>
                <w:rFonts w:ascii="Calibri" w:cs="Calibri" w:eastAsia="Calibri" w:hAnsi="Calibri"/>
                <w:b/>
                <w:bCs/>
                <w:color w:val="375623"/>
                <w:sz w:val="18"/>
                <w:szCs w:val="18"/>
              </w:rPr>
              <w:t xml:space="preserve">LP Capital Account</w:t>
            </w:r>
          </w:p>
        </w:tc>
        <w:tc>
          <w:tcPr>
            <w:tcW w:type="pct" w:w="18%"/>
            <w:shd w:fill="FDE8E8" w:color="FDE8E8" w:val="clear"/>
            <w:tcMar>
              <w:top w:type="dxa" w:w="50"/>
              <w:left w:type="dxa" w:w="80"/>
              <w:bottom w:type="dxa" w:w="50"/>
              <w:right w:type="dxa" w:w="80"/>
            </w:tcMar>
          </w:tcPr>
          <w:p>
            <w:r>
              <w:rPr>
                <w:rFonts w:ascii="Calibri" w:cs="Calibri" w:eastAsia="Calibri" w:hAnsi="Calibri"/>
                <w:b/>
                <w:bCs/>
                <w:color w:val="C00000"/>
                <w:sz w:val="18"/>
                <w:szCs w:val="18"/>
              </w:rPr>
              <w:t xml:space="preserve">Distribution Payable</w:t>
            </w:r>
          </w:p>
        </w:tc>
      </w:tr>
      <w:tr>
        <w:tc>
          <w:tcPr>
            <w:tcW w:type="pct" w:w="10%"/>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Dist date</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Pay distribution wire</w:t>
            </w:r>
          </w:p>
        </w:tc>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7"/>
                <w:szCs w:val="17"/>
              </w:rPr>
              <w:t xml:space="preserve">DistributionPayment</w:t>
            </w:r>
          </w:p>
        </w:tc>
        <w:tc>
          <w:tcPr>
            <w:tcW w:type="pct" w:w="12%"/>
            <w:shd w:fill="F2F2F2" w:color="F2F2F2" w:val="clear"/>
            <w:tcMar>
              <w:top w:type="dxa" w:w="50"/>
              <w:left w:type="dxa" w:w="80"/>
              <w:bottom w:type="dxa" w:w="50"/>
              <w:right w:type="dxa" w:w="80"/>
            </w:tcMar>
          </w:tcPr>
          <w:p>
            <w:r>
              <w:rPr>
                <w:rFonts w:ascii="Calibri" w:cs="Calibri" w:eastAsia="Calibri" w:hAnsi="Calibri"/>
                <w:b/>
                <w:bCs/>
                <w:color w:val="404040"/>
                <w:sz w:val="19"/>
                <w:szCs w:val="19"/>
              </w:rPr>
              <w:t xml:space="preserve">Master Fund / Feeder</w:t>
            </w:r>
          </w:p>
        </w:tc>
        <w:tc>
          <w:tcPr>
            <w:tcW w:type="pct" w:w="18%"/>
            <w:shd w:fill="E6F0EA" w:color="E6F0EA" w:val="clear"/>
            <w:tcMar>
              <w:top w:type="dxa" w:w="50"/>
              <w:left w:type="dxa" w:w="80"/>
              <w:bottom w:type="dxa" w:w="50"/>
              <w:right w:type="dxa" w:w="80"/>
            </w:tcMar>
          </w:tcPr>
          <w:p>
            <w:r>
              <w:rPr>
                <w:rFonts w:ascii="Calibri" w:cs="Calibri" w:eastAsia="Calibri" w:hAnsi="Calibri"/>
                <w:b/>
                <w:bCs/>
                <w:color w:val="375623"/>
                <w:sz w:val="18"/>
                <w:szCs w:val="18"/>
              </w:rPr>
              <w:t xml:space="preserve">Distribution Payable</w:t>
            </w:r>
          </w:p>
        </w:tc>
        <w:tc>
          <w:tcPr>
            <w:tcW w:type="pct" w:w="18%"/>
            <w:shd w:fill="FDE8E8" w:color="FDE8E8" w:val="clear"/>
            <w:tcMar>
              <w:top w:type="dxa" w:w="50"/>
              <w:left w:type="dxa" w:w="80"/>
              <w:bottom w:type="dxa" w:w="50"/>
              <w:right w:type="dxa" w:w="80"/>
            </w:tcMar>
          </w:tcPr>
          <w:p>
            <w:r>
              <w:rPr>
                <w:rFonts w:ascii="Calibri" w:cs="Calibri" w:eastAsia="Calibri" w:hAnsi="Calibri"/>
                <w:b/>
                <w:bCs/>
                <w:color w:val="C00000"/>
                <w:sz w:val="18"/>
                <w:szCs w:val="18"/>
              </w:rPr>
              <w:t xml:space="preserve">Cash &amp; Cash Equivalents</w:t>
            </w:r>
          </w:p>
        </w:tc>
      </w:tr>
      <w:tr>
        <w:tc>
          <w:tcPr>
            <w:tcW w:type="pct" w:w="10%"/>
            <w:shd w:fill="F0F4FA" w:color="F0F4FA" w:val="clear"/>
            <w:tcMar>
              <w:top w:type="dxa" w:w="50"/>
              <w:left w:type="dxa" w:w="80"/>
              <w:bottom w:type="dxa" w:w="50"/>
              <w:right w:type="dxa" w:w="80"/>
            </w:tcMar>
          </w:tcPr>
          <w:p>
            <w:r>
              <w:rPr>
                <w:rFonts w:ascii="Calibri" w:cs="Calibri" w:eastAsia="Calibri" w:hAnsi="Calibri"/>
                <w:b/>
                <w:bCs/>
                <w:color w:val="1F3864"/>
                <w:sz w:val="19"/>
                <w:szCs w:val="19"/>
              </w:rPr>
              <w:t xml:space="preserve">Carry date</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Book carry liability</w:t>
            </w:r>
          </w:p>
        </w:tc>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7"/>
                <w:szCs w:val="17"/>
              </w:rPr>
              <w:t xml:space="preserve">CarryAccrual</w:t>
            </w:r>
          </w:p>
        </w:tc>
        <w:tc>
          <w:tcPr>
            <w:tcW w:type="pct" w:w="12%"/>
            <w:shd w:fill="F2F2F2" w:color="F2F2F2" w:val="clear"/>
            <w:tcMar>
              <w:top w:type="dxa" w:w="50"/>
              <w:left w:type="dxa" w:w="80"/>
              <w:bottom w:type="dxa" w:w="50"/>
              <w:right w:type="dxa" w:w="80"/>
            </w:tcMar>
          </w:tcPr>
          <w:p>
            <w:r>
              <w:rPr>
                <w:rFonts w:ascii="Calibri" w:cs="Calibri" w:eastAsia="Calibri" w:hAnsi="Calibri"/>
                <w:b/>
                <w:bCs/>
                <w:color w:val="404040"/>
                <w:sz w:val="19"/>
                <w:szCs w:val="19"/>
              </w:rPr>
              <w:t xml:space="preserve">Master Fund</w:t>
            </w:r>
          </w:p>
        </w:tc>
        <w:tc>
          <w:tcPr>
            <w:tcW w:type="pct" w:w="18%"/>
            <w:shd w:fill="E6F0EA" w:color="E6F0EA" w:val="clear"/>
            <w:tcMar>
              <w:top w:type="dxa" w:w="50"/>
              <w:left w:type="dxa" w:w="80"/>
              <w:bottom w:type="dxa" w:w="50"/>
              <w:right w:type="dxa" w:w="80"/>
            </w:tcMar>
          </w:tcPr>
          <w:p>
            <w:r>
              <w:rPr>
                <w:rFonts w:ascii="Calibri" w:cs="Calibri" w:eastAsia="Calibri" w:hAnsi="Calibri"/>
                <w:b/>
                <w:bCs/>
                <w:color w:val="375623"/>
                <w:sz w:val="18"/>
                <w:szCs w:val="18"/>
              </w:rPr>
              <w:t xml:space="preserve">Carried Interest Expense</w:t>
            </w:r>
          </w:p>
        </w:tc>
        <w:tc>
          <w:tcPr>
            <w:tcW w:type="pct" w:w="18%"/>
            <w:shd w:fill="FDE8E8" w:color="FDE8E8" w:val="clear"/>
            <w:tcMar>
              <w:top w:type="dxa" w:w="50"/>
              <w:left w:type="dxa" w:w="80"/>
              <w:bottom w:type="dxa" w:w="50"/>
              <w:right w:type="dxa" w:w="80"/>
            </w:tcMar>
          </w:tcPr>
          <w:p>
            <w:r>
              <w:rPr>
                <w:rFonts w:ascii="Calibri" w:cs="Calibri" w:eastAsia="Calibri" w:hAnsi="Calibri"/>
                <w:b/>
                <w:bCs/>
                <w:color w:val="C00000"/>
                <w:sz w:val="18"/>
                <w:szCs w:val="18"/>
              </w:rPr>
              <w:t xml:space="preserve">Carried Interest Payable</w:t>
            </w:r>
          </w:p>
        </w:tc>
      </w:tr>
      <w:tr>
        <w:tc>
          <w:tcPr>
            <w:tcW w:type="pct" w:w="10%"/>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Carry date</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Pay carry to GP</w:t>
            </w:r>
          </w:p>
        </w:tc>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7"/>
                <w:szCs w:val="17"/>
              </w:rPr>
              <w:t xml:space="preserve">CarryPayment</w:t>
            </w:r>
          </w:p>
        </w:tc>
        <w:tc>
          <w:tcPr>
            <w:tcW w:type="pct" w:w="12%"/>
            <w:shd w:fill="F2F2F2" w:color="F2F2F2" w:val="clear"/>
            <w:tcMar>
              <w:top w:type="dxa" w:w="50"/>
              <w:left w:type="dxa" w:w="80"/>
              <w:bottom w:type="dxa" w:w="50"/>
              <w:right w:type="dxa" w:w="80"/>
            </w:tcMar>
          </w:tcPr>
          <w:p>
            <w:r>
              <w:rPr>
                <w:rFonts w:ascii="Calibri" w:cs="Calibri" w:eastAsia="Calibri" w:hAnsi="Calibri"/>
                <w:b/>
                <w:bCs/>
                <w:color w:val="404040"/>
                <w:sz w:val="19"/>
                <w:szCs w:val="19"/>
              </w:rPr>
              <w:t xml:space="preserve">Master Fund</w:t>
            </w:r>
          </w:p>
        </w:tc>
        <w:tc>
          <w:tcPr>
            <w:tcW w:type="pct" w:w="18%"/>
            <w:shd w:fill="E6F0EA" w:color="E6F0EA" w:val="clear"/>
            <w:tcMar>
              <w:top w:type="dxa" w:w="50"/>
              <w:left w:type="dxa" w:w="80"/>
              <w:bottom w:type="dxa" w:w="50"/>
              <w:right w:type="dxa" w:w="80"/>
            </w:tcMar>
          </w:tcPr>
          <w:p>
            <w:r>
              <w:rPr>
                <w:rFonts w:ascii="Calibri" w:cs="Calibri" w:eastAsia="Calibri" w:hAnsi="Calibri"/>
                <w:b/>
                <w:bCs/>
                <w:color w:val="375623"/>
                <w:sz w:val="18"/>
                <w:szCs w:val="18"/>
              </w:rPr>
              <w:t xml:space="preserve">Carried Interest Payable</w:t>
            </w:r>
          </w:p>
        </w:tc>
        <w:tc>
          <w:tcPr>
            <w:tcW w:type="pct" w:w="18%"/>
            <w:shd w:fill="FDE8E8" w:color="FDE8E8" w:val="clear"/>
            <w:tcMar>
              <w:top w:type="dxa" w:w="50"/>
              <w:left w:type="dxa" w:w="80"/>
              <w:bottom w:type="dxa" w:w="50"/>
              <w:right w:type="dxa" w:w="80"/>
            </w:tcMar>
          </w:tcPr>
          <w:p>
            <w:r>
              <w:rPr>
                <w:rFonts w:ascii="Calibri" w:cs="Calibri" w:eastAsia="Calibri" w:hAnsi="Calibri"/>
                <w:b/>
                <w:bCs/>
                <w:color w:val="C00000"/>
                <w:sz w:val="18"/>
                <w:szCs w:val="18"/>
              </w:rPr>
              <w:t xml:space="preserve">Cash &amp; Cash Equivalents</w:t>
            </w:r>
          </w:p>
        </w:tc>
      </w:tr>
    </w:tbl>
    <w:p>
      <w:pPr>
        <w:spacing w:after="160" w:before="0"/>
      </w:pPr>
      <w:r>
        <w:t xml:space="preserve"/>
      </w:r>
    </w:p>
    <w:p>
      <w:pPr>
        <w:pStyle w:val="Heading2"/>
        <w:spacing w:after="120" w:before="320"/>
      </w:pPr>
      <w:r>
        <w:t xml:space="preserve">J.4  Platform Comparison — AMC Model vs. Industry Systems</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gridCol w:w="100"/>
      </w:tblGrid>
      <w:tr>
        <w:trPr>
          <w:tblHeader/>
        </w:trPr>
        <w:tc>
          <w:tcPr>
            <w:tcW w:type="pct" w:w="22%"/>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AMC Model Type</w:t>
            </w:r>
          </w:p>
        </w:tc>
        <w:tc>
          <w:tcPr>
            <w:tcW w:type="pct" w:w="22%"/>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SS&amp;C Investran</w:t>
            </w:r>
          </w:p>
        </w:tc>
        <w:tc>
          <w:tcPr>
            <w:tcW w:type="pct" w:w="16%"/>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SS&amp;C Geneva</w:t>
            </w:r>
          </w:p>
        </w:tc>
        <w:tc>
          <w:tcPr>
            <w:tcW w:type="pct" w:w="2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iCapital</w:t>
            </w:r>
          </w:p>
        </w:tc>
        <w:tc>
          <w:tcPr>
            <w:tcW w:type="pct" w:w="2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Lifecycle Stage</w:t>
            </w:r>
          </w:p>
        </w:tc>
      </w:tr>
      <w:tr>
        <w:tc>
          <w:tcPr>
            <w:tcW w:type="pct" w:w="22%"/>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CapitalCallReceivable</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Capital Call — Receivable</w:t>
            </w:r>
          </w:p>
        </w:tc>
        <w:tc>
          <w:tcPr>
            <w:tcW w:type="pct" w:w="16%"/>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CCRECV</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Capital Call notification</w:t>
            </w:r>
          </w:p>
        </w:tc>
        <w:tc>
          <w:tcPr>
            <w:tcW w:type="pct" w:w="20%"/>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Fundraising</w:t>
            </w:r>
          </w:p>
        </w:tc>
      </w:tr>
      <w:tr>
        <w:tc>
          <w:tcPr>
            <w:tcW w:type="pct" w:w="22%"/>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CashReceipt</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Capital Call — Receipt</w:t>
            </w:r>
          </w:p>
        </w:tc>
        <w:tc>
          <w:tcPr>
            <w:tcW w:type="pct" w:w="16%"/>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CONTRIB/SUB</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Capital Call Payment</w:t>
            </w:r>
          </w:p>
        </w:tc>
        <w:tc>
          <w:tcPr>
            <w:tcW w:type="pct" w:w="20%"/>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Fundraising</w:t>
            </w:r>
          </w:p>
        </w:tc>
      </w:tr>
      <w:tr>
        <w:tc>
          <w:tcPr>
            <w:tcW w:type="pct" w:w="22%"/>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InvestmentInMasterFund</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Feeder Contribution</w:t>
            </w:r>
          </w:p>
        </w:tc>
        <w:tc>
          <w:tcPr>
            <w:tcW w:type="pct" w:w="16%"/>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XFER</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N/A (internal)</w:t>
            </w:r>
          </w:p>
        </w:tc>
        <w:tc>
          <w:tcPr>
            <w:tcW w:type="pct" w:w="20%"/>
            <w:shd w:fill="E6F0EA" w:color="E6F0EA" w:val="clear"/>
            <w:tcMar>
              <w:top w:type="dxa" w:w="50"/>
              <w:left w:type="dxa" w:w="80"/>
              <w:bottom w:type="dxa" w:w="50"/>
              <w:right w:type="dxa" w:w="80"/>
            </w:tcMar>
          </w:tcPr>
          <w:p>
            <w:r>
              <w:rPr>
                <w:rFonts w:ascii="Calibri" w:cs="Calibri" w:eastAsia="Calibri" w:hAnsi="Calibri"/>
                <w:b/>
                <w:bCs/>
                <w:color w:val="375623"/>
                <w:sz w:val="19"/>
                <w:szCs w:val="19"/>
              </w:rPr>
              <w:t xml:space="preserve">Capital Movement</w:t>
            </w:r>
          </w:p>
        </w:tc>
      </w:tr>
      <w:tr>
        <w:tc>
          <w:tcPr>
            <w:tcW w:type="pct" w:w="22%"/>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CapitalFromFeeder</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Master Fund Receipt</w:t>
            </w:r>
          </w:p>
        </w:tc>
        <w:tc>
          <w:tcPr>
            <w:tcW w:type="pct" w:w="16%"/>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CONTRIB</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N/A (internal)</w:t>
            </w:r>
          </w:p>
        </w:tc>
        <w:tc>
          <w:tcPr>
            <w:tcW w:type="pct" w:w="20%"/>
            <w:shd w:fill="E6F0EA" w:color="E6F0EA" w:val="clear"/>
            <w:tcMar>
              <w:top w:type="dxa" w:w="50"/>
              <w:left w:type="dxa" w:w="80"/>
              <w:bottom w:type="dxa" w:w="50"/>
              <w:right w:type="dxa" w:w="80"/>
            </w:tcMar>
          </w:tcPr>
          <w:p>
            <w:r>
              <w:rPr>
                <w:rFonts w:ascii="Calibri" w:cs="Calibri" w:eastAsia="Calibri" w:hAnsi="Calibri"/>
                <w:b/>
                <w:bCs/>
                <w:color w:val="375623"/>
                <w:sz w:val="19"/>
                <w:szCs w:val="19"/>
              </w:rPr>
              <w:t xml:space="preserve">Capital Movement</w:t>
            </w:r>
          </w:p>
        </w:tc>
      </w:tr>
      <w:tr>
        <w:tc>
          <w:tcPr>
            <w:tcW w:type="pct" w:w="22%"/>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PortfolioDeployment</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Contribution to Portfolio Co.</w:t>
            </w:r>
          </w:p>
        </w:tc>
        <w:tc>
          <w:tcPr>
            <w:tcW w:type="pct" w:w="16%"/>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BUY</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N/A</w:t>
            </w:r>
          </w:p>
        </w:tc>
        <w:tc>
          <w:tcPr>
            <w:tcW w:type="pct" w:w="20%"/>
            <w:shd w:fill="FDF3E7" w:color="FDF3E7" w:val="clear"/>
            <w:tcMar>
              <w:top w:type="dxa" w:w="50"/>
              <w:left w:type="dxa" w:w="80"/>
              <w:bottom w:type="dxa" w:w="50"/>
              <w:right w:type="dxa" w:w="80"/>
            </w:tcMar>
          </w:tcPr>
          <w:p>
            <w:r>
              <w:rPr>
                <w:rFonts w:ascii="Calibri" w:cs="Calibri" w:eastAsia="Calibri" w:hAnsi="Calibri"/>
                <w:b/>
                <w:bCs/>
                <w:color w:val="C55A11"/>
                <w:sz w:val="19"/>
                <w:szCs w:val="19"/>
              </w:rPr>
              <w:t xml:space="preserve">Investment</w:t>
            </w:r>
          </w:p>
        </w:tc>
      </w:tr>
      <w:tr>
        <w:tc>
          <w:tcPr>
            <w:tcW w:type="pct" w:w="22%"/>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PortfolioRealization</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Realization Receipt</w:t>
            </w:r>
          </w:p>
        </w:tc>
        <w:tc>
          <w:tcPr>
            <w:tcW w:type="pct" w:w="16%"/>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SELL</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N/A</w:t>
            </w:r>
          </w:p>
        </w:tc>
        <w:tc>
          <w:tcPr>
            <w:tcW w:type="pct" w:w="20%"/>
            <w:shd w:fill="FDE8E8" w:color="FDE8E8" w:val="clear"/>
            <w:tcMar>
              <w:top w:type="dxa" w:w="50"/>
              <w:left w:type="dxa" w:w="80"/>
              <w:bottom w:type="dxa" w:w="50"/>
              <w:right w:type="dxa" w:w="80"/>
            </w:tcMar>
          </w:tcPr>
          <w:p>
            <w:r>
              <w:rPr>
                <w:rFonts w:ascii="Calibri" w:cs="Calibri" w:eastAsia="Calibri" w:hAnsi="Calibri"/>
                <w:b/>
                <w:bCs/>
                <w:color w:val="C00000"/>
                <w:sz w:val="19"/>
                <w:szCs w:val="19"/>
              </w:rPr>
              <w:t xml:space="preserve">Exit</w:t>
            </w:r>
          </w:p>
        </w:tc>
      </w:tr>
      <w:tr>
        <w:tc>
          <w:tcPr>
            <w:tcW w:type="pct" w:w="22%"/>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RealizedGain</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Realized Gain/(Loss)</w:t>
            </w:r>
          </w:p>
        </w:tc>
        <w:tc>
          <w:tcPr>
            <w:tcW w:type="pct" w:w="16%"/>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SELL P&amp;L leg</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N/A</w:t>
            </w:r>
          </w:p>
        </w:tc>
        <w:tc>
          <w:tcPr>
            <w:tcW w:type="pct" w:w="20%"/>
            <w:shd w:fill="FDE8E8" w:color="FDE8E8" w:val="clear"/>
            <w:tcMar>
              <w:top w:type="dxa" w:w="50"/>
              <w:left w:type="dxa" w:w="80"/>
              <w:bottom w:type="dxa" w:w="50"/>
              <w:right w:type="dxa" w:w="80"/>
            </w:tcMar>
          </w:tcPr>
          <w:p>
            <w:r>
              <w:rPr>
                <w:rFonts w:ascii="Calibri" w:cs="Calibri" w:eastAsia="Calibri" w:hAnsi="Calibri"/>
                <w:b/>
                <w:bCs/>
                <w:color w:val="C00000"/>
                <w:sz w:val="19"/>
                <w:szCs w:val="19"/>
              </w:rPr>
              <w:t xml:space="preserve">Exit</w:t>
            </w:r>
          </w:p>
        </w:tc>
      </w:tr>
      <w:tr>
        <w:tc>
          <w:tcPr>
            <w:tcW w:type="pct" w:w="22%"/>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DistributionPayable</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Distribution — ROC/Gain</w:t>
            </w:r>
          </w:p>
        </w:tc>
        <w:tc>
          <w:tcPr>
            <w:tcW w:type="pct" w:w="16%"/>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DISTRIB</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Distribution notification</w:t>
            </w:r>
          </w:p>
        </w:tc>
        <w:tc>
          <w:tcPr>
            <w:tcW w:type="pct" w:w="20%"/>
            <w:shd w:fill="F3E8F7" w:color="F3E8F7" w:val="clear"/>
            <w:tcMar>
              <w:top w:type="dxa" w:w="50"/>
              <w:left w:type="dxa" w:w="80"/>
              <w:bottom w:type="dxa" w:w="50"/>
              <w:right w:type="dxa" w:w="80"/>
            </w:tcMar>
          </w:tcPr>
          <w:p>
            <w:r>
              <w:rPr>
                <w:rFonts w:ascii="Calibri" w:cs="Calibri" w:eastAsia="Calibri" w:hAnsi="Calibri"/>
                <w:b/>
                <w:bCs/>
                <w:color w:val="7030A0"/>
                <w:sz w:val="19"/>
                <w:szCs w:val="19"/>
              </w:rPr>
              <w:t xml:space="preserve">Distribution</w:t>
            </w:r>
          </w:p>
        </w:tc>
      </w:tr>
      <w:tr>
        <w:tc>
          <w:tcPr>
            <w:tcW w:type="pct" w:w="22%"/>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CarryPayment</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Carried Interest — Payment</w:t>
            </w:r>
          </w:p>
        </w:tc>
        <w:tc>
          <w:tcPr>
            <w:tcW w:type="pct" w:w="16%"/>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DISTRIB carry</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N/A (GP only)</w:t>
            </w:r>
          </w:p>
        </w:tc>
        <w:tc>
          <w:tcPr>
            <w:tcW w:type="pct" w:w="20%"/>
            <w:shd w:fill="F3E8F7" w:color="F3E8F7" w:val="clear"/>
            <w:tcMar>
              <w:top w:type="dxa" w:w="50"/>
              <w:left w:type="dxa" w:w="80"/>
              <w:bottom w:type="dxa" w:w="50"/>
              <w:right w:type="dxa" w:w="80"/>
            </w:tcMar>
          </w:tcPr>
          <w:p>
            <w:r>
              <w:rPr>
                <w:rFonts w:ascii="Calibri" w:cs="Calibri" w:eastAsia="Calibri" w:hAnsi="Calibri"/>
                <w:b/>
                <w:bCs/>
                <w:color w:val="7030A0"/>
                <w:sz w:val="19"/>
                <w:szCs w:val="19"/>
              </w:rPr>
              <w:t xml:space="preserve">Carry</w:t>
            </w:r>
          </w:p>
        </w:tc>
      </w:tr>
    </w:tbl>
    <w:p>
      <w:pPr>
        <w:spacing w:after="160" w:before="0"/>
      </w:pPr>
      <w:r>
        <w:t xml:space="preserve"/>
      </w:r>
    </w:p>
    <w:p>
      <w:pPr>
        <w:spacing w:after="120" w:before="0"/>
      </w:pPr>
      <w:r>
        <w:rPr>
          <w:rFonts w:ascii="Calibri" w:cs="Calibri" w:eastAsia="Calibri" w:hAnsi="Calibri"/>
          <w:color w:val="404040"/>
          <w:sz w:val="22"/>
          <w:szCs w:val="22"/>
        </w:rPr>
        <w:t xml:space="preserve">Note: iCapital operates as a distribution and subscription platform — it handles LP-facing events (call notifications, distribution notices, NAV statements) but does not maintain the fund's GL. SS&amp;C Investran is purpose-built for PE closed-end fund accounting and is the primary system of record. SS&amp;C Geneva is typically used for liquid alternatives and hedge funds but is also deployed for PE reporting and look-through. In a typical AMC Capital setup, iCapital feeds subscription and call data into Investran via API, and Investran exports to a data warehouse for multi-fund reporting.</w:t>
      </w:r>
    </w:p>
    <w:p>
      <w:pPr>
        <w:spacing w:after="160" w:before="0"/>
      </w:pPr>
      <w:r>
        <w:t xml:space="preserve"/>
      </w:r>
    </w:p>
    <w:p>
      <w:pPr>
        <w:pStyle w:val="Heading1"/>
        <w:spacing w:after="160" w:before="480"/>
      </w:pPr>
      <w:r>
        <w:t xml:space="preserve">Appendix K — How DST (SS&amp;C DST) Records Fit the AMC Data Model</w:t>
      </w:r>
    </w:p>
    <w:p>
      <w:pPr>
        <w:spacing w:after="120" w:before="0"/>
      </w:pPr>
      <w:r>
        <w:rPr>
          <w:rFonts w:ascii="Calibri" w:cs="Calibri" w:eastAsia="Calibri" w:hAnsi="Calibri"/>
          <w:color w:val="404040"/>
          <w:sz w:val="22"/>
          <w:szCs w:val="22"/>
        </w:rPr>
        <w:t xml:space="preserve">SS&amp;C DST (formerly DST Systems) is the dominant transfer agent platform for both retail-distributed alternative funds and institutional closed-end PE funds in the United States. This appendix decodes the DST trade record format, maps every field to the AMC Capital data model, shows how to identify closed-end PE transactions within a DST feed, and explains where the DST record sits in the overall fund data flow.</w:t>
      </w:r>
    </w:p>
    <w:p>
      <w:pPr>
        <w:spacing w:after="160" w:before="0"/>
      </w:pPr>
      <w:r>
        <w:t xml:space="preserve"/>
      </w:r>
    </w:p>
    <w:p>
      <w:pPr>
        <w:pStyle w:val="Heading2"/>
        <w:spacing w:after="120" w:before="320"/>
      </w:pPr>
      <w:r>
        <w:t xml:space="preserve">K.1  What is SS&amp;C DST and Where Does It Fit?</w:t>
      </w:r>
    </w:p>
    <w:p>
      <w:pPr>
        <w:spacing w:after="120" w:before="0"/>
      </w:pPr>
      <w:r>
        <w:rPr>
          <w:rFonts w:ascii="Calibri" w:cs="Calibri" w:eastAsia="Calibri" w:hAnsi="Calibri"/>
          <w:color w:val="404040"/>
          <w:sz w:val="22"/>
          <w:szCs w:val="22"/>
        </w:rPr>
        <w:t xml:space="preserve">DST Systems (now SS&amp;C DST) is the transfer agent technology platform used by thousands of US mutual funds, alternative funds, and PE vehicles. The TA uses DST to maintain the LP/shareholder register, process subscriptions and redemptions, issue capital call and distribution notices, and produce investor statements.</w:t>
      </w:r>
    </w:p>
    <w:p>
      <w:pPr>
        <w:spacing w:after="160" w:before="0"/>
      </w:pPr>
      <w:r>
        <w:t xml:space="preserve"/>
      </w:r>
    </w:p>
    <w:p>
      <w:pPr>
        <w:spacing w:after="120" w:before="0"/>
      </w:pPr>
      <w:r>
        <w:rPr>
          <w:rFonts w:ascii="Calibri" w:cs="Calibri" w:eastAsia="Calibri" w:hAnsi="Calibri"/>
          <w:color w:val="404040"/>
          <w:sz w:val="22"/>
          <w:szCs w:val="22"/>
        </w:rPr>
        <w:t xml:space="preserve">In the AMC Capital structure, DST sits between the investor / distribution platform and the fund administrator's general ledger:</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tblGrid>
      <w:tr>
        <w:trPr>
          <w:tblHeader/>
        </w:trPr>
        <w:tc>
          <w:tcPr>
            <w:tcW w:type="pct" w:w="2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Layer</w:t>
            </w:r>
          </w:p>
        </w:tc>
        <w:tc>
          <w:tcPr>
            <w:tcW w:type="pct" w:w="3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System / Entity</w:t>
            </w:r>
          </w:p>
        </w:tc>
        <w:tc>
          <w:tcPr>
            <w:tcW w:type="pct" w:w="4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Role</w:t>
            </w:r>
          </w:p>
        </w:tc>
      </w:tr>
      <w:tr>
        <w:tc>
          <w:tcPr>
            <w:tcW w:type="pct" w:w="20%"/>
            <w:shd w:fill="1F3864" w:color="1F3864" w:val="clear"/>
            <w:tcMar>
              <w:top w:type="dxa" w:w="50"/>
              <w:left w:type="dxa" w:w="80"/>
              <w:bottom w:type="dxa" w:w="50"/>
              <w:right w:type="dxa" w:w="80"/>
            </w:tcMar>
          </w:tcPr>
          <w:p>
            <w:r>
              <w:rPr>
                <w:rFonts w:ascii="Calibri" w:cs="Calibri" w:eastAsia="Calibri" w:hAnsi="Calibri"/>
                <w:b/>
                <w:bCs/>
                <w:color w:val="FFFFFF"/>
                <w:sz w:val="19"/>
                <w:szCs w:val="19"/>
              </w:rPr>
              <w:t xml:space="preserve">1 — Investor</w:t>
            </w:r>
          </w:p>
        </w:tc>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LP / Wirehouse / Platform</w:t>
            </w:r>
          </w:p>
        </w:tc>
        <w:tc>
          <w:tcPr>
            <w:tcW w:type="pct" w:w="45%"/>
            <w:tcMar>
              <w:top w:type="dxa" w:w="50"/>
              <w:left w:type="dxa" w:w="80"/>
              <w:bottom w:type="dxa" w:w="50"/>
              <w:right w:type="dxa" w:w="80"/>
            </w:tcMar>
          </w:tcPr>
          <w:p>
            <w:r>
              <w:rPr>
                <w:rFonts w:ascii="Calibri" w:cs="Calibri" w:eastAsia="Calibri" w:hAnsi="Calibri"/>
                <w:color w:val="404040"/>
                <w:sz w:val="19"/>
                <w:szCs w:val="19"/>
              </w:rPr>
              <w:t xml:space="preserve">Initiates subscription or wire payment</w:t>
            </w:r>
          </w:p>
        </w:tc>
      </w:tr>
      <w:tr>
        <w:tc>
          <w:tcPr>
            <w:tcW w:type="pct" w:w="20%"/>
            <w:shd w:fill="2F5496" w:color="2F5496" w:val="clear"/>
            <w:tcMar>
              <w:top w:type="dxa" w:w="50"/>
              <w:left w:type="dxa" w:w="80"/>
              <w:bottom w:type="dxa" w:w="50"/>
              <w:right w:type="dxa" w:w="80"/>
            </w:tcMar>
          </w:tcPr>
          <w:p>
            <w:r>
              <w:rPr>
                <w:rFonts w:ascii="Calibri" w:cs="Calibri" w:eastAsia="Calibri" w:hAnsi="Calibri"/>
                <w:b/>
                <w:bCs/>
                <w:color w:val="FFFFFF"/>
                <w:sz w:val="19"/>
                <w:szCs w:val="19"/>
              </w:rPr>
              <w:t xml:space="preserve">2 — Distribution</w:t>
            </w:r>
          </w:p>
        </w:tc>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iCapital / CAIS / LPL / Fidelity</w:t>
            </w:r>
          </w:p>
        </w:tc>
        <w:tc>
          <w:tcPr>
            <w:tcW w:type="pct" w:w="45%"/>
            <w:tcMar>
              <w:top w:type="dxa" w:w="50"/>
              <w:left w:type="dxa" w:w="80"/>
              <w:bottom w:type="dxa" w:w="50"/>
              <w:right w:type="dxa" w:w="80"/>
            </w:tcMar>
          </w:tcPr>
          <w:p>
            <w:r>
              <w:rPr>
                <w:rFonts w:ascii="Calibri" w:cs="Calibri" w:eastAsia="Calibri" w:hAnsi="Calibri"/>
                <w:color w:val="404040"/>
                <w:sz w:val="19"/>
                <w:szCs w:val="19"/>
              </w:rPr>
              <w:t xml:space="preserve">Aggregates subscriptions; routes to TA via NSCC or direct feed</w:t>
            </w:r>
          </w:p>
        </w:tc>
      </w:tr>
      <w:tr>
        <w:tc>
          <w:tcPr>
            <w:tcW w:type="pct" w:w="20%"/>
            <w:shd w:fill="375623" w:color="375623" w:val="clear"/>
            <w:tcMar>
              <w:top w:type="dxa" w:w="50"/>
              <w:left w:type="dxa" w:w="80"/>
              <w:bottom w:type="dxa" w:w="50"/>
              <w:right w:type="dxa" w:w="80"/>
            </w:tcMar>
          </w:tcPr>
          <w:p>
            <w:r>
              <w:rPr>
                <w:rFonts w:ascii="Calibri" w:cs="Calibri" w:eastAsia="Calibri" w:hAnsi="Calibri"/>
                <w:b/>
                <w:bCs/>
                <w:color w:val="FFFFFF"/>
                <w:sz w:val="19"/>
                <w:szCs w:val="19"/>
              </w:rPr>
              <w:t xml:space="preserve">3 — Transfer Agent</w:t>
            </w:r>
          </w:p>
        </w:tc>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SS&amp;C DST (this appendix)</w:t>
            </w:r>
          </w:p>
        </w:tc>
        <w:tc>
          <w:tcPr>
            <w:tcW w:type="pct" w:w="45%"/>
            <w:tcMar>
              <w:top w:type="dxa" w:w="50"/>
              <w:left w:type="dxa" w:w="80"/>
              <w:bottom w:type="dxa" w:w="50"/>
              <w:right w:type="dxa" w:w="80"/>
            </w:tcMar>
          </w:tcPr>
          <w:p>
            <w:r>
              <w:rPr>
                <w:rFonts w:ascii="Calibri" w:cs="Calibri" w:eastAsia="Calibri" w:hAnsi="Calibri"/>
                <w:color w:val="404040"/>
                <w:sz w:val="19"/>
                <w:szCs w:val="19"/>
              </w:rPr>
              <w:t xml:space="preserve">Maintains LP register; records every transaction as a DST trade record; issues notices</w:t>
            </w:r>
          </w:p>
        </w:tc>
      </w:tr>
      <w:tr>
        <w:tc>
          <w:tcPr>
            <w:tcW w:type="pct" w:w="20%"/>
            <w:shd w:fill="B8860B" w:color="B8860B" w:val="clear"/>
            <w:tcMar>
              <w:top w:type="dxa" w:w="50"/>
              <w:left w:type="dxa" w:w="80"/>
              <w:bottom w:type="dxa" w:w="50"/>
              <w:right w:type="dxa" w:w="80"/>
            </w:tcMar>
          </w:tcPr>
          <w:p>
            <w:r>
              <w:rPr>
                <w:rFonts w:ascii="Calibri" w:cs="Calibri" w:eastAsia="Calibri" w:hAnsi="Calibri"/>
                <w:b/>
                <w:bCs/>
                <w:color w:val="FFFFFF"/>
                <w:sz w:val="19"/>
                <w:szCs w:val="19"/>
              </w:rPr>
              <w:t xml:space="preserve">4 — Fund Admin / GL</w:t>
            </w:r>
          </w:p>
        </w:tc>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SS&amp;C Investran / Geneva</w:t>
            </w:r>
          </w:p>
        </w:tc>
        <w:tc>
          <w:tcPr>
            <w:tcW w:type="pct" w:w="45%"/>
            <w:tcMar>
              <w:top w:type="dxa" w:w="50"/>
              <w:left w:type="dxa" w:w="80"/>
              <w:bottom w:type="dxa" w:w="50"/>
              <w:right w:type="dxa" w:w="80"/>
            </w:tcMar>
          </w:tcPr>
          <w:p>
            <w:r>
              <w:rPr>
                <w:rFonts w:ascii="Calibri" w:cs="Calibri" w:eastAsia="Calibri" w:hAnsi="Calibri"/>
                <w:color w:val="404040"/>
                <w:sz w:val="19"/>
                <w:szCs w:val="19"/>
              </w:rPr>
              <w:t xml:space="preserve">Receives DST transaction feed; books GL entries; produces NAV and LP statements</w:t>
            </w:r>
          </w:p>
        </w:tc>
      </w:tr>
      <w:tr>
        <w:tc>
          <w:tcPr>
            <w:tcW w:type="pct" w:w="20%"/>
            <w:shd w:fill="C00000" w:color="C00000" w:val="clear"/>
            <w:tcMar>
              <w:top w:type="dxa" w:w="50"/>
              <w:left w:type="dxa" w:w="80"/>
              <w:bottom w:type="dxa" w:w="50"/>
              <w:right w:type="dxa" w:w="80"/>
            </w:tcMar>
          </w:tcPr>
          <w:p>
            <w:r>
              <w:rPr>
                <w:rFonts w:ascii="Calibri" w:cs="Calibri" w:eastAsia="Calibri" w:hAnsi="Calibri"/>
                <w:b/>
                <w:bCs/>
                <w:color w:val="FFFFFF"/>
                <w:sz w:val="19"/>
                <w:szCs w:val="19"/>
              </w:rPr>
              <w:t xml:space="preserve">5 — Reporting</w:t>
            </w:r>
          </w:p>
        </w:tc>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Data Warehouse / Dashboard</w:t>
            </w:r>
          </w:p>
        </w:tc>
        <w:tc>
          <w:tcPr>
            <w:tcW w:type="pct" w:w="45%"/>
            <w:tcMar>
              <w:top w:type="dxa" w:w="50"/>
              <w:left w:type="dxa" w:w="80"/>
              <w:bottom w:type="dxa" w:w="50"/>
              <w:right w:type="dxa" w:w="80"/>
            </w:tcMar>
          </w:tcPr>
          <w:p>
            <w:r>
              <w:rPr>
                <w:rFonts w:ascii="Calibri" w:cs="Calibri" w:eastAsia="Calibri" w:hAnsi="Calibri"/>
                <w:color w:val="404040"/>
                <w:sz w:val="19"/>
                <w:szCs w:val="19"/>
              </w:rPr>
              <w:t xml:space="preserve">Aggregates across funds; C-level reporting; regulatory filings</w:t>
            </w:r>
          </w:p>
        </w:tc>
      </w:tr>
    </w:tbl>
    <w:p>
      <w:pPr>
        <w:spacing w:after="160" w:before="0"/>
      </w:pPr>
      <w:r>
        <w:t xml:space="preserve"/>
      </w:r>
    </w:p>
    <w:p>
      <w:pPr>
        <w:pStyle w:val="Heading2"/>
        <w:spacing w:after="120" w:before="320"/>
      </w:pPr>
      <w:r>
        <w:t xml:space="preserve">K.2  Sample DST Record — Full Field Decoder</w:t>
      </w:r>
    </w:p>
    <w:p>
      <w:pPr>
        <w:spacing w:after="120" w:before="0"/>
      </w:pPr>
      <w:r>
        <w:rPr>
          <w:rFonts w:ascii="Calibri" w:cs="Calibri" w:eastAsia="Calibri" w:hAnsi="Calibri"/>
          <w:color w:val="404040"/>
          <w:sz w:val="22"/>
          <w:szCs w:val="22"/>
        </w:rPr>
        <w:t xml:space="preserve">The following record was received from LPL Financial LLC via the DST feed. It represents a purchase/subscription transaction in an alternative real assets fund distributed through the retail wealth channel via NSCC clearing.</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tblGrid>
      <w:tr>
        <w:tc>
          <w:tcPr>
            <w:gridSpan w:val="4"/>
            <w:shd w:fill="1F3864" w:color="1F3864" w:val="clear"/>
            <w:tcMar>
              <w:top w:type="dxa" w:w="80"/>
              <w:left w:type="dxa" w:w="120"/>
              <w:bottom w:type="dxa" w:w="80"/>
              <w:right w:type="dxa" w:w="80"/>
            </w:tcMar>
          </w:tcPr>
          <w:p>
            <w:r>
              <w:rPr>
                <w:rFonts w:ascii="Calibri" w:cs="Calibri" w:eastAsia="Calibri" w:hAnsi="Calibri"/>
                <w:b/>
                <w:bCs/>
                <w:color w:val="FFFFFF"/>
                <w:sz w:val="22"/>
                <w:szCs w:val="22"/>
              </w:rPr>
              <w:t xml:space="preserve">Identity &amp; Routing</w:t>
            </w:r>
          </w:p>
        </w:tc>
      </w:tr>
      <w:tr>
        <w:trPr>
          <w:tblHeader/>
        </w:trPr>
        <w:tc>
          <w:tcPr>
            <w:tcW w:type="pct" w:w="2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Field</w:t>
            </w:r>
          </w:p>
        </w:tc>
        <w:tc>
          <w:tcPr>
            <w:tcW w:type="pct" w:w="2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Sample Value</w:t>
            </w:r>
          </w:p>
        </w:tc>
        <w:tc>
          <w:tcPr>
            <w:tcW w:type="pct" w:w="6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Description &amp; AMC Model Mapping</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NAME</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LPL Financial LLC</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Broker-dealer / distributor who submitted the trade. Maps to our 05_investors.csv — platform investor (INV-0036 Fidelity / INV-0031 Merrill etc.)</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TRANSACTION_ID</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04822532490165559746</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DST internal unique transaction ID. Equivalent to our notice_id (CCN-xxxxx) or wire_ref (WIRE-xxxxxx). Primary key for downstream reconciliation.</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FIRM_ID</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00000000000000001018</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DST master identifier for LPL Financial. Maps to investor_id in our model. All trades from this firm share this ID regardless of office or rep.</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OFFICE_ID</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00990000000000029891</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LPL branch office that submitted the trade. Sub-level below FIRM_ID — not tracked in our current model but relevant for distribution reporting.</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CONTACT_ID</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00011063727756694120</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Individual registered rep at the LPL branch. Maps to a trade_rep field (not in current AMC model).</w:t>
            </w:r>
          </w:p>
        </w:tc>
      </w:tr>
    </w:tbl>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tblGrid>
      <w:tr>
        <w:tc>
          <w:tcPr>
            <w:gridSpan w:val="4"/>
            <w:shd w:fill="2F5496" w:color="2F5496" w:val="clear"/>
            <w:tcMar>
              <w:top w:type="dxa" w:w="80"/>
              <w:left w:type="dxa" w:w="120"/>
              <w:bottom w:type="dxa" w:w="80"/>
              <w:right w:type="dxa" w:w="80"/>
            </w:tcMar>
          </w:tcPr>
          <w:p>
            <w:r>
              <w:rPr>
                <w:rFonts w:ascii="Calibri" w:cs="Calibri" w:eastAsia="Calibri" w:hAnsi="Calibri"/>
                <w:b/>
                <w:bCs/>
                <w:color w:val="FFFFFF"/>
                <w:sz w:val="22"/>
                <w:szCs w:val="22"/>
              </w:rPr>
              <w:t xml:space="preserve">Dates</w:t>
            </w:r>
          </w:p>
        </w:tc>
      </w:tr>
      <w:tr>
        <w:trPr>
          <w:tblHeader/>
        </w:trPr>
        <w:tc>
          <w:tcPr>
            <w:tcW w:type="pct" w:w="2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Field</w:t>
            </w:r>
          </w:p>
        </w:tc>
        <w:tc>
          <w:tcPr>
            <w:tcW w:type="pct" w:w="2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Sample Value</w:t>
            </w:r>
          </w:p>
        </w:tc>
        <w:tc>
          <w:tcPr>
            <w:tcW w:type="pct" w:w="6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Description &amp; AMC Model Mapping</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POSTING_DATE</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2026-09-08</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Date the trade was posted to the DST TA register. Equivalent to our payment_date in 09_capital_call_notices.csv.</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TRADE_DATE</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2026-09-04</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Date the trade was placed. Equivalent to our call_date or subscription_date.</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SETTLE_DATE</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(blank)</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Cash settlement date. Blank for alternative funds with non-standard settlement. For open-end mutual funds this is always T+1 or T+2. In closed-end PE, capital call settlement is T+5 to T+10.</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TRADE_MONTH / YEAR</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9 / 2026</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Period bucketing fields used in DST reporting and regulatory filings.</w:t>
            </w:r>
          </w:p>
        </w:tc>
      </w:tr>
    </w:tbl>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tblGrid>
      <w:tr>
        <w:tc>
          <w:tcPr>
            <w:gridSpan w:val="4"/>
            <w:shd w:fill="375623" w:color="375623" w:val="clear"/>
            <w:tcMar>
              <w:top w:type="dxa" w:w="80"/>
              <w:left w:type="dxa" w:w="120"/>
              <w:bottom w:type="dxa" w:w="80"/>
              <w:right w:type="dxa" w:w="80"/>
            </w:tcMar>
          </w:tcPr>
          <w:p>
            <w:r>
              <w:rPr>
                <w:rFonts w:ascii="Calibri" w:cs="Calibri" w:eastAsia="Calibri" w:hAnsi="Calibri"/>
                <w:b/>
                <w:bCs/>
                <w:color w:val="FFFFFF"/>
                <w:sz w:val="22"/>
                <w:szCs w:val="22"/>
              </w:rPr>
              <w:t xml:space="preserve">Fund &amp; Account Identification</w:t>
            </w:r>
          </w:p>
        </w:tc>
      </w:tr>
      <w:tr>
        <w:trPr>
          <w:tblHeader/>
        </w:trPr>
        <w:tc>
          <w:tcPr>
            <w:tcW w:type="pct" w:w="2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Field</w:t>
            </w:r>
          </w:p>
        </w:tc>
        <w:tc>
          <w:tcPr>
            <w:tcW w:type="pct" w:w="2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Sample Value</w:t>
            </w:r>
          </w:p>
        </w:tc>
        <w:tc>
          <w:tcPr>
            <w:tcW w:type="pct" w:w="6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Description &amp; AMC Model Mapping</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FUND</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4412</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DST internal numeric fund code. Maps to our fund_id (e.g. FUND-ABF-IX). Each fund and share class gets its own DST code at setup.</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CUSIP</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39822J300</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9-character CUSIP identifying the specific fund share class. Should be added to our 04_offerings.csv as a standard identifier field. Maps to TRADE_CLASS / share class.</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ACCOUNT_NUMBER</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10000005</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TA-assigned account number for this investor at the fund. Maps to our commitment_id (COMM-xxxx) — the primary link between TA register and fund admin GL.</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CUST_ACCT_NBR</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00010000005</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The investor's own internal account number (LPL's reference). Maps to bank_account_ref in our 05_investors.csv.</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ACCOUNT_TYPE</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010000005</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DST account type code — indicates individual, joint, IRA, entity, trust, pension, etc. Maps to our erisa_status and investor_type fields.</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TRANSFER_AGENT</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DST</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Confirms SS&amp;C DST is the TA. Matches transfer_agent = "State Street Global Services" or "SS&amp;C DST" in our 03_vehicles.csv.</w:t>
            </w:r>
          </w:p>
        </w:tc>
      </w:tr>
    </w:tbl>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tblGrid>
      <w:tr>
        <w:tc>
          <w:tcPr>
            <w:gridSpan w:val="4"/>
            <w:shd w:fill="B8860B" w:color="B8860B" w:val="clear"/>
            <w:tcMar>
              <w:top w:type="dxa" w:w="80"/>
              <w:left w:type="dxa" w:w="120"/>
              <w:bottom w:type="dxa" w:w="80"/>
              <w:right w:type="dxa" w:w="80"/>
            </w:tcMar>
          </w:tcPr>
          <w:p>
            <w:r>
              <w:rPr>
                <w:rFonts w:ascii="Calibri" w:cs="Calibri" w:eastAsia="Calibri" w:hAnsi="Calibri"/>
                <w:b/>
                <w:bCs/>
                <w:color w:val="FFFFFF"/>
                <w:sz w:val="22"/>
                <w:szCs w:val="22"/>
              </w:rPr>
              <w:t xml:space="preserve">Transaction Type &amp; Direction</w:t>
            </w:r>
          </w:p>
        </w:tc>
      </w:tr>
      <w:tr>
        <w:trPr>
          <w:tblHeader/>
        </w:trPr>
        <w:tc>
          <w:tcPr>
            <w:tcW w:type="pct" w:w="2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Field</w:t>
            </w:r>
          </w:p>
        </w:tc>
        <w:tc>
          <w:tcPr>
            <w:tcW w:type="pct" w:w="2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Sample Value</w:t>
            </w:r>
          </w:p>
        </w:tc>
        <w:tc>
          <w:tcPr>
            <w:tcW w:type="pct" w:w="6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Description &amp; AMC Model Mapping</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TRAN_CODE</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001</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Core transaction type. 001 = Purchase/Subscription. For closed-end PE the key codes are 050 (Capital Call), 060 (Distribution), 070 (Commitment). Full table in Section K.3.</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TRAN_SUFFIX</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009</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Sub-type modifier on TRAN_CODE. Distinguishes first call vs. subsequent call, systematic vs. one-time, exchange component, etc.</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TRADE_TYPE</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I</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Direction flag. I = In (money into the fund / subscription). O = Out (redemption/distribution). Maps to the debit/credit direction in our GL transaction entries.</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TRADE_CLASS</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X</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Share class within DST. Maps to our share_class (Class A / Class B) in 04_offerings.csv.</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SOURCE_CODE</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LLO-OFF</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Load/commission source code. LLO-OFF = Level Load Offset — BD receives a trail commission rather than upfront sales load. Drives DEALER_COMM_AMOUNT.</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PRODUCT_CODE</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ADREF</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Product category code. ADREF = Alternative Direct Real Estate Fund. Key field for filtering PE/alt vs. mutual fund trades. See Section K.4 for full code list.</w:t>
            </w:r>
          </w:p>
        </w:tc>
      </w:tr>
    </w:tbl>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tblGrid>
      <w:tr>
        <w:tc>
          <w:tcPr>
            <w:gridSpan w:val="4"/>
            <w:shd w:fill="1F6B75" w:color="1F6B75" w:val="clear"/>
            <w:tcMar>
              <w:top w:type="dxa" w:w="80"/>
              <w:left w:type="dxa" w:w="120"/>
              <w:bottom w:type="dxa" w:w="80"/>
              <w:right w:type="dxa" w:w="80"/>
            </w:tcMar>
          </w:tcPr>
          <w:p>
            <w:r>
              <w:rPr>
                <w:rFonts w:ascii="Calibri" w:cs="Calibri" w:eastAsia="Calibri" w:hAnsi="Calibri"/>
                <w:b/>
                <w:bCs/>
                <w:color w:val="FFFFFF"/>
                <w:sz w:val="22"/>
                <w:szCs w:val="22"/>
              </w:rPr>
              <w:t xml:space="preserve">Dollar Amounts &amp; Units</w:t>
            </w:r>
          </w:p>
        </w:tc>
      </w:tr>
      <w:tr>
        <w:trPr>
          <w:tblHeader/>
        </w:trPr>
        <w:tc>
          <w:tcPr>
            <w:tcW w:type="pct" w:w="2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Field</w:t>
            </w:r>
          </w:p>
        </w:tc>
        <w:tc>
          <w:tcPr>
            <w:tcW w:type="pct" w:w="2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Sample Value</w:t>
            </w:r>
          </w:p>
        </w:tc>
        <w:tc>
          <w:tcPr>
            <w:tcW w:type="pct" w:w="6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Description &amp; AMC Model Mapping</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GROSS_AMOUNT</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-329,461.71</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Transaction amount from fund ledger perspective. Negative = cash received by fund (purchase). DST uses fund-centric sign convention: money in = negative (fund's cash increases). Maps to total_due_usd in our 09_capital_call_notices.csv.</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GROSS_AMOUNT_ORIG</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329,461.71</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Absolute original amount — the actual dollar value of the subscription ($329,461.71).</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TOTAL_SHARES</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13,602.878</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Units/shares issued to the investor. Implied NAV per unit = $329,461.71 / 13,602.878 = ~$24.22. Maps to units_held in our 19_lp_capital_account_rollforward.csv.</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WHLSLR_GROSS_AMOUNT</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(blank)</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Wholesaler gross — used when a separate wholesaler fee applies. Common in NT-REIT and interval fund structures.</w:t>
            </w:r>
          </w:p>
        </w:tc>
      </w:tr>
    </w:tbl>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tblGrid>
      <w:tr>
        <w:tc>
          <w:tcPr>
            <w:gridSpan w:val="4"/>
            <w:shd w:fill="7030A0" w:color="7030A0" w:val="clear"/>
            <w:tcMar>
              <w:top w:type="dxa" w:w="80"/>
              <w:left w:type="dxa" w:w="120"/>
              <w:bottom w:type="dxa" w:w="80"/>
              <w:right w:type="dxa" w:w="80"/>
            </w:tcMar>
          </w:tcPr>
          <w:p>
            <w:r>
              <w:rPr>
                <w:rFonts w:ascii="Calibri" w:cs="Calibri" w:eastAsia="Calibri" w:hAnsi="Calibri"/>
                <w:b/>
                <w:bCs/>
                <w:color w:val="FFFFFF"/>
                <w:sz w:val="22"/>
                <w:szCs w:val="22"/>
              </w:rPr>
              <w:t xml:space="preserve">Commission &amp; Load</w:t>
            </w:r>
          </w:p>
        </w:tc>
      </w:tr>
      <w:tr>
        <w:trPr>
          <w:tblHeader/>
        </w:trPr>
        <w:tc>
          <w:tcPr>
            <w:tcW w:type="pct" w:w="2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Field</w:t>
            </w:r>
          </w:p>
        </w:tc>
        <w:tc>
          <w:tcPr>
            <w:tcW w:type="pct" w:w="2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Sample Value</w:t>
            </w:r>
          </w:p>
        </w:tc>
        <w:tc>
          <w:tcPr>
            <w:tcW w:type="pct" w:w="6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Description &amp; AMC Model Mapping</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DEALER_COMM_CODE</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N</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No dealer commission structure applied to this trade.</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DEALER_COMM_AMOUNT</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0.00</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$0 dealer commission — load-waived or NTF (no transaction fee) trade. In PE closed-end funds, placement fees are paid separately outside DST.</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UNDER_COMM_AMOUNT</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0.00</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Underwriter commission — also zero. Standard for institutional alt fund subscriptions.</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DISC_CAT_CODE</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00</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Discount category — no breakpoint discount applied. Breakpoints reduce sales loads at higher investment levels.</w:t>
            </w:r>
          </w:p>
        </w:tc>
      </w:tr>
    </w:tbl>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tblGrid>
      <w:tr>
        <w:tc>
          <w:tcPr>
            <w:gridSpan w:val="4"/>
            <w:shd w:fill="C55A11" w:color="C55A11" w:val="clear"/>
            <w:tcMar>
              <w:top w:type="dxa" w:w="80"/>
              <w:left w:type="dxa" w:w="120"/>
              <w:bottom w:type="dxa" w:w="80"/>
              <w:right w:type="dxa" w:w="80"/>
            </w:tcMar>
          </w:tcPr>
          <w:p>
            <w:r>
              <w:rPr>
                <w:rFonts w:ascii="Calibri" w:cs="Calibri" w:eastAsia="Calibri" w:hAnsi="Calibri"/>
                <w:b/>
                <w:bCs/>
                <w:color w:val="FFFFFF"/>
                <w:sz w:val="22"/>
                <w:szCs w:val="22"/>
              </w:rPr>
              <w:t xml:space="preserve">Dealer / Rep Hierarchy</w:t>
            </w:r>
          </w:p>
        </w:tc>
      </w:tr>
      <w:tr>
        <w:trPr>
          <w:tblHeader/>
        </w:trPr>
        <w:tc>
          <w:tcPr>
            <w:tcW w:type="pct" w:w="2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Field</w:t>
            </w:r>
          </w:p>
        </w:tc>
        <w:tc>
          <w:tcPr>
            <w:tcW w:type="pct" w:w="2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Sample Value</w:t>
            </w:r>
          </w:p>
        </w:tc>
        <w:tc>
          <w:tcPr>
            <w:tcW w:type="pct" w:w="6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Description &amp; AMC Model Mapping</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TRADE_FIRM</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75</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Numeric dealer code for LPL in DST's dealer master table. Maps to platform in our 05_investors.csv.</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TRADE_OFFICE</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371A</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LPL branch office code. Sub-level of firm. Not currently tracked in AMC model.</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TRADE_REP</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371A</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Registered rep code. Same as office here = branch-level aggregated code. Individual rep tracking in our model would require adding rep_id to 05_investors.csv.</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TRADE_FIRM_ORIG</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75</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Original dealer before any account transfers. Matches current = no transfer history on this account.</w:t>
            </w:r>
          </w:p>
        </w:tc>
      </w:tr>
    </w:tbl>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tblGrid>
      <w:tr>
        <w:tc>
          <w:tcPr>
            <w:gridSpan w:val="4"/>
            <w:shd w:fill="375623" w:color="375623" w:val="clear"/>
            <w:tcMar>
              <w:top w:type="dxa" w:w="80"/>
              <w:left w:type="dxa" w:w="120"/>
              <w:bottom w:type="dxa" w:w="80"/>
              <w:right w:type="dxa" w:w="80"/>
            </w:tcMar>
          </w:tcPr>
          <w:p>
            <w:r>
              <w:rPr>
                <w:rFonts w:ascii="Calibri" w:cs="Calibri" w:eastAsia="Calibri" w:hAnsi="Calibri"/>
                <w:b/>
                <w:bCs/>
                <w:color w:val="FFFFFF"/>
                <w:sz w:val="22"/>
                <w:szCs w:val="22"/>
              </w:rPr>
              <w:t xml:space="preserve">NSCC / Clearing</w:t>
            </w:r>
          </w:p>
        </w:tc>
      </w:tr>
      <w:tr>
        <w:trPr>
          <w:tblHeader/>
        </w:trPr>
        <w:tc>
          <w:tcPr>
            <w:tcW w:type="pct" w:w="2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Field</w:t>
            </w:r>
          </w:p>
        </w:tc>
        <w:tc>
          <w:tcPr>
            <w:tcW w:type="pct" w:w="2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Sample Value</w:t>
            </w:r>
          </w:p>
        </w:tc>
        <w:tc>
          <w:tcPr>
            <w:tcW w:type="pct" w:w="6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Description &amp; AMC Model Mapping</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NSCC_CONTROL_NBR</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20262460053361</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DTCC/NSCC clearing control number. This trade settled through the National Securities Clearing Corporation — the US central counterparty for fund settlements. Maps to our wire_id in 10_wires.csv. BLANK for institutional PE wires (which go direct, not through NSCC).</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PROCESS_GROUP_ID</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82275742017</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DST batch/settlement group. Trades are processed in nightly batches. Equivalent to our capital_call_id grouping all notices in one call event.</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NSCC_NAV_REASON_CODE</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(blank)</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Reason code if a non-standard NAV was applied. Blank = standard NAV used.</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NSCC_REQ_CRCT_CD</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(blank)</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NSCC correction code. Blank = no correction required. Populated if a prior trade is being reversed or amended.</w:t>
            </w:r>
          </w:p>
        </w:tc>
      </w:tr>
    </w:tbl>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tblGrid>
      <w:tr>
        <w:tc>
          <w:tcPr>
            <w:gridSpan w:val="4"/>
            <w:shd w:fill="2F5496" w:color="2F5496" w:val="clear"/>
            <w:tcMar>
              <w:top w:type="dxa" w:w="80"/>
              <w:left w:type="dxa" w:w="120"/>
              <w:bottom w:type="dxa" w:w="80"/>
              <w:right w:type="dxa" w:w="80"/>
            </w:tcMar>
          </w:tcPr>
          <w:p>
            <w:r>
              <w:rPr>
                <w:rFonts w:ascii="Calibri" w:cs="Calibri" w:eastAsia="Calibri" w:hAnsi="Calibri"/>
                <w:b/>
                <w:bCs/>
                <w:color w:val="FFFFFF"/>
                <w:sz w:val="22"/>
                <w:szCs w:val="22"/>
              </w:rPr>
              <w:t xml:space="preserve">Platform &amp; TPA Fields</w:t>
            </w:r>
          </w:p>
        </w:tc>
      </w:tr>
      <w:tr>
        <w:trPr>
          <w:tblHeader/>
        </w:trPr>
        <w:tc>
          <w:tcPr>
            <w:tcW w:type="pct" w:w="2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Field</w:t>
            </w:r>
          </w:p>
        </w:tc>
        <w:tc>
          <w:tcPr>
            <w:tcW w:type="pct" w:w="2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Sample Value</w:t>
            </w:r>
          </w:p>
        </w:tc>
        <w:tc>
          <w:tcPr>
            <w:tcW w:type="pct" w:w="6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Description &amp; AMC Model Mapping</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PLATFORM_CODE</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(blank)</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Platform identifier. If this trade came through iCapital it would show "ICP"; CAIS would show "CAIS"; Fidelity shows "FIDO". Blank = direct DST submission or GP-direct. Key field for identifying retail alternative distribution channel.</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TA2000_TPA_NUMBER</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(blank)</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Third-Party Administrator number in the legacy TA2000 system (predecessor to DST). Populated for older funds still on TA2000.</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EXT_TRANSMIT_CD</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(blank)</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External transmission code — populated when trade arrived via FTP file rather than online entry.</w:t>
            </w:r>
          </w:p>
        </w:tc>
      </w:tr>
    </w:tbl>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tblGrid>
      <w:tr>
        <w:tc>
          <w:tcPr>
            <w:gridSpan w:val="4"/>
            <w:shd w:fill="1F3864" w:color="1F3864" w:val="clear"/>
            <w:tcMar>
              <w:top w:type="dxa" w:w="80"/>
              <w:left w:type="dxa" w:w="120"/>
              <w:bottom w:type="dxa" w:w="80"/>
              <w:right w:type="dxa" w:w="80"/>
            </w:tcMar>
          </w:tcPr>
          <w:p>
            <w:r>
              <w:rPr>
                <w:rFonts w:ascii="Calibri" w:cs="Calibri" w:eastAsia="Calibri" w:hAnsi="Calibri"/>
                <w:b/>
                <w:bCs/>
                <w:color w:val="FFFFFF"/>
                <w:sz w:val="22"/>
                <w:szCs w:val="22"/>
              </w:rPr>
              <w:t xml:space="preserve">Audit &amp; System Fields</w:t>
            </w:r>
          </w:p>
        </w:tc>
      </w:tr>
      <w:tr>
        <w:trPr>
          <w:tblHeader/>
        </w:trPr>
        <w:tc>
          <w:tcPr>
            <w:tcW w:type="pct" w:w="2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Field</w:t>
            </w:r>
          </w:p>
        </w:tc>
        <w:tc>
          <w:tcPr>
            <w:tcW w:type="pct" w:w="2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Sample Value</w:t>
            </w:r>
          </w:p>
        </w:tc>
        <w:tc>
          <w:tcPr>
            <w:tcW w:type="pct" w:w="6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Description &amp; AMC Model Mapping</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CREATED_DT</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2026-09-09 00:27:24</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Timestamp when record was created in DST — 00:27am in overnight batch after trade date. Maps to our SNW_CREATED_TIMESTAMP.</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UPDATED_DT</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2026-09-09 00:42:11</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Last updated — 15 minutes after creation (post-processing validation completed).</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UPDATED_INDICATOR</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N</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N = not updated since initial creation. Y = record has been amended (e.g. correction, late NAV update).</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FILE_HASH</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(blank)</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Hash of the source file for integrity/audit. Used to detect tampering in regulatory submissions.</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OFFSET_ID</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(blank)</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Reference to an offsetting transaction if this is a correction or reversal entry.</w:t>
            </w:r>
          </w:p>
        </w:tc>
      </w:tr>
    </w:tbl>
    <w:p>
      <w:pPr>
        <w:spacing w:after="160" w:before="0"/>
      </w:pPr>
      <w:r>
        <w:t xml:space="preserve"/>
      </w:r>
    </w:p>
    <w:p>
      <w:r>
        <w:br w:type="page"/>
      </w:r>
    </w:p>
    <w:p>
      <w:pPr>
        <w:pStyle w:val="Heading2"/>
        <w:spacing w:after="120" w:before="320"/>
      </w:pPr>
      <w:r>
        <w:t xml:space="preserve">K.3  DST TRAN_CODE Reference — Full Table</w:t>
      </w:r>
    </w:p>
    <w:p>
      <w:pPr>
        <w:spacing w:after="120" w:before="0"/>
      </w:pPr>
      <w:r>
        <w:rPr>
          <w:rFonts w:ascii="Calibri" w:cs="Calibri" w:eastAsia="Calibri" w:hAnsi="Calibri"/>
          <w:color w:val="404040"/>
          <w:sz w:val="22"/>
          <w:szCs w:val="22"/>
        </w:rPr>
        <w:t xml:space="preserve">The TRAN_CODE is the most important field for mapping DST records to the AMC transaction type model. Open-end mutual fund codes (001-029) and closed-end / PE fund codes (050-072) are distinct ranges.</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gridCol w:w="100"/>
        <w:gridCol w:w="100"/>
        <w:gridCol w:w="100"/>
      </w:tblGrid>
      <w:tr>
        <w:trPr>
          <w:tblHeader/>
        </w:trPr>
        <w:tc>
          <w:tcPr>
            <w:tcW w:type="pct" w:w="7%"/>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TRAN_CODE</w:t>
            </w:r>
          </w:p>
        </w:tc>
        <w:tc>
          <w:tcPr>
            <w:tcW w:type="pct" w:w="7%"/>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SUFFIX</w:t>
            </w:r>
          </w:p>
        </w:tc>
        <w:tc>
          <w:tcPr>
            <w:tcW w:type="pct" w:w="22%"/>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Description</w:t>
            </w:r>
          </w:p>
        </w:tc>
        <w:tc>
          <w:tcPr>
            <w:tcW w:type="pct" w:w="15%"/>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Fund Type</w:t>
            </w:r>
          </w:p>
        </w:tc>
        <w:tc>
          <w:tcPr>
            <w:tcW w:type="pct" w:w="18%"/>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AMC Model Type</w:t>
            </w:r>
          </w:p>
        </w:tc>
        <w:tc>
          <w:tcPr>
            <w:tcW w:type="pct" w:w="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Dir</w:t>
            </w:r>
          </w:p>
        </w:tc>
        <w:tc>
          <w:tcPr>
            <w:tcW w:type="pct" w:w="26%"/>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Notes</w:t>
            </w:r>
          </w:p>
        </w:tc>
      </w:tr>
      <w:tr>
        <w:tc>
          <w:tcPr>
            <w:tcW w:type="pct" w:w="7%"/>
            <w:shd w:fill="2F5496" w:color="2F5496" w:val="clear"/>
            <w:tcMar>
              <w:top w:type="dxa" w:w="50"/>
              <w:left w:type="dxa" w:w="80"/>
              <w:bottom w:type="dxa" w:w="50"/>
              <w:right w:type="dxa" w:w="80"/>
            </w:tcMar>
          </w:tcPr>
          <w:p>
            <w:r>
              <w:rPr>
                <w:rFonts w:ascii="Calibri" w:cs="Calibri" w:eastAsia="Calibri" w:hAnsi="Calibri"/>
                <w:b/>
                <w:bCs/>
                <w:color w:val="FFFFFF"/>
                <w:sz w:val="19"/>
                <w:szCs w:val="19"/>
              </w:rPr>
              <w:t xml:space="preserve">001</w:t>
            </w:r>
          </w:p>
        </w:tc>
        <w:tc>
          <w:tcPr>
            <w:tcW w:type="pct" w:w="7%"/>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000</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Purchase / Subscription</w:t>
            </w:r>
          </w:p>
        </w:tc>
        <w:tc>
          <w:tcPr>
            <w:tcW w:type="pct" w:w="15%"/>
            <w:shd w:fill="E8ECF4" w:color="E8ECF4" w:val="clear"/>
            <w:tcMar>
              <w:top w:type="dxa" w:w="50"/>
              <w:left w:type="dxa" w:w="80"/>
              <w:bottom w:type="dxa" w:w="50"/>
              <w:right w:type="dxa" w:w="80"/>
            </w:tcMar>
          </w:tcPr>
          <w:p>
            <w:r>
              <w:rPr>
                <w:rFonts w:ascii="Calibri" w:cs="Calibri" w:eastAsia="Calibri" w:hAnsi="Calibri"/>
                <w:b w:val="false"/>
                <w:bCs w:val="false"/>
                <w:color w:val="2F5496"/>
                <w:sz w:val="19"/>
                <w:szCs w:val="19"/>
              </w:rPr>
              <w:t xml:space="preserve">Open-end / Retail Alt</w:t>
            </w:r>
          </w:p>
        </w:tc>
        <w:tc>
          <w:tcPr>
            <w:tcW w:type="pct" w:w="18%"/>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CashReceipt</w:t>
            </w:r>
          </w:p>
        </w:tc>
        <w:tc>
          <w:tcPr>
            <w:tcW w:type="pct" w:w="5%"/>
            <w:shd w:fill="E6F0EA" w:color="E6F0EA" w:val="clear"/>
            <w:tcMar>
              <w:top w:type="dxa" w:w="50"/>
              <w:left w:type="dxa" w:w="80"/>
              <w:bottom w:type="dxa" w:w="50"/>
              <w:right w:type="dxa" w:w="80"/>
            </w:tcMar>
          </w:tcPr>
          <w:p>
            <w:r>
              <w:rPr>
                <w:rFonts w:ascii="Calibri" w:cs="Calibri" w:eastAsia="Calibri" w:hAnsi="Calibri"/>
                <w:b/>
                <w:bCs/>
                <w:color w:val="375623"/>
                <w:sz w:val="19"/>
                <w:szCs w:val="19"/>
              </w:rPr>
              <w:t xml:space="preserve">I</w:t>
            </w:r>
          </w:p>
        </w:tc>
        <w:tc>
          <w:tcPr>
            <w:tcW w:type="pct" w:w="26%"/>
            <w:tcMar>
              <w:top w:type="dxa" w:w="50"/>
              <w:left w:type="dxa" w:w="80"/>
              <w:bottom w:type="dxa" w:w="50"/>
              <w:right w:type="dxa" w:w="80"/>
            </w:tcMar>
          </w:tcPr>
          <w:p>
            <w:r>
              <w:rPr>
                <w:rFonts w:ascii="Calibri" w:cs="Calibri" w:eastAsia="Calibri" w:hAnsi="Calibri"/>
                <w:color w:val="404040"/>
                <w:sz w:val="17"/>
                <w:szCs w:val="17"/>
              </w:rPr>
              <w:t xml:space="preserve">New investor subscription or capital call receipt in retail alt fund</w:t>
            </w:r>
          </w:p>
        </w:tc>
      </w:tr>
      <w:tr>
        <w:tc>
          <w:tcPr>
            <w:tcW w:type="pct" w:w="7%"/>
            <w:shd w:fill="2F5496" w:color="2F5496" w:val="clear"/>
            <w:tcMar>
              <w:top w:type="dxa" w:w="50"/>
              <w:left w:type="dxa" w:w="80"/>
              <w:bottom w:type="dxa" w:w="50"/>
              <w:right w:type="dxa" w:w="80"/>
            </w:tcMar>
          </w:tcPr>
          <w:p>
            <w:r>
              <w:rPr>
                <w:rFonts w:ascii="Calibri" w:cs="Calibri" w:eastAsia="Calibri" w:hAnsi="Calibri"/>
                <w:b/>
                <w:bCs/>
                <w:color w:val="FFFFFF"/>
                <w:sz w:val="19"/>
                <w:szCs w:val="19"/>
              </w:rPr>
              <w:t xml:space="preserve">002</w:t>
            </w:r>
          </w:p>
        </w:tc>
        <w:tc>
          <w:tcPr>
            <w:tcW w:type="pct" w:w="7%"/>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000</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Redemption / Repurchase</w:t>
            </w:r>
          </w:p>
        </w:tc>
        <w:tc>
          <w:tcPr>
            <w:tcW w:type="pct" w:w="15%"/>
            <w:shd w:fill="E8ECF4" w:color="E8ECF4" w:val="clear"/>
            <w:tcMar>
              <w:top w:type="dxa" w:w="50"/>
              <w:left w:type="dxa" w:w="80"/>
              <w:bottom w:type="dxa" w:w="50"/>
              <w:right w:type="dxa" w:w="80"/>
            </w:tcMar>
          </w:tcPr>
          <w:p>
            <w:r>
              <w:rPr>
                <w:rFonts w:ascii="Calibri" w:cs="Calibri" w:eastAsia="Calibri" w:hAnsi="Calibri"/>
                <w:b w:val="false"/>
                <w:bCs w:val="false"/>
                <w:color w:val="2F5496"/>
                <w:sz w:val="19"/>
                <w:szCs w:val="19"/>
              </w:rPr>
              <w:t xml:space="preserve">Open-end / Interval</w:t>
            </w:r>
          </w:p>
        </w:tc>
        <w:tc>
          <w:tcPr>
            <w:tcW w:type="pct" w:w="18%"/>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DistributionPayable</w:t>
            </w:r>
          </w:p>
        </w:tc>
        <w:tc>
          <w:tcPr>
            <w:tcW w:type="pct" w:w="5%"/>
            <w:shd w:fill="FDE8E8" w:color="FDE8E8" w:val="clear"/>
            <w:tcMar>
              <w:top w:type="dxa" w:w="50"/>
              <w:left w:type="dxa" w:w="80"/>
              <w:bottom w:type="dxa" w:w="50"/>
              <w:right w:type="dxa" w:w="80"/>
            </w:tcMar>
          </w:tcPr>
          <w:p>
            <w:r>
              <w:rPr>
                <w:rFonts w:ascii="Calibri" w:cs="Calibri" w:eastAsia="Calibri" w:hAnsi="Calibri"/>
                <w:b/>
                <w:bCs/>
                <w:color w:val="C00000"/>
                <w:sz w:val="19"/>
                <w:szCs w:val="19"/>
              </w:rPr>
              <w:t xml:space="preserve">O</w:t>
            </w:r>
          </w:p>
        </w:tc>
        <w:tc>
          <w:tcPr>
            <w:tcW w:type="pct" w:w="26%"/>
            <w:tcMar>
              <w:top w:type="dxa" w:w="50"/>
              <w:left w:type="dxa" w:w="80"/>
              <w:bottom w:type="dxa" w:w="50"/>
              <w:right w:type="dxa" w:w="80"/>
            </w:tcMar>
          </w:tcPr>
          <w:p>
            <w:r>
              <w:rPr>
                <w:rFonts w:ascii="Calibri" w:cs="Calibri" w:eastAsia="Calibri" w:hAnsi="Calibri"/>
                <w:color w:val="404040"/>
                <w:sz w:val="17"/>
                <w:szCs w:val="17"/>
              </w:rPr>
              <w:t xml:space="preserve">Investor exits; fund repurchases shares (interval fund tender, open-end redeem)</w:t>
            </w:r>
          </w:p>
        </w:tc>
      </w:tr>
      <w:tr>
        <w:tc>
          <w:tcPr>
            <w:tcW w:type="pct" w:w="7%"/>
            <w:shd w:fill="2F5496" w:color="2F5496" w:val="clear"/>
            <w:tcMar>
              <w:top w:type="dxa" w:w="50"/>
              <w:left w:type="dxa" w:w="80"/>
              <w:bottom w:type="dxa" w:w="50"/>
              <w:right w:type="dxa" w:w="80"/>
            </w:tcMar>
          </w:tcPr>
          <w:p>
            <w:r>
              <w:rPr>
                <w:rFonts w:ascii="Calibri" w:cs="Calibri" w:eastAsia="Calibri" w:hAnsi="Calibri"/>
                <w:b/>
                <w:bCs/>
                <w:color w:val="FFFFFF"/>
                <w:sz w:val="19"/>
                <w:szCs w:val="19"/>
              </w:rPr>
              <w:t xml:space="preserve">003</w:t>
            </w:r>
          </w:p>
        </w:tc>
        <w:tc>
          <w:tcPr>
            <w:tcW w:type="pct" w:w="7%"/>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000</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Exchange In</w:t>
            </w:r>
          </w:p>
        </w:tc>
        <w:tc>
          <w:tcPr>
            <w:tcW w:type="pct" w:w="15%"/>
            <w:shd w:fill="E8ECF4" w:color="E8ECF4" w:val="clear"/>
            <w:tcMar>
              <w:top w:type="dxa" w:w="50"/>
              <w:left w:type="dxa" w:w="80"/>
              <w:bottom w:type="dxa" w:w="50"/>
              <w:right w:type="dxa" w:w="80"/>
            </w:tcMar>
          </w:tcPr>
          <w:p>
            <w:r>
              <w:rPr>
                <w:rFonts w:ascii="Calibri" w:cs="Calibri" w:eastAsia="Calibri" w:hAnsi="Calibri"/>
                <w:b w:val="false"/>
                <w:bCs w:val="false"/>
                <w:color w:val="2F5496"/>
                <w:sz w:val="19"/>
                <w:szCs w:val="19"/>
              </w:rPr>
              <w:t xml:space="preserve">Open-end</w:t>
            </w:r>
          </w:p>
        </w:tc>
        <w:tc>
          <w:tcPr>
            <w:tcW w:type="pct" w:w="18%"/>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CashReceipt</w:t>
            </w:r>
          </w:p>
        </w:tc>
        <w:tc>
          <w:tcPr>
            <w:tcW w:type="pct" w:w="5%"/>
            <w:shd w:fill="E6F0EA" w:color="E6F0EA" w:val="clear"/>
            <w:tcMar>
              <w:top w:type="dxa" w:w="50"/>
              <w:left w:type="dxa" w:w="80"/>
              <w:bottom w:type="dxa" w:w="50"/>
              <w:right w:type="dxa" w:w="80"/>
            </w:tcMar>
          </w:tcPr>
          <w:p>
            <w:r>
              <w:rPr>
                <w:rFonts w:ascii="Calibri" w:cs="Calibri" w:eastAsia="Calibri" w:hAnsi="Calibri"/>
                <w:b/>
                <w:bCs/>
                <w:color w:val="375623"/>
                <w:sz w:val="19"/>
                <w:szCs w:val="19"/>
              </w:rPr>
              <w:t xml:space="preserve">I</w:t>
            </w:r>
          </w:p>
        </w:tc>
        <w:tc>
          <w:tcPr>
            <w:tcW w:type="pct" w:w="26%"/>
            <w:tcMar>
              <w:top w:type="dxa" w:w="50"/>
              <w:left w:type="dxa" w:w="80"/>
              <w:bottom w:type="dxa" w:w="50"/>
              <w:right w:type="dxa" w:w="80"/>
            </w:tcMar>
          </w:tcPr>
          <w:p>
            <w:r>
              <w:rPr>
                <w:rFonts w:ascii="Calibri" w:cs="Calibri" w:eastAsia="Calibri" w:hAnsi="Calibri"/>
                <w:color w:val="404040"/>
                <w:sz w:val="17"/>
                <w:szCs w:val="17"/>
              </w:rPr>
              <w:t xml:space="preserve">Shares transferred in from another fund in same family</w:t>
            </w:r>
          </w:p>
        </w:tc>
      </w:tr>
      <w:tr>
        <w:tc>
          <w:tcPr>
            <w:tcW w:type="pct" w:w="7%"/>
            <w:shd w:fill="2F5496" w:color="2F5496" w:val="clear"/>
            <w:tcMar>
              <w:top w:type="dxa" w:w="50"/>
              <w:left w:type="dxa" w:w="80"/>
              <w:bottom w:type="dxa" w:w="50"/>
              <w:right w:type="dxa" w:w="80"/>
            </w:tcMar>
          </w:tcPr>
          <w:p>
            <w:r>
              <w:rPr>
                <w:rFonts w:ascii="Calibri" w:cs="Calibri" w:eastAsia="Calibri" w:hAnsi="Calibri"/>
                <w:b/>
                <w:bCs/>
                <w:color w:val="FFFFFF"/>
                <w:sz w:val="19"/>
                <w:szCs w:val="19"/>
              </w:rPr>
              <w:t xml:space="preserve">004</w:t>
            </w:r>
          </w:p>
        </w:tc>
        <w:tc>
          <w:tcPr>
            <w:tcW w:type="pct" w:w="7%"/>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000</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Exchange Out</w:t>
            </w:r>
          </w:p>
        </w:tc>
        <w:tc>
          <w:tcPr>
            <w:tcW w:type="pct" w:w="15%"/>
            <w:shd w:fill="E8ECF4" w:color="E8ECF4" w:val="clear"/>
            <w:tcMar>
              <w:top w:type="dxa" w:w="50"/>
              <w:left w:type="dxa" w:w="80"/>
              <w:bottom w:type="dxa" w:w="50"/>
              <w:right w:type="dxa" w:w="80"/>
            </w:tcMar>
          </w:tcPr>
          <w:p>
            <w:r>
              <w:rPr>
                <w:rFonts w:ascii="Calibri" w:cs="Calibri" w:eastAsia="Calibri" w:hAnsi="Calibri"/>
                <w:b w:val="false"/>
                <w:bCs w:val="false"/>
                <w:color w:val="2F5496"/>
                <w:sz w:val="19"/>
                <w:szCs w:val="19"/>
              </w:rPr>
              <w:t xml:space="preserve">Open-end</w:t>
            </w:r>
          </w:p>
        </w:tc>
        <w:tc>
          <w:tcPr>
            <w:tcW w:type="pct" w:w="18%"/>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(Redemption type)</w:t>
            </w:r>
          </w:p>
        </w:tc>
        <w:tc>
          <w:tcPr>
            <w:tcW w:type="pct" w:w="5%"/>
            <w:shd w:fill="FDE8E8" w:color="FDE8E8" w:val="clear"/>
            <w:tcMar>
              <w:top w:type="dxa" w:w="50"/>
              <w:left w:type="dxa" w:w="80"/>
              <w:bottom w:type="dxa" w:w="50"/>
              <w:right w:type="dxa" w:w="80"/>
            </w:tcMar>
          </w:tcPr>
          <w:p>
            <w:r>
              <w:rPr>
                <w:rFonts w:ascii="Calibri" w:cs="Calibri" w:eastAsia="Calibri" w:hAnsi="Calibri"/>
                <w:b/>
                <w:bCs/>
                <w:color w:val="C00000"/>
                <w:sz w:val="19"/>
                <w:szCs w:val="19"/>
              </w:rPr>
              <w:t xml:space="preserve">O</w:t>
            </w:r>
          </w:p>
        </w:tc>
        <w:tc>
          <w:tcPr>
            <w:tcW w:type="pct" w:w="26%"/>
            <w:tcMar>
              <w:top w:type="dxa" w:w="50"/>
              <w:left w:type="dxa" w:w="80"/>
              <w:bottom w:type="dxa" w:w="50"/>
              <w:right w:type="dxa" w:w="80"/>
            </w:tcMar>
          </w:tcPr>
          <w:p>
            <w:r>
              <w:rPr>
                <w:rFonts w:ascii="Calibri" w:cs="Calibri" w:eastAsia="Calibri" w:hAnsi="Calibri"/>
                <w:color w:val="404040"/>
                <w:sz w:val="17"/>
                <w:szCs w:val="17"/>
              </w:rPr>
              <w:t xml:space="preserve">Shares transferred out to another fund in same family</w:t>
            </w:r>
          </w:p>
        </w:tc>
      </w:tr>
      <w:tr>
        <w:tc>
          <w:tcPr>
            <w:tcW w:type="pct" w:w="7%"/>
            <w:shd w:fill="2F5496" w:color="2F5496" w:val="clear"/>
            <w:tcMar>
              <w:top w:type="dxa" w:w="50"/>
              <w:left w:type="dxa" w:w="80"/>
              <w:bottom w:type="dxa" w:w="50"/>
              <w:right w:type="dxa" w:w="80"/>
            </w:tcMar>
          </w:tcPr>
          <w:p>
            <w:r>
              <w:rPr>
                <w:rFonts w:ascii="Calibri" w:cs="Calibri" w:eastAsia="Calibri" w:hAnsi="Calibri"/>
                <w:b/>
                <w:bCs/>
                <w:color w:val="FFFFFF"/>
                <w:sz w:val="19"/>
                <w:szCs w:val="19"/>
              </w:rPr>
              <w:t xml:space="preserve">005</w:t>
            </w:r>
          </w:p>
        </w:tc>
        <w:tc>
          <w:tcPr>
            <w:tcW w:type="pct" w:w="7%"/>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000</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Dividend Reinvestment</w:t>
            </w:r>
          </w:p>
        </w:tc>
        <w:tc>
          <w:tcPr>
            <w:tcW w:type="pct" w:w="15%"/>
            <w:shd w:fill="E8ECF4" w:color="E8ECF4" w:val="clear"/>
            <w:tcMar>
              <w:top w:type="dxa" w:w="50"/>
              <w:left w:type="dxa" w:w="80"/>
              <w:bottom w:type="dxa" w:w="50"/>
              <w:right w:type="dxa" w:w="80"/>
            </w:tcMar>
          </w:tcPr>
          <w:p>
            <w:r>
              <w:rPr>
                <w:rFonts w:ascii="Calibri" w:cs="Calibri" w:eastAsia="Calibri" w:hAnsi="Calibri"/>
                <w:b w:val="false"/>
                <w:bCs w:val="false"/>
                <w:color w:val="2F5496"/>
                <w:sz w:val="19"/>
                <w:szCs w:val="19"/>
              </w:rPr>
              <w:t xml:space="preserve">Open-end / BDC</w:t>
            </w:r>
          </w:p>
        </w:tc>
        <w:tc>
          <w:tcPr>
            <w:tcW w:type="pct" w:w="18%"/>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DistributionPayable + CashReceipt</w:t>
            </w:r>
          </w:p>
        </w:tc>
        <w:tc>
          <w:tcPr>
            <w:tcW w:type="pct" w:w="5%"/>
            <w:shd w:fill="E6F0EA" w:color="E6F0EA" w:val="clear"/>
            <w:tcMar>
              <w:top w:type="dxa" w:w="50"/>
              <w:left w:type="dxa" w:w="80"/>
              <w:bottom w:type="dxa" w:w="50"/>
              <w:right w:type="dxa" w:w="80"/>
            </w:tcMar>
          </w:tcPr>
          <w:p>
            <w:r>
              <w:rPr>
                <w:rFonts w:ascii="Calibri" w:cs="Calibri" w:eastAsia="Calibri" w:hAnsi="Calibri"/>
                <w:b/>
                <w:bCs/>
                <w:color w:val="375623"/>
                <w:sz w:val="19"/>
                <w:szCs w:val="19"/>
              </w:rPr>
              <w:t xml:space="preserve">I</w:t>
            </w:r>
          </w:p>
        </w:tc>
        <w:tc>
          <w:tcPr>
            <w:tcW w:type="pct" w:w="26%"/>
            <w:tcMar>
              <w:top w:type="dxa" w:w="50"/>
              <w:left w:type="dxa" w:w="80"/>
              <w:bottom w:type="dxa" w:w="50"/>
              <w:right w:type="dxa" w:w="80"/>
            </w:tcMar>
          </w:tcPr>
          <w:p>
            <w:r>
              <w:rPr>
                <w:rFonts w:ascii="Calibri" w:cs="Calibri" w:eastAsia="Calibri" w:hAnsi="Calibri"/>
                <w:color w:val="404040"/>
                <w:sz w:val="17"/>
                <w:szCs w:val="17"/>
              </w:rPr>
              <w:t xml:space="preserve">Distribution reinvested as new shares rather than paid out in cash</w:t>
            </w:r>
          </w:p>
        </w:tc>
      </w:tr>
      <w:tr>
        <w:tc>
          <w:tcPr>
            <w:tcW w:type="pct" w:w="7%"/>
            <w:shd w:fill="2F5496" w:color="2F5496" w:val="clear"/>
            <w:tcMar>
              <w:top w:type="dxa" w:w="50"/>
              <w:left w:type="dxa" w:w="80"/>
              <w:bottom w:type="dxa" w:w="50"/>
              <w:right w:type="dxa" w:w="80"/>
            </w:tcMar>
          </w:tcPr>
          <w:p>
            <w:r>
              <w:rPr>
                <w:rFonts w:ascii="Calibri" w:cs="Calibri" w:eastAsia="Calibri" w:hAnsi="Calibri"/>
                <w:b/>
                <w:bCs/>
                <w:color w:val="FFFFFF"/>
                <w:sz w:val="19"/>
                <w:szCs w:val="19"/>
              </w:rPr>
              <w:t xml:space="preserve">006</w:t>
            </w:r>
          </w:p>
        </w:tc>
        <w:tc>
          <w:tcPr>
            <w:tcW w:type="pct" w:w="7%"/>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000</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Capital Gain Distribution</w:t>
            </w:r>
          </w:p>
        </w:tc>
        <w:tc>
          <w:tcPr>
            <w:tcW w:type="pct" w:w="15%"/>
            <w:shd w:fill="E8ECF4" w:color="E8ECF4" w:val="clear"/>
            <w:tcMar>
              <w:top w:type="dxa" w:w="50"/>
              <w:left w:type="dxa" w:w="80"/>
              <w:bottom w:type="dxa" w:w="50"/>
              <w:right w:type="dxa" w:w="80"/>
            </w:tcMar>
          </w:tcPr>
          <w:p>
            <w:r>
              <w:rPr>
                <w:rFonts w:ascii="Calibri" w:cs="Calibri" w:eastAsia="Calibri" w:hAnsi="Calibri"/>
                <w:b w:val="false"/>
                <w:bCs w:val="false"/>
                <w:color w:val="2F5496"/>
                <w:sz w:val="19"/>
                <w:szCs w:val="19"/>
              </w:rPr>
              <w:t xml:space="preserve">Open-end / NT-REIT</w:t>
            </w:r>
          </w:p>
        </w:tc>
        <w:tc>
          <w:tcPr>
            <w:tcW w:type="pct" w:w="18%"/>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RealizedGain distribution</w:t>
            </w:r>
          </w:p>
        </w:tc>
        <w:tc>
          <w:tcPr>
            <w:tcW w:type="pct" w:w="5%"/>
            <w:shd w:fill="FDE8E8" w:color="FDE8E8" w:val="clear"/>
            <w:tcMar>
              <w:top w:type="dxa" w:w="50"/>
              <w:left w:type="dxa" w:w="80"/>
              <w:bottom w:type="dxa" w:w="50"/>
              <w:right w:type="dxa" w:w="80"/>
            </w:tcMar>
          </w:tcPr>
          <w:p>
            <w:r>
              <w:rPr>
                <w:rFonts w:ascii="Calibri" w:cs="Calibri" w:eastAsia="Calibri" w:hAnsi="Calibri"/>
                <w:b/>
                <w:bCs/>
                <w:color w:val="C00000"/>
                <w:sz w:val="19"/>
                <w:szCs w:val="19"/>
              </w:rPr>
              <w:t xml:space="preserve">O</w:t>
            </w:r>
          </w:p>
        </w:tc>
        <w:tc>
          <w:tcPr>
            <w:tcW w:type="pct" w:w="26%"/>
            <w:tcMar>
              <w:top w:type="dxa" w:w="50"/>
              <w:left w:type="dxa" w:w="80"/>
              <w:bottom w:type="dxa" w:w="50"/>
              <w:right w:type="dxa" w:w="80"/>
            </w:tcMar>
          </w:tcPr>
          <w:p>
            <w:r>
              <w:rPr>
                <w:rFonts w:ascii="Calibri" w:cs="Calibri" w:eastAsia="Calibri" w:hAnsi="Calibri"/>
                <w:color w:val="404040"/>
                <w:sz w:val="17"/>
                <w:szCs w:val="17"/>
              </w:rPr>
              <w:t xml:space="preserve">Realized gain distributed to shareholders</w:t>
            </w:r>
          </w:p>
        </w:tc>
      </w:tr>
      <w:tr>
        <w:tc>
          <w:tcPr>
            <w:tcW w:type="pct" w:w="7%"/>
            <w:shd w:fill="2F5496" w:color="2F5496" w:val="clear"/>
            <w:tcMar>
              <w:top w:type="dxa" w:w="50"/>
              <w:left w:type="dxa" w:w="80"/>
              <w:bottom w:type="dxa" w:w="50"/>
              <w:right w:type="dxa" w:w="80"/>
            </w:tcMar>
          </w:tcPr>
          <w:p>
            <w:r>
              <w:rPr>
                <w:rFonts w:ascii="Calibri" w:cs="Calibri" w:eastAsia="Calibri" w:hAnsi="Calibri"/>
                <w:b/>
                <w:bCs/>
                <w:color w:val="FFFFFF"/>
                <w:sz w:val="19"/>
                <w:szCs w:val="19"/>
              </w:rPr>
              <w:t xml:space="preserve">007</w:t>
            </w:r>
          </w:p>
        </w:tc>
        <w:tc>
          <w:tcPr>
            <w:tcW w:type="pct" w:w="7%"/>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000</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Return of Capital Distribution</w:t>
            </w:r>
          </w:p>
        </w:tc>
        <w:tc>
          <w:tcPr>
            <w:tcW w:type="pct" w:w="15%"/>
            <w:shd w:fill="E8ECF4" w:color="E8ECF4" w:val="clear"/>
            <w:tcMar>
              <w:top w:type="dxa" w:w="50"/>
              <w:left w:type="dxa" w:w="80"/>
              <w:bottom w:type="dxa" w:w="50"/>
              <w:right w:type="dxa" w:w="80"/>
            </w:tcMar>
          </w:tcPr>
          <w:p>
            <w:r>
              <w:rPr>
                <w:rFonts w:ascii="Calibri" w:cs="Calibri" w:eastAsia="Calibri" w:hAnsi="Calibri"/>
                <w:b w:val="false"/>
                <w:bCs w:val="false"/>
                <w:color w:val="2F5496"/>
                <w:sz w:val="19"/>
                <w:szCs w:val="19"/>
              </w:rPr>
              <w:t xml:space="preserve">Open-end / NT-REIT</w:t>
            </w:r>
          </w:p>
        </w:tc>
        <w:tc>
          <w:tcPr>
            <w:tcW w:type="pct" w:w="18%"/>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DistributionPayable (ROC)</w:t>
            </w:r>
          </w:p>
        </w:tc>
        <w:tc>
          <w:tcPr>
            <w:tcW w:type="pct" w:w="5%"/>
            <w:shd w:fill="FDE8E8" w:color="FDE8E8" w:val="clear"/>
            <w:tcMar>
              <w:top w:type="dxa" w:w="50"/>
              <w:left w:type="dxa" w:w="80"/>
              <w:bottom w:type="dxa" w:w="50"/>
              <w:right w:type="dxa" w:w="80"/>
            </w:tcMar>
          </w:tcPr>
          <w:p>
            <w:r>
              <w:rPr>
                <w:rFonts w:ascii="Calibri" w:cs="Calibri" w:eastAsia="Calibri" w:hAnsi="Calibri"/>
                <w:b/>
                <w:bCs/>
                <w:color w:val="C00000"/>
                <w:sz w:val="19"/>
                <w:szCs w:val="19"/>
              </w:rPr>
              <w:t xml:space="preserve">O</w:t>
            </w:r>
          </w:p>
        </w:tc>
        <w:tc>
          <w:tcPr>
            <w:tcW w:type="pct" w:w="26%"/>
            <w:tcMar>
              <w:top w:type="dxa" w:w="50"/>
              <w:left w:type="dxa" w:w="80"/>
              <w:bottom w:type="dxa" w:w="50"/>
              <w:right w:type="dxa" w:w="80"/>
            </w:tcMar>
          </w:tcPr>
          <w:p>
            <w:r>
              <w:rPr>
                <w:rFonts w:ascii="Calibri" w:cs="Calibri" w:eastAsia="Calibri" w:hAnsi="Calibri"/>
                <w:color w:val="404040"/>
                <w:sz w:val="17"/>
                <w:szCs w:val="17"/>
              </w:rPr>
              <w:t xml:space="preserve">Non-taxable return of cost basis to investor</w:t>
            </w:r>
          </w:p>
        </w:tc>
      </w:tr>
      <w:tr>
        <w:tc>
          <w:tcPr>
            <w:tcW w:type="pct" w:w="7%"/>
            <w:shd w:fill="2F5496" w:color="2F5496" w:val="clear"/>
            <w:tcMar>
              <w:top w:type="dxa" w:w="50"/>
              <w:left w:type="dxa" w:w="80"/>
              <w:bottom w:type="dxa" w:w="50"/>
              <w:right w:type="dxa" w:w="80"/>
            </w:tcMar>
          </w:tcPr>
          <w:p>
            <w:r>
              <w:rPr>
                <w:rFonts w:ascii="Calibri" w:cs="Calibri" w:eastAsia="Calibri" w:hAnsi="Calibri"/>
                <w:b/>
                <w:bCs/>
                <w:color w:val="FFFFFF"/>
                <w:sz w:val="19"/>
                <w:szCs w:val="19"/>
              </w:rPr>
              <w:t xml:space="preserve">008</w:t>
            </w:r>
          </w:p>
        </w:tc>
        <w:tc>
          <w:tcPr>
            <w:tcW w:type="pct" w:w="7%"/>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000</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Transfer In</w:t>
            </w:r>
          </w:p>
        </w:tc>
        <w:tc>
          <w:tcPr>
            <w:tcW w:type="pct" w:w="15%"/>
            <w:shd w:fill="E8ECF4" w:color="E8ECF4" w:val="clear"/>
            <w:tcMar>
              <w:top w:type="dxa" w:w="50"/>
              <w:left w:type="dxa" w:w="80"/>
              <w:bottom w:type="dxa" w:w="50"/>
              <w:right w:type="dxa" w:w="80"/>
            </w:tcMar>
          </w:tcPr>
          <w:p>
            <w:r>
              <w:rPr>
                <w:rFonts w:ascii="Calibri" w:cs="Calibri" w:eastAsia="Calibri" w:hAnsi="Calibri"/>
                <w:b w:val="false"/>
                <w:bCs w:val="false"/>
                <w:color w:val="2F5496"/>
                <w:sz w:val="19"/>
                <w:szCs w:val="19"/>
              </w:rPr>
              <w:t xml:space="preserve">Any</w:t>
            </w:r>
          </w:p>
        </w:tc>
        <w:tc>
          <w:tcPr>
            <w:tcW w:type="pct" w:w="18%"/>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Account transfer</w:t>
            </w:r>
          </w:p>
        </w:tc>
        <w:tc>
          <w:tcPr>
            <w:tcW w:type="pct" w:w="5%"/>
            <w:shd w:fill="E6F0EA" w:color="E6F0EA" w:val="clear"/>
            <w:tcMar>
              <w:top w:type="dxa" w:w="50"/>
              <w:left w:type="dxa" w:w="80"/>
              <w:bottom w:type="dxa" w:w="50"/>
              <w:right w:type="dxa" w:w="80"/>
            </w:tcMar>
          </w:tcPr>
          <w:p>
            <w:r>
              <w:rPr>
                <w:rFonts w:ascii="Calibri" w:cs="Calibri" w:eastAsia="Calibri" w:hAnsi="Calibri"/>
                <w:b/>
                <w:bCs/>
                <w:color w:val="375623"/>
                <w:sz w:val="19"/>
                <w:szCs w:val="19"/>
              </w:rPr>
              <w:t xml:space="preserve">I</w:t>
            </w:r>
          </w:p>
        </w:tc>
        <w:tc>
          <w:tcPr>
            <w:tcW w:type="pct" w:w="26%"/>
            <w:tcMar>
              <w:top w:type="dxa" w:w="50"/>
              <w:left w:type="dxa" w:w="80"/>
              <w:bottom w:type="dxa" w:w="50"/>
              <w:right w:type="dxa" w:w="80"/>
            </w:tcMar>
          </w:tcPr>
          <w:p>
            <w:r>
              <w:rPr>
                <w:rFonts w:ascii="Calibri" w:cs="Calibri" w:eastAsia="Calibri" w:hAnsi="Calibri"/>
                <w:color w:val="404040"/>
                <w:sz w:val="17"/>
                <w:szCs w:val="17"/>
              </w:rPr>
              <w:t xml:space="preserve">Account transferred in from another custodian or broker</w:t>
            </w:r>
          </w:p>
        </w:tc>
      </w:tr>
      <w:tr>
        <w:tc>
          <w:tcPr>
            <w:tcW w:type="pct" w:w="7%"/>
            <w:shd w:fill="2F5496" w:color="2F5496" w:val="clear"/>
            <w:tcMar>
              <w:top w:type="dxa" w:w="50"/>
              <w:left w:type="dxa" w:w="80"/>
              <w:bottom w:type="dxa" w:w="50"/>
              <w:right w:type="dxa" w:w="80"/>
            </w:tcMar>
          </w:tcPr>
          <w:p>
            <w:r>
              <w:rPr>
                <w:rFonts w:ascii="Calibri" w:cs="Calibri" w:eastAsia="Calibri" w:hAnsi="Calibri"/>
                <w:b/>
                <w:bCs/>
                <w:color w:val="FFFFFF"/>
                <w:sz w:val="19"/>
                <w:szCs w:val="19"/>
              </w:rPr>
              <w:t xml:space="preserve">009</w:t>
            </w:r>
          </w:p>
        </w:tc>
        <w:tc>
          <w:tcPr>
            <w:tcW w:type="pct" w:w="7%"/>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000</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Transfer Out</w:t>
            </w:r>
          </w:p>
        </w:tc>
        <w:tc>
          <w:tcPr>
            <w:tcW w:type="pct" w:w="15%"/>
            <w:shd w:fill="E8ECF4" w:color="E8ECF4" w:val="clear"/>
            <w:tcMar>
              <w:top w:type="dxa" w:w="50"/>
              <w:left w:type="dxa" w:w="80"/>
              <w:bottom w:type="dxa" w:w="50"/>
              <w:right w:type="dxa" w:w="80"/>
            </w:tcMar>
          </w:tcPr>
          <w:p>
            <w:r>
              <w:rPr>
                <w:rFonts w:ascii="Calibri" w:cs="Calibri" w:eastAsia="Calibri" w:hAnsi="Calibri"/>
                <w:b w:val="false"/>
                <w:bCs w:val="false"/>
                <w:color w:val="2F5496"/>
                <w:sz w:val="19"/>
                <w:szCs w:val="19"/>
              </w:rPr>
              <w:t xml:space="preserve">Any</w:t>
            </w:r>
          </w:p>
        </w:tc>
        <w:tc>
          <w:tcPr>
            <w:tcW w:type="pct" w:w="18%"/>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Account transfer</w:t>
            </w:r>
          </w:p>
        </w:tc>
        <w:tc>
          <w:tcPr>
            <w:tcW w:type="pct" w:w="5%"/>
            <w:shd w:fill="FDE8E8" w:color="FDE8E8" w:val="clear"/>
            <w:tcMar>
              <w:top w:type="dxa" w:w="50"/>
              <w:left w:type="dxa" w:w="80"/>
              <w:bottom w:type="dxa" w:w="50"/>
              <w:right w:type="dxa" w:w="80"/>
            </w:tcMar>
          </w:tcPr>
          <w:p>
            <w:r>
              <w:rPr>
                <w:rFonts w:ascii="Calibri" w:cs="Calibri" w:eastAsia="Calibri" w:hAnsi="Calibri"/>
                <w:b/>
                <w:bCs/>
                <w:color w:val="C00000"/>
                <w:sz w:val="19"/>
                <w:szCs w:val="19"/>
              </w:rPr>
              <w:t xml:space="preserve">O</w:t>
            </w:r>
          </w:p>
        </w:tc>
        <w:tc>
          <w:tcPr>
            <w:tcW w:type="pct" w:w="26%"/>
            <w:tcMar>
              <w:top w:type="dxa" w:w="50"/>
              <w:left w:type="dxa" w:w="80"/>
              <w:bottom w:type="dxa" w:w="50"/>
              <w:right w:type="dxa" w:w="80"/>
            </w:tcMar>
          </w:tcPr>
          <w:p>
            <w:r>
              <w:rPr>
                <w:rFonts w:ascii="Calibri" w:cs="Calibri" w:eastAsia="Calibri" w:hAnsi="Calibri"/>
                <w:color w:val="404040"/>
                <w:sz w:val="17"/>
                <w:szCs w:val="17"/>
              </w:rPr>
              <w:t xml:space="preserve">Account transferred out to another custodian or broker</w:t>
            </w:r>
          </w:p>
        </w:tc>
      </w:tr>
      <w:tr>
        <w:tc>
          <w:tcPr>
            <w:tcW w:type="pct" w:w="7%"/>
            <w:shd w:fill="2F5496" w:color="2F5496" w:val="clear"/>
            <w:tcMar>
              <w:top w:type="dxa" w:w="50"/>
              <w:left w:type="dxa" w:w="80"/>
              <w:bottom w:type="dxa" w:w="50"/>
              <w:right w:type="dxa" w:w="80"/>
            </w:tcMar>
          </w:tcPr>
          <w:p>
            <w:r>
              <w:rPr>
                <w:rFonts w:ascii="Calibri" w:cs="Calibri" w:eastAsia="Calibri" w:hAnsi="Calibri"/>
                <w:b/>
                <w:bCs/>
                <w:color w:val="FFFFFF"/>
                <w:sz w:val="19"/>
                <w:szCs w:val="19"/>
              </w:rPr>
              <w:t xml:space="preserve">021</w:t>
            </w:r>
          </w:p>
        </w:tc>
        <w:tc>
          <w:tcPr>
            <w:tcW w:type="pct" w:w="7%"/>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000</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Systematic Investment Plan</w:t>
            </w:r>
          </w:p>
        </w:tc>
        <w:tc>
          <w:tcPr>
            <w:tcW w:type="pct" w:w="15%"/>
            <w:shd w:fill="E8ECF4" w:color="E8ECF4" w:val="clear"/>
            <w:tcMar>
              <w:top w:type="dxa" w:w="50"/>
              <w:left w:type="dxa" w:w="80"/>
              <w:bottom w:type="dxa" w:w="50"/>
              <w:right w:type="dxa" w:w="80"/>
            </w:tcMar>
          </w:tcPr>
          <w:p>
            <w:r>
              <w:rPr>
                <w:rFonts w:ascii="Calibri" w:cs="Calibri" w:eastAsia="Calibri" w:hAnsi="Calibri"/>
                <w:b w:val="false"/>
                <w:bCs w:val="false"/>
                <w:color w:val="2F5496"/>
                <w:sz w:val="19"/>
                <w:szCs w:val="19"/>
              </w:rPr>
              <w:t xml:space="preserve">Open-end</w:t>
            </w:r>
          </w:p>
        </w:tc>
        <w:tc>
          <w:tcPr>
            <w:tcW w:type="pct" w:w="18%"/>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CashReceipt (recurring)</w:t>
            </w:r>
          </w:p>
        </w:tc>
        <w:tc>
          <w:tcPr>
            <w:tcW w:type="pct" w:w="5%"/>
            <w:shd w:fill="E6F0EA" w:color="E6F0EA" w:val="clear"/>
            <w:tcMar>
              <w:top w:type="dxa" w:w="50"/>
              <w:left w:type="dxa" w:w="80"/>
              <w:bottom w:type="dxa" w:w="50"/>
              <w:right w:type="dxa" w:w="80"/>
            </w:tcMar>
          </w:tcPr>
          <w:p>
            <w:r>
              <w:rPr>
                <w:rFonts w:ascii="Calibri" w:cs="Calibri" w:eastAsia="Calibri" w:hAnsi="Calibri"/>
                <w:b/>
                <w:bCs/>
                <w:color w:val="375623"/>
                <w:sz w:val="19"/>
                <w:szCs w:val="19"/>
              </w:rPr>
              <w:t xml:space="preserve">I</w:t>
            </w:r>
          </w:p>
        </w:tc>
        <w:tc>
          <w:tcPr>
            <w:tcW w:type="pct" w:w="26%"/>
            <w:tcMar>
              <w:top w:type="dxa" w:w="50"/>
              <w:left w:type="dxa" w:w="80"/>
              <w:bottom w:type="dxa" w:w="50"/>
              <w:right w:type="dxa" w:w="80"/>
            </w:tcMar>
          </w:tcPr>
          <w:p>
            <w:r>
              <w:rPr>
                <w:rFonts w:ascii="Calibri" w:cs="Calibri" w:eastAsia="Calibri" w:hAnsi="Calibri"/>
                <w:color w:val="404040"/>
                <w:sz w:val="17"/>
                <w:szCs w:val="17"/>
              </w:rPr>
              <w:t xml:space="preserve">Recurring scheduled purchase (monthly auto-invest)</w:t>
            </w:r>
          </w:p>
        </w:tc>
      </w:tr>
      <w:tr>
        <w:tc>
          <w:tcPr>
            <w:tcW w:type="pct" w:w="7%"/>
            <w:shd w:fill="2F5496" w:color="2F5496" w:val="clear"/>
            <w:tcMar>
              <w:top w:type="dxa" w:w="50"/>
              <w:left w:type="dxa" w:w="80"/>
              <w:bottom w:type="dxa" w:w="50"/>
              <w:right w:type="dxa" w:w="80"/>
            </w:tcMar>
          </w:tcPr>
          <w:p>
            <w:r>
              <w:rPr>
                <w:rFonts w:ascii="Calibri" w:cs="Calibri" w:eastAsia="Calibri" w:hAnsi="Calibri"/>
                <w:b/>
                <w:bCs/>
                <w:color w:val="FFFFFF"/>
                <w:sz w:val="19"/>
                <w:szCs w:val="19"/>
              </w:rPr>
              <w:t xml:space="preserve">022</w:t>
            </w:r>
          </w:p>
        </w:tc>
        <w:tc>
          <w:tcPr>
            <w:tcW w:type="pct" w:w="7%"/>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000</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Systematic Withdrawal Plan</w:t>
            </w:r>
          </w:p>
        </w:tc>
        <w:tc>
          <w:tcPr>
            <w:tcW w:type="pct" w:w="15%"/>
            <w:shd w:fill="E8ECF4" w:color="E8ECF4" w:val="clear"/>
            <w:tcMar>
              <w:top w:type="dxa" w:w="50"/>
              <w:left w:type="dxa" w:w="80"/>
              <w:bottom w:type="dxa" w:w="50"/>
              <w:right w:type="dxa" w:w="80"/>
            </w:tcMar>
          </w:tcPr>
          <w:p>
            <w:r>
              <w:rPr>
                <w:rFonts w:ascii="Calibri" w:cs="Calibri" w:eastAsia="Calibri" w:hAnsi="Calibri"/>
                <w:b w:val="false"/>
                <w:bCs w:val="false"/>
                <w:color w:val="2F5496"/>
                <w:sz w:val="19"/>
                <w:szCs w:val="19"/>
              </w:rPr>
              <w:t xml:space="preserve">Open-end</w:t>
            </w:r>
          </w:p>
        </w:tc>
        <w:tc>
          <w:tcPr>
            <w:tcW w:type="pct" w:w="18%"/>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Redemption (recurring)</w:t>
            </w:r>
          </w:p>
        </w:tc>
        <w:tc>
          <w:tcPr>
            <w:tcW w:type="pct" w:w="5%"/>
            <w:shd w:fill="FDE8E8" w:color="FDE8E8" w:val="clear"/>
            <w:tcMar>
              <w:top w:type="dxa" w:w="50"/>
              <w:left w:type="dxa" w:w="80"/>
              <w:bottom w:type="dxa" w:w="50"/>
              <w:right w:type="dxa" w:w="80"/>
            </w:tcMar>
          </w:tcPr>
          <w:p>
            <w:r>
              <w:rPr>
                <w:rFonts w:ascii="Calibri" w:cs="Calibri" w:eastAsia="Calibri" w:hAnsi="Calibri"/>
                <w:b/>
                <w:bCs/>
                <w:color w:val="C00000"/>
                <w:sz w:val="19"/>
                <w:szCs w:val="19"/>
              </w:rPr>
              <w:t xml:space="preserve">O</w:t>
            </w:r>
          </w:p>
        </w:tc>
        <w:tc>
          <w:tcPr>
            <w:tcW w:type="pct" w:w="26%"/>
            <w:tcMar>
              <w:top w:type="dxa" w:w="50"/>
              <w:left w:type="dxa" w:w="80"/>
              <w:bottom w:type="dxa" w:w="50"/>
              <w:right w:type="dxa" w:w="80"/>
            </w:tcMar>
          </w:tcPr>
          <w:p>
            <w:r>
              <w:rPr>
                <w:rFonts w:ascii="Calibri" w:cs="Calibri" w:eastAsia="Calibri" w:hAnsi="Calibri"/>
                <w:color w:val="404040"/>
                <w:sz w:val="17"/>
                <w:szCs w:val="17"/>
              </w:rPr>
              <w:t xml:space="preserve">Recurring scheduled redemption</w:t>
            </w:r>
          </w:p>
        </w:tc>
      </w:tr>
      <w:tr>
        <w:tc>
          <w:tcPr>
            <w:tcW w:type="pct" w:w="7%"/>
            <w:shd w:fill="1F3864" w:color="1F3864" w:val="clear"/>
            <w:tcMar>
              <w:top w:type="dxa" w:w="50"/>
              <w:left w:type="dxa" w:w="80"/>
              <w:bottom w:type="dxa" w:w="50"/>
              <w:right w:type="dxa" w:w="80"/>
            </w:tcMar>
          </w:tcPr>
          <w:p>
            <w:r>
              <w:rPr>
                <w:rFonts w:ascii="Calibri" w:cs="Calibri" w:eastAsia="Calibri" w:hAnsi="Calibri"/>
                <w:b/>
                <w:bCs/>
                <w:color w:val="FFFFFF"/>
                <w:sz w:val="19"/>
                <w:szCs w:val="19"/>
              </w:rPr>
              <w:t xml:space="preserve">050</w:t>
            </w:r>
          </w:p>
        </w:tc>
        <w:tc>
          <w:tcPr>
            <w:tcW w:type="pct" w:w="7%"/>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001</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Capital Call — Initial</w:t>
            </w:r>
          </w:p>
        </w:tc>
        <w:tc>
          <w:tcPr>
            <w:tcW w:type="pct" w:w="15%"/>
            <w:shd w:fill="E6F0EA" w:color="E6F0EA" w:val="clear"/>
            <w:tcMar>
              <w:top w:type="dxa" w:w="50"/>
              <w:left w:type="dxa" w:w="80"/>
              <w:bottom w:type="dxa" w:w="50"/>
              <w:right w:type="dxa" w:w="80"/>
            </w:tcMar>
          </w:tcPr>
          <w:p>
            <w:r>
              <w:rPr>
                <w:rFonts w:ascii="Calibri" w:cs="Calibri" w:eastAsia="Calibri" w:hAnsi="Calibri"/>
                <w:b w:val="false"/>
                <w:bCs w:val="false"/>
                <w:color w:val="375623"/>
                <w:sz w:val="19"/>
                <w:szCs w:val="19"/>
              </w:rPr>
              <w:t xml:space="preserve">Closed-End PE</w:t>
            </w:r>
          </w:p>
        </w:tc>
        <w:tc>
          <w:tcPr>
            <w:tcW w:type="pct" w:w="18%"/>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CapitalCallReceivable + CashReceipt</w:t>
            </w:r>
          </w:p>
        </w:tc>
        <w:tc>
          <w:tcPr>
            <w:tcW w:type="pct" w:w="5%"/>
            <w:shd w:fill="E6F0EA" w:color="E6F0EA" w:val="clear"/>
            <w:tcMar>
              <w:top w:type="dxa" w:w="50"/>
              <w:left w:type="dxa" w:w="80"/>
              <w:bottom w:type="dxa" w:w="50"/>
              <w:right w:type="dxa" w:w="80"/>
            </w:tcMar>
          </w:tcPr>
          <w:p>
            <w:r>
              <w:rPr>
                <w:rFonts w:ascii="Calibri" w:cs="Calibri" w:eastAsia="Calibri" w:hAnsi="Calibri"/>
                <w:b/>
                <w:bCs/>
                <w:color w:val="375623"/>
                <w:sz w:val="19"/>
                <w:szCs w:val="19"/>
              </w:rPr>
              <w:t xml:space="preserve">I</w:t>
            </w:r>
          </w:p>
        </w:tc>
        <w:tc>
          <w:tcPr>
            <w:tcW w:type="pct" w:w="26%"/>
            <w:tcMar>
              <w:top w:type="dxa" w:w="50"/>
              <w:left w:type="dxa" w:w="80"/>
              <w:bottom w:type="dxa" w:w="50"/>
              <w:right w:type="dxa" w:w="80"/>
            </w:tcMar>
          </w:tcPr>
          <w:p>
            <w:r>
              <w:rPr>
                <w:rFonts w:ascii="Calibri" w:cs="Calibri" w:eastAsia="Calibri" w:hAnsi="Calibri"/>
                <w:color w:val="404040"/>
                <w:sz w:val="17"/>
                <w:szCs w:val="17"/>
              </w:rPr>
              <w:t xml:space="preserve">First capital call under an LP commitment (CC1 in AMC model)</w:t>
            </w:r>
          </w:p>
        </w:tc>
      </w:tr>
      <w:tr>
        <w:tc>
          <w:tcPr>
            <w:tcW w:type="pct" w:w="7%"/>
            <w:shd w:fill="1F3864" w:color="1F3864" w:val="clear"/>
            <w:tcMar>
              <w:top w:type="dxa" w:w="50"/>
              <w:left w:type="dxa" w:w="80"/>
              <w:bottom w:type="dxa" w:w="50"/>
              <w:right w:type="dxa" w:w="80"/>
            </w:tcMar>
          </w:tcPr>
          <w:p>
            <w:r>
              <w:rPr>
                <w:rFonts w:ascii="Calibri" w:cs="Calibri" w:eastAsia="Calibri" w:hAnsi="Calibri"/>
                <w:b/>
                <w:bCs/>
                <w:color w:val="FFFFFF"/>
                <w:sz w:val="19"/>
                <w:szCs w:val="19"/>
              </w:rPr>
              <w:t xml:space="preserve">050</w:t>
            </w:r>
          </w:p>
        </w:tc>
        <w:tc>
          <w:tcPr>
            <w:tcW w:type="pct" w:w="7%"/>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002</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Capital Call — Subsequent</w:t>
            </w:r>
          </w:p>
        </w:tc>
        <w:tc>
          <w:tcPr>
            <w:tcW w:type="pct" w:w="15%"/>
            <w:shd w:fill="E6F0EA" w:color="E6F0EA" w:val="clear"/>
            <w:tcMar>
              <w:top w:type="dxa" w:w="50"/>
              <w:left w:type="dxa" w:w="80"/>
              <w:bottom w:type="dxa" w:w="50"/>
              <w:right w:type="dxa" w:w="80"/>
            </w:tcMar>
          </w:tcPr>
          <w:p>
            <w:r>
              <w:rPr>
                <w:rFonts w:ascii="Calibri" w:cs="Calibri" w:eastAsia="Calibri" w:hAnsi="Calibri"/>
                <w:b w:val="false"/>
                <w:bCs w:val="false"/>
                <w:color w:val="375623"/>
                <w:sz w:val="19"/>
                <w:szCs w:val="19"/>
              </w:rPr>
              <w:t xml:space="preserve">Closed-End PE</w:t>
            </w:r>
          </w:p>
        </w:tc>
        <w:tc>
          <w:tcPr>
            <w:tcW w:type="pct" w:w="18%"/>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CapitalCallReceivable + CashReceipt</w:t>
            </w:r>
          </w:p>
        </w:tc>
        <w:tc>
          <w:tcPr>
            <w:tcW w:type="pct" w:w="5%"/>
            <w:shd w:fill="E6F0EA" w:color="E6F0EA" w:val="clear"/>
            <w:tcMar>
              <w:top w:type="dxa" w:w="50"/>
              <w:left w:type="dxa" w:w="80"/>
              <w:bottom w:type="dxa" w:w="50"/>
              <w:right w:type="dxa" w:w="80"/>
            </w:tcMar>
          </w:tcPr>
          <w:p>
            <w:r>
              <w:rPr>
                <w:rFonts w:ascii="Calibri" w:cs="Calibri" w:eastAsia="Calibri" w:hAnsi="Calibri"/>
                <w:b/>
                <w:bCs/>
                <w:color w:val="375623"/>
                <w:sz w:val="19"/>
                <w:szCs w:val="19"/>
              </w:rPr>
              <w:t xml:space="preserve">I</w:t>
            </w:r>
          </w:p>
        </w:tc>
        <w:tc>
          <w:tcPr>
            <w:tcW w:type="pct" w:w="26%"/>
            <w:tcMar>
              <w:top w:type="dxa" w:w="50"/>
              <w:left w:type="dxa" w:w="80"/>
              <w:bottom w:type="dxa" w:w="50"/>
              <w:right w:type="dxa" w:w="80"/>
            </w:tcMar>
          </w:tcPr>
          <w:p>
            <w:r>
              <w:rPr>
                <w:rFonts w:ascii="Calibri" w:cs="Calibri" w:eastAsia="Calibri" w:hAnsi="Calibri"/>
                <w:color w:val="404040"/>
                <w:sz w:val="17"/>
                <w:szCs w:val="17"/>
              </w:rPr>
              <w:t xml:space="preserve">Follow-on capital call (CC2, CC3… in AMC model)</w:t>
            </w:r>
          </w:p>
        </w:tc>
      </w:tr>
      <w:tr>
        <w:tc>
          <w:tcPr>
            <w:tcW w:type="pct" w:w="7%"/>
            <w:shd w:fill="1F3864" w:color="1F3864" w:val="clear"/>
            <w:tcMar>
              <w:top w:type="dxa" w:w="50"/>
              <w:left w:type="dxa" w:w="80"/>
              <w:bottom w:type="dxa" w:w="50"/>
              <w:right w:type="dxa" w:w="80"/>
            </w:tcMar>
          </w:tcPr>
          <w:p>
            <w:r>
              <w:rPr>
                <w:rFonts w:ascii="Calibri" w:cs="Calibri" w:eastAsia="Calibri" w:hAnsi="Calibri"/>
                <w:b/>
                <w:bCs/>
                <w:color w:val="FFFFFF"/>
                <w:sz w:val="19"/>
                <w:szCs w:val="19"/>
              </w:rPr>
              <w:t xml:space="preserve">050</w:t>
            </w:r>
          </w:p>
        </w:tc>
        <w:tc>
          <w:tcPr>
            <w:tcW w:type="pct" w:w="7%"/>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003</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Capital Call — Equalization</w:t>
            </w:r>
          </w:p>
        </w:tc>
        <w:tc>
          <w:tcPr>
            <w:tcW w:type="pct" w:w="15%"/>
            <w:shd w:fill="E6F0EA" w:color="E6F0EA" w:val="clear"/>
            <w:tcMar>
              <w:top w:type="dxa" w:w="50"/>
              <w:left w:type="dxa" w:w="80"/>
              <w:bottom w:type="dxa" w:w="50"/>
              <w:right w:type="dxa" w:w="80"/>
            </w:tcMar>
          </w:tcPr>
          <w:p>
            <w:r>
              <w:rPr>
                <w:rFonts w:ascii="Calibri" w:cs="Calibri" w:eastAsia="Calibri" w:hAnsi="Calibri"/>
                <w:b w:val="false"/>
                <w:bCs w:val="false"/>
                <w:color w:val="375623"/>
                <w:sz w:val="19"/>
                <w:szCs w:val="19"/>
              </w:rPr>
              <w:t xml:space="preserve">Closed-End PE</w:t>
            </w:r>
          </w:p>
        </w:tc>
        <w:tc>
          <w:tcPr>
            <w:tcW w:type="pct" w:w="18%"/>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CapitalCallReceivable (eq)</w:t>
            </w:r>
          </w:p>
        </w:tc>
        <w:tc>
          <w:tcPr>
            <w:tcW w:type="pct" w:w="5%"/>
            <w:shd w:fill="E6F0EA" w:color="E6F0EA" w:val="clear"/>
            <w:tcMar>
              <w:top w:type="dxa" w:w="50"/>
              <w:left w:type="dxa" w:w="80"/>
              <w:bottom w:type="dxa" w:w="50"/>
              <w:right w:type="dxa" w:w="80"/>
            </w:tcMar>
          </w:tcPr>
          <w:p>
            <w:r>
              <w:rPr>
                <w:rFonts w:ascii="Calibri" w:cs="Calibri" w:eastAsia="Calibri" w:hAnsi="Calibri"/>
                <w:b/>
                <w:bCs/>
                <w:color w:val="375623"/>
                <w:sz w:val="19"/>
                <w:szCs w:val="19"/>
              </w:rPr>
              <w:t xml:space="preserve">I</w:t>
            </w:r>
          </w:p>
        </w:tc>
        <w:tc>
          <w:tcPr>
            <w:tcW w:type="pct" w:w="26%"/>
            <w:tcMar>
              <w:top w:type="dxa" w:w="50"/>
              <w:left w:type="dxa" w:w="80"/>
              <w:bottom w:type="dxa" w:w="50"/>
              <w:right w:type="dxa" w:w="80"/>
            </w:tcMar>
          </w:tcPr>
          <w:p>
            <w:r>
              <w:rPr>
                <w:rFonts w:ascii="Calibri" w:cs="Calibri" w:eastAsia="Calibri" w:hAnsi="Calibri"/>
                <w:color w:val="404040"/>
                <w:sz w:val="17"/>
                <w:szCs w:val="17"/>
              </w:rPr>
              <w:t xml:space="preserve">Equalization catch-up for late-close LPs</w:t>
            </w:r>
          </w:p>
        </w:tc>
      </w:tr>
      <w:tr>
        <w:tc>
          <w:tcPr>
            <w:tcW w:type="pct" w:w="7%"/>
            <w:shd w:fill="1F3864" w:color="1F3864" w:val="clear"/>
            <w:tcMar>
              <w:top w:type="dxa" w:w="50"/>
              <w:left w:type="dxa" w:w="80"/>
              <w:bottom w:type="dxa" w:w="50"/>
              <w:right w:type="dxa" w:w="80"/>
            </w:tcMar>
          </w:tcPr>
          <w:p>
            <w:r>
              <w:rPr>
                <w:rFonts w:ascii="Calibri" w:cs="Calibri" w:eastAsia="Calibri" w:hAnsi="Calibri"/>
                <w:b/>
                <w:bCs/>
                <w:color w:val="FFFFFF"/>
                <w:sz w:val="19"/>
                <w:szCs w:val="19"/>
              </w:rPr>
              <w:t xml:space="preserve">051</w:t>
            </w:r>
          </w:p>
        </w:tc>
        <w:tc>
          <w:tcPr>
            <w:tcW w:type="pct" w:w="7%"/>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000</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Capital Call Receipt</w:t>
            </w:r>
          </w:p>
        </w:tc>
        <w:tc>
          <w:tcPr>
            <w:tcW w:type="pct" w:w="15%"/>
            <w:shd w:fill="E6F0EA" w:color="E6F0EA" w:val="clear"/>
            <w:tcMar>
              <w:top w:type="dxa" w:w="50"/>
              <w:left w:type="dxa" w:w="80"/>
              <w:bottom w:type="dxa" w:w="50"/>
              <w:right w:type="dxa" w:w="80"/>
            </w:tcMar>
          </w:tcPr>
          <w:p>
            <w:r>
              <w:rPr>
                <w:rFonts w:ascii="Calibri" w:cs="Calibri" w:eastAsia="Calibri" w:hAnsi="Calibri"/>
                <w:b w:val="false"/>
                <w:bCs w:val="false"/>
                <w:color w:val="375623"/>
                <w:sz w:val="19"/>
                <w:szCs w:val="19"/>
              </w:rPr>
              <w:t xml:space="preserve">Closed-End PE</w:t>
            </w:r>
          </w:p>
        </w:tc>
        <w:tc>
          <w:tcPr>
            <w:tcW w:type="pct" w:w="18%"/>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CashReceipt</w:t>
            </w:r>
          </w:p>
        </w:tc>
        <w:tc>
          <w:tcPr>
            <w:tcW w:type="pct" w:w="5%"/>
            <w:shd w:fill="E6F0EA" w:color="E6F0EA" w:val="clear"/>
            <w:tcMar>
              <w:top w:type="dxa" w:w="50"/>
              <w:left w:type="dxa" w:w="80"/>
              <w:bottom w:type="dxa" w:w="50"/>
              <w:right w:type="dxa" w:w="80"/>
            </w:tcMar>
          </w:tcPr>
          <w:p>
            <w:r>
              <w:rPr>
                <w:rFonts w:ascii="Calibri" w:cs="Calibri" w:eastAsia="Calibri" w:hAnsi="Calibri"/>
                <w:b/>
                <w:bCs/>
                <w:color w:val="375623"/>
                <w:sz w:val="19"/>
                <w:szCs w:val="19"/>
              </w:rPr>
              <w:t xml:space="preserve">I</w:t>
            </w:r>
          </w:p>
        </w:tc>
        <w:tc>
          <w:tcPr>
            <w:tcW w:type="pct" w:w="26%"/>
            <w:tcMar>
              <w:top w:type="dxa" w:w="50"/>
              <w:left w:type="dxa" w:w="80"/>
              <w:bottom w:type="dxa" w:w="50"/>
              <w:right w:type="dxa" w:w="80"/>
            </w:tcMar>
          </w:tcPr>
          <w:p>
            <w:r>
              <w:rPr>
                <w:rFonts w:ascii="Calibri" w:cs="Calibri" w:eastAsia="Calibri" w:hAnsi="Calibri"/>
                <w:color w:val="404040"/>
                <w:sz w:val="17"/>
                <w:szCs w:val="17"/>
              </w:rPr>
              <w:t xml:space="preserve">Wire received against open capital call notice</w:t>
            </w:r>
          </w:p>
        </w:tc>
      </w:tr>
      <w:tr>
        <w:tc>
          <w:tcPr>
            <w:tcW w:type="pct" w:w="7%"/>
            <w:shd w:fill="1F3864" w:color="1F3864" w:val="clear"/>
            <w:tcMar>
              <w:top w:type="dxa" w:w="50"/>
              <w:left w:type="dxa" w:w="80"/>
              <w:bottom w:type="dxa" w:w="50"/>
              <w:right w:type="dxa" w:w="80"/>
            </w:tcMar>
          </w:tcPr>
          <w:p>
            <w:r>
              <w:rPr>
                <w:rFonts w:ascii="Calibri" w:cs="Calibri" w:eastAsia="Calibri" w:hAnsi="Calibri"/>
                <w:b/>
                <w:bCs/>
                <w:color w:val="FFFFFF"/>
                <w:sz w:val="19"/>
                <w:szCs w:val="19"/>
              </w:rPr>
              <w:t xml:space="preserve">052</w:t>
            </w:r>
          </w:p>
        </w:tc>
        <w:tc>
          <w:tcPr>
            <w:tcW w:type="pct" w:w="7%"/>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000</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Capital Call Reversal</w:t>
            </w:r>
          </w:p>
        </w:tc>
        <w:tc>
          <w:tcPr>
            <w:tcW w:type="pct" w:w="15%"/>
            <w:shd w:fill="E6F0EA" w:color="E6F0EA" w:val="clear"/>
            <w:tcMar>
              <w:top w:type="dxa" w:w="50"/>
              <w:left w:type="dxa" w:w="80"/>
              <w:bottom w:type="dxa" w:w="50"/>
              <w:right w:type="dxa" w:w="80"/>
            </w:tcMar>
          </w:tcPr>
          <w:p>
            <w:r>
              <w:rPr>
                <w:rFonts w:ascii="Calibri" w:cs="Calibri" w:eastAsia="Calibri" w:hAnsi="Calibri"/>
                <w:b w:val="false"/>
                <w:bCs w:val="false"/>
                <w:color w:val="375623"/>
                <w:sz w:val="19"/>
                <w:szCs w:val="19"/>
              </w:rPr>
              <w:t xml:space="preserve">Closed-End PE</w:t>
            </w:r>
          </w:p>
        </w:tc>
        <w:tc>
          <w:tcPr>
            <w:tcW w:type="pct" w:w="18%"/>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Reversal of CapitalCallReceivable</w:t>
            </w:r>
          </w:p>
        </w:tc>
        <w:tc>
          <w:tcPr>
            <w:tcW w:type="pct" w:w="5%"/>
            <w:shd w:fill="FDE8E8" w:color="FDE8E8" w:val="clear"/>
            <w:tcMar>
              <w:top w:type="dxa" w:w="50"/>
              <w:left w:type="dxa" w:w="80"/>
              <w:bottom w:type="dxa" w:w="50"/>
              <w:right w:type="dxa" w:w="80"/>
            </w:tcMar>
          </w:tcPr>
          <w:p>
            <w:r>
              <w:rPr>
                <w:rFonts w:ascii="Calibri" w:cs="Calibri" w:eastAsia="Calibri" w:hAnsi="Calibri"/>
                <w:b/>
                <w:bCs/>
                <w:color w:val="C00000"/>
                <w:sz w:val="19"/>
                <w:szCs w:val="19"/>
              </w:rPr>
              <w:t xml:space="preserve">—</w:t>
            </w:r>
          </w:p>
        </w:tc>
        <w:tc>
          <w:tcPr>
            <w:tcW w:type="pct" w:w="26%"/>
            <w:tcMar>
              <w:top w:type="dxa" w:w="50"/>
              <w:left w:type="dxa" w:w="80"/>
              <w:bottom w:type="dxa" w:w="50"/>
              <w:right w:type="dxa" w:w="80"/>
            </w:tcMar>
          </w:tcPr>
          <w:p>
            <w:r>
              <w:rPr>
                <w:rFonts w:ascii="Calibri" w:cs="Calibri" w:eastAsia="Calibri" w:hAnsi="Calibri"/>
                <w:color w:val="404040"/>
                <w:sz w:val="17"/>
                <w:szCs w:val="17"/>
              </w:rPr>
              <w:t xml:space="preserve">LP default or notice correction — reverses the receivable</w:t>
            </w:r>
          </w:p>
        </w:tc>
      </w:tr>
      <w:tr>
        <w:tc>
          <w:tcPr>
            <w:tcW w:type="pct" w:w="7%"/>
            <w:shd w:fill="1F3864" w:color="1F3864" w:val="clear"/>
            <w:tcMar>
              <w:top w:type="dxa" w:w="50"/>
              <w:left w:type="dxa" w:w="80"/>
              <w:bottom w:type="dxa" w:w="50"/>
              <w:right w:type="dxa" w:w="80"/>
            </w:tcMar>
          </w:tcPr>
          <w:p>
            <w:r>
              <w:rPr>
                <w:rFonts w:ascii="Calibri" w:cs="Calibri" w:eastAsia="Calibri" w:hAnsi="Calibri"/>
                <w:b/>
                <w:bCs/>
                <w:color w:val="FFFFFF"/>
                <w:sz w:val="19"/>
                <w:szCs w:val="19"/>
              </w:rPr>
              <w:t xml:space="preserve">060</w:t>
            </w:r>
          </w:p>
        </w:tc>
        <w:tc>
          <w:tcPr>
            <w:tcW w:type="pct" w:w="7%"/>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001</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Distribution — Return of Capital</w:t>
            </w:r>
          </w:p>
        </w:tc>
        <w:tc>
          <w:tcPr>
            <w:tcW w:type="pct" w:w="15%"/>
            <w:shd w:fill="E6F0EA" w:color="E6F0EA" w:val="clear"/>
            <w:tcMar>
              <w:top w:type="dxa" w:w="50"/>
              <w:left w:type="dxa" w:w="80"/>
              <w:bottom w:type="dxa" w:w="50"/>
              <w:right w:type="dxa" w:w="80"/>
            </w:tcMar>
          </w:tcPr>
          <w:p>
            <w:r>
              <w:rPr>
                <w:rFonts w:ascii="Calibri" w:cs="Calibri" w:eastAsia="Calibri" w:hAnsi="Calibri"/>
                <w:b w:val="false"/>
                <w:bCs w:val="false"/>
                <w:color w:val="375623"/>
                <w:sz w:val="19"/>
                <w:szCs w:val="19"/>
              </w:rPr>
              <w:t xml:space="preserve">Closed-End PE</w:t>
            </w:r>
          </w:p>
        </w:tc>
        <w:tc>
          <w:tcPr>
            <w:tcW w:type="pct" w:w="18%"/>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DistributionPayable (ROC)</w:t>
            </w:r>
          </w:p>
        </w:tc>
        <w:tc>
          <w:tcPr>
            <w:tcW w:type="pct" w:w="5%"/>
            <w:shd w:fill="FDE8E8" w:color="FDE8E8" w:val="clear"/>
            <w:tcMar>
              <w:top w:type="dxa" w:w="50"/>
              <w:left w:type="dxa" w:w="80"/>
              <w:bottom w:type="dxa" w:w="50"/>
              <w:right w:type="dxa" w:w="80"/>
            </w:tcMar>
          </w:tcPr>
          <w:p>
            <w:r>
              <w:rPr>
                <w:rFonts w:ascii="Calibri" w:cs="Calibri" w:eastAsia="Calibri" w:hAnsi="Calibri"/>
                <w:b/>
                <w:bCs/>
                <w:color w:val="C00000"/>
                <w:sz w:val="19"/>
                <w:szCs w:val="19"/>
              </w:rPr>
              <w:t xml:space="preserve">O</w:t>
            </w:r>
          </w:p>
        </w:tc>
        <w:tc>
          <w:tcPr>
            <w:tcW w:type="pct" w:w="26%"/>
            <w:tcMar>
              <w:top w:type="dxa" w:w="50"/>
              <w:left w:type="dxa" w:w="80"/>
              <w:bottom w:type="dxa" w:w="50"/>
              <w:right w:type="dxa" w:w="80"/>
            </w:tcMar>
          </w:tcPr>
          <w:p>
            <w:r>
              <w:rPr>
                <w:rFonts w:ascii="Calibri" w:cs="Calibri" w:eastAsia="Calibri" w:hAnsi="Calibri"/>
                <w:color w:val="404040"/>
                <w:sz w:val="17"/>
                <w:szCs w:val="17"/>
              </w:rPr>
              <w:t xml:space="preserve">Non-taxable ROC distribution to LP</w:t>
            </w:r>
          </w:p>
        </w:tc>
      </w:tr>
      <w:tr>
        <w:tc>
          <w:tcPr>
            <w:tcW w:type="pct" w:w="7%"/>
            <w:shd w:fill="1F3864" w:color="1F3864" w:val="clear"/>
            <w:tcMar>
              <w:top w:type="dxa" w:w="50"/>
              <w:left w:type="dxa" w:w="80"/>
              <w:bottom w:type="dxa" w:w="50"/>
              <w:right w:type="dxa" w:w="80"/>
            </w:tcMar>
          </w:tcPr>
          <w:p>
            <w:r>
              <w:rPr>
                <w:rFonts w:ascii="Calibri" w:cs="Calibri" w:eastAsia="Calibri" w:hAnsi="Calibri"/>
                <w:b/>
                <w:bCs/>
                <w:color w:val="FFFFFF"/>
                <w:sz w:val="19"/>
                <w:szCs w:val="19"/>
              </w:rPr>
              <w:t xml:space="preserve">060</w:t>
            </w:r>
          </w:p>
        </w:tc>
        <w:tc>
          <w:tcPr>
            <w:tcW w:type="pct" w:w="7%"/>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002</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Distribution — Realized Gain</w:t>
            </w:r>
          </w:p>
        </w:tc>
        <w:tc>
          <w:tcPr>
            <w:tcW w:type="pct" w:w="15%"/>
            <w:shd w:fill="E6F0EA" w:color="E6F0EA" w:val="clear"/>
            <w:tcMar>
              <w:top w:type="dxa" w:w="50"/>
              <w:left w:type="dxa" w:w="80"/>
              <w:bottom w:type="dxa" w:w="50"/>
              <w:right w:type="dxa" w:w="80"/>
            </w:tcMar>
          </w:tcPr>
          <w:p>
            <w:r>
              <w:rPr>
                <w:rFonts w:ascii="Calibri" w:cs="Calibri" w:eastAsia="Calibri" w:hAnsi="Calibri"/>
                <w:b w:val="false"/>
                <w:bCs w:val="false"/>
                <w:color w:val="375623"/>
                <w:sz w:val="19"/>
                <w:szCs w:val="19"/>
              </w:rPr>
              <w:t xml:space="preserve">Closed-End PE</w:t>
            </w:r>
          </w:p>
        </w:tc>
        <w:tc>
          <w:tcPr>
            <w:tcW w:type="pct" w:w="18%"/>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RealizedGain distribution</w:t>
            </w:r>
          </w:p>
        </w:tc>
        <w:tc>
          <w:tcPr>
            <w:tcW w:type="pct" w:w="5%"/>
            <w:shd w:fill="FDE8E8" w:color="FDE8E8" w:val="clear"/>
            <w:tcMar>
              <w:top w:type="dxa" w:w="50"/>
              <w:left w:type="dxa" w:w="80"/>
              <w:bottom w:type="dxa" w:w="50"/>
              <w:right w:type="dxa" w:w="80"/>
            </w:tcMar>
          </w:tcPr>
          <w:p>
            <w:r>
              <w:rPr>
                <w:rFonts w:ascii="Calibri" w:cs="Calibri" w:eastAsia="Calibri" w:hAnsi="Calibri"/>
                <w:b/>
                <w:bCs/>
                <w:color w:val="C00000"/>
                <w:sz w:val="19"/>
                <w:szCs w:val="19"/>
              </w:rPr>
              <w:t xml:space="preserve">O</w:t>
            </w:r>
          </w:p>
        </w:tc>
        <w:tc>
          <w:tcPr>
            <w:tcW w:type="pct" w:w="26%"/>
            <w:tcMar>
              <w:top w:type="dxa" w:w="50"/>
              <w:left w:type="dxa" w:w="80"/>
              <w:bottom w:type="dxa" w:w="50"/>
              <w:right w:type="dxa" w:w="80"/>
            </w:tcMar>
          </w:tcPr>
          <w:p>
            <w:r>
              <w:rPr>
                <w:rFonts w:ascii="Calibri" w:cs="Calibri" w:eastAsia="Calibri" w:hAnsi="Calibri"/>
                <w:color w:val="404040"/>
                <w:sz w:val="17"/>
                <w:szCs w:val="17"/>
              </w:rPr>
              <w:t xml:space="preserve">Taxable gain distribution following portfolio realization</w:t>
            </w:r>
          </w:p>
        </w:tc>
      </w:tr>
      <w:tr>
        <w:tc>
          <w:tcPr>
            <w:tcW w:type="pct" w:w="7%"/>
            <w:shd w:fill="1F3864" w:color="1F3864" w:val="clear"/>
            <w:tcMar>
              <w:top w:type="dxa" w:w="50"/>
              <w:left w:type="dxa" w:w="80"/>
              <w:bottom w:type="dxa" w:w="50"/>
              <w:right w:type="dxa" w:w="80"/>
            </w:tcMar>
          </w:tcPr>
          <w:p>
            <w:r>
              <w:rPr>
                <w:rFonts w:ascii="Calibri" w:cs="Calibri" w:eastAsia="Calibri" w:hAnsi="Calibri"/>
                <w:b/>
                <w:bCs/>
                <w:color w:val="FFFFFF"/>
                <w:sz w:val="19"/>
                <w:szCs w:val="19"/>
              </w:rPr>
              <w:t xml:space="preserve">060</w:t>
            </w:r>
          </w:p>
        </w:tc>
        <w:tc>
          <w:tcPr>
            <w:tcW w:type="pct" w:w="7%"/>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003</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Distribution — Income</w:t>
            </w:r>
          </w:p>
        </w:tc>
        <w:tc>
          <w:tcPr>
            <w:tcW w:type="pct" w:w="15%"/>
            <w:shd w:fill="E6F0EA" w:color="E6F0EA" w:val="clear"/>
            <w:tcMar>
              <w:top w:type="dxa" w:w="50"/>
              <w:left w:type="dxa" w:w="80"/>
              <w:bottom w:type="dxa" w:w="50"/>
              <w:right w:type="dxa" w:w="80"/>
            </w:tcMar>
          </w:tcPr>
          <w:p>
            <w:r>
              <w:rPr>
                <w:rFonts w:ascii="Calibri" w:cs="Calibri" w:eastAsia="Calibri" w:hAnsi="Calibri"/>
                <w:b w:val="false"/>
                <w:bCs w:val="false"/>
                <w:color w:val="375623"/>
                <w:sz w:val="19"/>
                <w:szCs w:val="19"/>
              </w:rPr>
              <w:t xml:space="preserve">Closed-End PE</w:t>
            </w:r>
          </w:p>
        </w:tc>
        <w:tc>
          <w:tcPr>
            <w:tcW w:type="pct" w:w="18%"/>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DistributionPayable (income)</w:t>
            </w:r>
          </w:p>
        </w:tc>
        <w:tc>
          <w:tcPr>
            <w:tcW w:type="pct" w:w="5%"/>
            <w:shd w:fill="FDE8E8" w:color="FDE8E8" w:val="clear"/>
            <w:tcMar>
              <w:top w:type="dxa" w:w="50"/>
              <w:left w:type="dxa" w:w="80"/>
              <w:bottom w:type="dxa" w:w="50"/>
              <w:right w:type="dxa" w:w="80"/>
            </w:tcMar>
          </w:tcPr>
          <w:p>
            <w:r>
              <w:rPr>
                <w:rFonts w:ascii="Calibri" w:cs="Calibri" w:eastAsia="Calibri" w:hAnsi="Calibri"/>
                <w:b/>
                <w:bCs/>
                <w:color w:val="C00000"/>
                <w:sz w:val="19"/>
                <w:szCs w:val="19"/>
              </w:rPr>
              <w:t xml:space="preserve">O</w:t>
            </w:r>
          </w:p>
        </w:tc>
        <w:tc>
          <w:tcPr>
            <w:tcW w:type="pct" w:w="26%"/>
            <w:tcMar>
              <w:top w:type="dxa" w:w="50"/>
              <w:left w:type="dxa" w:w="80"/>
              <w:bottom w:type="dxa" w:w="50"/>
              <w:right w:type="dxa" w:w="80"/>
            </w:tcMar>
          </w:tcPr>
          <w:p>
            <w:r>
              <w:rPr>
                <w:rFonts w:ascii="Calibri" w:cs="Calibri" w:eastAsia="Calibri" w:hAnsi="Calibri"/>
                <w:color w:val="404040"/>
                <w:sz w:val="17"/>
                <w:szCs w:val="17"/>
              </w:rPr>
              <w:t xml:space="preserve">Interest / dividend income distributed to LP</w:t>
            </w:r>
          </w:p>
        </w:tc>
      </w:tr>
      <w:tr>
        <w:tc>
          <w:tcPr>
            <w:tcW w:type="pct" w:w="7%"/>
            <w:shd w:fill="1F3864" w:color="1F3864" w:val="clear"/>
            <w:tcMar>
              <w:top w:type="dxa" w:w="50"/>
              <w:left w:type="dxa" w:w="80"/>
              <w:bottom w:type="dxa" w:w="50"/>
              <w:right w:type="dxa" w:w="80"/>
            </w:tcMar>
          </w:tcPr>
          <w:p>
            <w:r>
              <w:rPr>
                <w:rFonts w:ascii="Calibri" w:cs="Calibri" w:eastAsia="Calibri" w:hAnsi="Calibri"/>
                <w:b/>
                <w:bCs/>
                <w:color w:val="FFFFFF"/>
                <w:sz w:val="19"/>
                <w:szCs w:val="19"/>
              </w:rPr>
              <w:t xml:space="preserve">061</w:t>
            </w:r>
          </w:p>
        </w:tc>
        <w:tc>
          <w:tcPr>
            <w:tcW w:type="pct" w:w="7%"/>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000</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Carried Interest Payment</w:t>
            </w:r>
          </w:p>
        </w:tc>
        <w:tc>
          <w:tcPr>
            <w:tcW w:type="pct" w:w="15%"/>
            <w:shd w:fill="E6F0EA" w:color="E6F0EA" w:val="clear"/>
            <w:tcMar>
              <w:top w:type="dxa" w:w="50"/>
              <w:left w:type="dxa" w:w="80"/>
              <w:bottom w:type="dxa" w:w="50"/>
              <w:right w:type="dxa" w:w="80"/>
            </w:tcMar>
          </w:tcPr>
          <w:p>
            <w:r>
              <w:rPr>
                <w:rFonts w:ascii="Calibri" w:cs="Calibri" w:eastAsia="Calibri" w:hAnsi="Calibri"/>
                <w:b w:val="false"/>
                <w:bCs w:val="false"/>
                <w:color w:val="375623"/>
                <w:sz w:val="19"/>
                <w:szCs w:val="19"/>
              </w:rPr>
              <w:t xml:space="preserve">Closed-End PE</w:t>
            </w:r>
          </w:p>
        </w:tc>
        <w:tc>
          <w:tcPr>
            <w:tcW w:type="pct" w:w="18%"/>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CarryPayment</w:t>
            </w:r>
          </w:p>
        </w:tc>
        <w:tc>
          <w:tcPr>
            <w:tcW w:type="pct" w:w="5%"/>
            <w:shd w:fill="FDE8E8" w:color="FDE8E8" w:val="clear"/>
            <w:tcMar>
              <w:top w:type="dxa" w:w="50"/>
              <w:left w:type="dxa" w:w="80"/>
              <w:bottom w:type="dxa" w:w="50"/>
              <w:right w:type="dxa" w:w="80"/>
            </w:tcMar>
          </w:tcPr>
          <w:p>
            <w:r>
              <w:rPr>
                <w:rFonts w:ascii="Calibri" w:cs="Calibri" w:eastAsia="Calibri" w:hAnsi="Calibri"/>
                <w:b/>
                <w:bCs/>
                <w:color w:val="C00000"/>
                <w:sz w:val="19"/>
                <w:szCs w:val="19"/>
              </w:rPr>
              <w:t xml:space="preserve">O</w:t>
            </w:r>
          </w:p>
        </w:tc>
        <w:tc>
          <w:tcPr>
            <w:tcW w:type="pct" w:w="26%"/>
            <w:tcMar>
              <w:top w:type="dxa" w:w="50"/>
              <w:left w:type="dxa" w:w="80"/>
              <w:bottom w:type="dxa" w:w="50"/>
              <w:right w:type="dxa" w:w="80"/>
            </w:tcMar>
          </w:tcPr>
          <w:p>
            <w:r>
              <w:rPr>
                <w:rFonts w:ascii="Calibri" w:cs="Calibri" w:eastAsia="Calibri" w:hAnsi="Calibri"/>
                <w:color w:val="404040"/>
                <w:sz w:val="17"/>
                <w:szCs w:val="17"/>
              </w:rPr>
              <w:t xml:space="preserve">Carry paid to GP vehicle after hurdle met</w:t>
            </w:r>
          </w:p>
        </w:tc>
      </w:tr>
      <w:tr>
        <w:tc>
          <w:tcPr>
            <w:tcW w:type="pct" w:w="7%"/>
            <w:shd w:fill="1F3864" w:color="1F3864" w:val="clear"/>
            <w:tcMar>
              <w:top w:type="dxa" w:w="50"/>
              <w:left w:type="dxa" w:w="80"/>
              <w:bottom w:type="dxa" w:w="50"/>
              <w:right w:type="dxa" w:w="80"/>
            </w:tcMar>
          </w:tcPr>
          <w:p>
            <w:r>
              <w:rPr>
                <w:rFonts w:ascii="Calibri" w:cs="Calibri" w:eastAsia="Calibri" w:hAnsi="Calibri"/>
                <w:b/>
                <w:bCs/>
                <w:color w:val="FFFFFF"/>
                <w:sz w:val="19"/>
                <w:szCs w:val="19"/>
              </w:rPr>
              <w:t xml:space="preserve">070</w:t>
            </w:r>
          </w:p>
        </w:tc>
        <w:tc>
          <w:tcPr>
            <w:tcW w:type="pct" w:w="7%"/>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000</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Commitment — Initial</w:t>
            </w:r>
          </w:p>
        </w:tc>
        <w:tc>
          <w:tcPr>
            <w:tcW w:type="pct" w:w="15%"/>
            <w:shd w:fill="E6F0EA" w:color="E6F0EA" w:val="clear"/>
            <w:tcMar>
              <w:top w:type="dxa" w:w="50"/>
              <w:left w:type="dxa" w:w="80"/>
              <w:bottom w:type="dxa" w:w="50"/>
              <w:right w:type="dxa" w:w="80"/>
            </w:tcMar>
          </w:tcPr>
          <w:p>
            <w:r>
              <w:rPr>
                <w:rFonts w:ascii="Calibri" w:cs="Calibri" w:eastAsia="Calibri" w:hAnsi="Calibri"/>
                <w:b w:val="false"/>
                <w:bCs w:val="false"/>
                <w:color w:val="375623"/>
                <w:sz w:val="19"/>
                <w:szCs w:val="19"/>
              </w:rPr>
              <w:t xml:space="preserve">Closed-End PE</w:t>
            </w:r>
          </w:p>
        </w:tc>
        <w:tc>
          <w:tcPr>
            <w:tcW w:type="pct" w:w="18%"/>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Commitment booking</w:t>
            </w:r>
          </w:p>
        </w:tc>
        <w:tc>
          <w:tcPr>
            <w:tcW w:type="pct" w:w="5%"/>
            <w:shd w:fill="FDE8E8" w:color="FDE8E8" w:val="clear"/>
            <w:tcMar>
              <w:top w:type="dxa" w:w="50"/>
              <w:left w:type="dxa" w:w="80"/>
              <w:bottom w:type="dxa" w:w="50"/>
              <w:right w:type="dxa" w:w="80"/>
            </w:tcMar>
          </w:tcPr>
          <w:p>
            <w:r>
              <w:rPr>
                <w:rFonts w:ascii="Calibri" w:cs="Calibri" w:eastAsia="Calibri" w:hAnsi="Calibri"/>
                <w:b/>
                <w:bCs/>
                <w:color w:val="C00000"/>
                <w:sz w:val="19"/>
                <w:szCs w:val="19"/>
              </w:rPr>
              <w:t xml:space="preserve">—</w:t>
            </w:r>
          </w:p>
        </w:tc>
        <w:tc>
          <w:tcPr>
            <w:tcW w:type="pct" w:w="26%"/>
            <w:tcMar>
              <w:top w:type="dxa" w:w="50"/>
              <w:left w:type="dxa" w:w="80"/>
              <w:bottom w:type="dxa" w:w="50"/>
              <w:right w:type="dxa" w:w="80"/>
            </w:tcMar>
          </w:tcPr>
          <w:p>
            <w:r>
              <w:rPr>
                <w:rFonts w:ascii="Calibri" w:cs="Calibri" w:eastAsia="Calibri" w:hAnsi="Calibri"/>
                <w:color w:val="404040"/>
                <w:sz w:val="17"/>
                <w:szCs w:val="17"/>
              </w:rPr>
              <w:t xml:space="preserve">LP commitment recorded at fund close — no cash movement</w:t>
            </w:r>
          </w:p>
        </w:tc>
      </w:tr>
      <w:tr>
        <w:tc>
          <w:tcPr>
            <w:tcW w:type="pct" w:w="7%"/>
            <w:shd w:fill="1F3864" w:color="1F3864" w:val="clear"/>
            <w:tcMar>
              <w:top w:type="dxa" w:w="50"/>
              <w:left w:type="dxa" w:w="80"/>
              <w:bottom w:type="dxa" w:w="50"/>
              <w:right w:type="dxa" w:w="80"/>
            </w:tcMar>
          </w:tcPr>
          <w:p>
            <w:r>
              <w:rPr>
                <w:rFonts w:ascii="Calibri" w:cs="Calibri" w:eastAsia="Calibri" w:hAnsi="Calibri"/>
                <w:b/>
                <w:bCs/>
                <w:color w:val="FFFFFF"/>
                <w:sz w:val="19"/>
                <w:szCs w:val="19"/>
              </w:rPr>
              <w:t xml:space="preserve">071</w:t>
            </w:r>
          </w:p>
        </w:tc>
        <w:tc>
          <w:tcPr>
            <w:tcW w:type="pct" w:w="7%"/>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000</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Commitment — Increase</w:t>
            </w:r>
          </w:p>
        </w:tc>
        <w:tc>
          <w:tcPr>
            <w:tcW w:type="pct" w:w="15%"/>
            <w:shd w:fill="E6F0EA" w:color="E6F0EA" w:val="clear"/>
            <w:tcMar>
              <w:top w:type="dxa" w:w="50"/>
              <w:left w:type="dxa" w:w="80"/>
              <w:bottom w:type="dxa" w:w="50"/>
              <w:right w:type="dxa" w:w="80"/>
            </w:tcMar>
          </w:tcPr>
          <w:p>
            <w:r>
              <w:rPr>
                <w:rFonts w:ascii="Calibri" w:cs="Calibri" w:eastAsia="Calibri" w:hAnsi="Calibri"/>
                <w:b w:val="false"/>
                <w:bCs w:val="false"/>
                <w:color w:val="375623"/>
                <w:sz w:val="19"/>
                <w:szCs w:val="19"/>
              </w:rPr>
              <w:t xml:space="preserve">Closed-End PE</w:t>
            </w:r>
          </w:p>
        </w:tc>
        <w:tc>
          <w:tcPr>
            <w:tcW w:type="pct" w:w="18%"/>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Commitment amendment</w:t>
            </w:r>
          </w:p>
        </w:tc>
        <w:tc>
          <w:tcPr>
            <w:tcW w:type="pct" w:w="5%"/>
            <w:shd w:fill="FDE8E8" w:color="FDE8E8" w:val="clear"/>
            <w:tcMar>
              <w:top w:type="dxa" w:w="50"/>
              <w:left w:type="dxa" w:w="80"/>
              <w:bottom w:type="dxa" w:w="50"/>
              <w:right w:type="dxa" w:w="80"/>
            </w:tcMar>
          </w:tcPr>
          <w:p>
            <w:r>
              <w:rPr>
                <w:rFonts w:ascii="Calibri" w:cs="Calibri" w:eastAsia="Calibri" w:hAnsi="Calibri"/>
                <w:b/>
                <w:bCs/>
                <w:color w:val="C00000"/>
                <w:sz w:val="19"/>
                <w:szCs w:val="19"/>
              </w:rPr>
              <w:t xml:space="preserve">—</w:t>
            </w:r>
          </w:p>
        </w:tc>
        <w:tc>
          <w:tcPr>
            <w:tcW w:type="pct" w:w="26%"/>
            <w:tcMar>
              <w:top w:type="dxa" w:w="50"/>
              <w:left w:type="dxa" w:w="80"/>
              <w:bottom w:type="dxa" w:w="50"/>
              <w:right w:type="dxa" w:w="80"/>
            </w:tcMar>
          </w:tcPr>
          <w:p>
            <w:r>
              <w:rPr>
                <w:rFonts w:ascii="Calibri" w:cs="Calibri" w:eastAsia="Calibri" w:hAnsi="Calibri"/>
                <w:color w:val="404040"/>
                <w:sz w:val="17"/>
                <w:szCs w:val="17"/>
              </w:rPr>
              <w:t xml:space="preserve">LP ups their commitment (rare; requires GP consent)</w:t>
            </w:r>
          </w:p>
        </w:tc>
      </w:tr>
      <w:tr>
        <w:tc>
          <w:tcPr>
            <w:tcW w:type="pct" w:w="7%"/>
            <w:shd w:fill="1F3864" w:color="1F3864" w:val="clear"/>
            <w:tcMar>
              <w:top w:type="dxa" w:w="50"/>
              <w:left w:type="dxa" w:w="80"/>
              <w:bottom w:type="dxa" w:w="50"/>
              <w:right w:type="dxa" w:w="80"/>
            </w:tcMar>
          </w:tcPr>
          <w:p>
            <w:r>
              <w:rPr>
                <w:rFonts w:ascii="Calibri" w:cs="Calibri" w:eastAsia="Calibri" w:hAnsi="Calibri"/>
                <w:b/>
                <w:bCs/>
                <w:color w:val="FFFFFF"/>
                <w:sz w:val="19"/>
                <w:szCs w:val="19"/>
              </w:rPr>
              <w:t xml:space="preserve">072</w:t>
            </w:r>
          </w:p>
        </w:tc>
        <w:tc>
          <w:tcPr>
            <w:tcW w:type="pct" w:w="7%"/>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000</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Commitment — Decrease</w:t>
            </w:r>
          </w:p>
        </w:tc>
        <w:tc>
          <w:tcPr>
            <w:tcW w:type="pct" w:w="15%"/>
            <w:shd w:fill="E6F0EA" w:color="E6F0EA" w:val="clear"/>
            <w:tcMar>
              <w:top w:type="dxa" w:w="50"/>
              <w:left w:type="dxa" w:w="80"/>
              <w:bottom w:type="dxa" w:w="50"/>
              <w:right w:type="dxa" w:w="80"/>
            </w:tcMar>
          </w:tcPr>
          <w:p>
            <w:r>
              <w:rPr>
                <w:rFonts w:ascii="Calibri" w:cs="Calibri" w:eastAsia="Calibri" w:hAnsi="Calibri"/>
                <w:b w:val="false"/>
                <w:bCs w:val="false"/>
                <w:color w:val="375623"/>
                <w:sz w:val="19"/>
                <w:szCs w:val="19"/>
              </w:rPr>
              <w:t xml:space="preserve">Closed-End PE</w:t>
            </w:r>
          </w:p>
        </w:tc>
        <w:tc>
          <w:tcPr>
            <w:tcW w:type="pct" w:w="18%"/>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Commitment amendment</w:t>
            </w:r>
          </w:p>
        </w:tc>
        <w:tc>
          <w:tcPr>
            <w:tcW w:type="pct" w:w="5%"/>
            <w:shd w:fill="FDE8E8" w:color="FDE8E8" w:val="clear"/>
            <w:tcMar>
              <w:top w:type="dxa" w:w="50"/>
              <w:left w:type="dxa" w:w="80"/>
              <w:bottom w:type="dxa" w:w="50"/>
              <w:right w:type="dxa" w:w="80"/>
            </w:tcMar>
          </w:tcPr>
          <w:p>
            <w:r>
              <w:rPr>
                <w:rFonts w:ascii="Calibri" w:cs="Calibri" w:eastAsia="Calibri" w:hAnsi="Calibri"/>
                <w:b/>
                <w:bCs/>
                <w:color w:val="C00000"/>
                <w:sz w:val="19"/>
                <w:szCs w:val="19"/>
              </w:rPr>
              <w:t xml:space="preserve">—</w:t>
            </w:r>
          </w:p>
        </w:tc>
        <w:tc>
          <w:tcPr>
            <w:tcW w:type="pct" w:w="26%"/>
            <w:tcMar>
              <w:top w:type="dxa" w:w="50"/>
              <w:left w:type="dxa" w:w="80"/>
              <w:bottom w:type="dxa" w:w="50"/>
              <w:right w:type="dxa" w:w="80"/>
            </w:tcMar>
          </w:tcPr>
          <w:p>
            <w:r>
              <w:rPr>
                <w:rFonts w:ascii="Calibri" w:cs="Calibri" w:eastAsia="Calibri" w:hAnsi="Calibri"/>
                <w:color w:val="404040"/>
                <w:sz w:val="17"/>
                <w:szCs w:val="17"/>
              </w:rPr>
              <w:t xml:space="preserve">LP reduces commitment (default / GP-approved reduction)</w:t>
            </w:r>
          </w:p>
        </w:tc>
      </w:tr>
    </w:tbl>
    <w:p>
      <w:pPr>
        <w:spacing w:after="160" w:before="0"/>
      </w:pPr>
      <w:r>
        <w:t xml:space="preserve"/>
      </w:r>
    </w:p>
    <w:p>
      <w:pPr>
        <w:pStyle w:val="Heading2"/>
        <w:spacing w:after="120" w:before="320"/>
      </w:pPr>
      <w:r>
        <w:t xml:space="preserve">K.4  PRODUCT_CODE — Identifying Closed-End PE Funds</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tblGrid>
      <w:tr>
        <w:trPr>
          <w:tblHeader/>
        </w:trPr>
        <w:tc>
          <w:tcPr>
            <w:tcW w:type="pct" w:w="1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PRODUCT_CODE</w:t>
            </w:r>
          </w:p>
        </w:tc>
        <w:tc>
          <w:tcPr>
            <w:tcW w:type="pct" w:w="3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Full Name</w:t>
            </w:r>
          </w:p>
        </w:tc>
        <w:tc>
          <w:tcPr>
            <w:tcW w:type="pct" w:w="35%"/>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Description</w:t>
            </w:r>
          </w:p>
        </w:tc>
        <w:tc>
          <w:tcPr>
            <w:tcW w:type="pct" w:w="2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PE Closed-End?</w:t>
            </w:r>
          </w:p>
        </w:tc>
      </w:tr>
      <w:tr>
        <w:tc>
          <w:tcPr>
            <w:tcW w:type="pct" w:w="15%"/>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ADPE</w:t>
            </w:r>
          </w:p>
        </w:tc>
        <w:tc>
          <w:tcPr>
            <w:tcW w:type="pct" w:w="30%"/>
            <w:tcMar>
              <w:top w:type="dxa" w:w="50"/>
              <w:left w:type="dxa" w:w="80"/>
              <w:bottom w:type="dxa" w:w="50"/>
              <w:right w:type="dxa" w:w="80"/>
            </w:tcMar>
          </w:tcPr>
          <w:p>
            <w:r>
              <w:rPr>
                <w:rFonts w:ascii="Calibri" w:cs="Calibri" w:eastAsia="Calibri" w:hAnsi="Calibri"/>
                <w:color w:val="404040"/>
                <w:sz w:val="19"/>
                <w:szCs w:val="19"/>
              </w:rPr>
              <w:t xml:space="preserve">Alternative Direct — Private Equity</w:t>
            </w:r>
          </w:p>
        </w:tc>
        <w:tc>
          <w:tcPr>
            <w:tcW w:type="pct" w:w="35%"/>
            <w:tcMar>
              <w:top w:type="dxa" w:w="50"/>
              <w:left w:type="dxa" w:w="80"/>
              <w:bottom w:type="dxa" w:w="50"/>
              <w:right w:type="dxa" w:w="80"/>
            </w:tcMar>
          </w:tcPr>
          <w:p>
            <w:r>
              <w:rPr>
                <w:rFonts w:ascii="Calibri" w:cs="Calibri" w:eastAsia="Calibri" w:hAnsi="Calibri"/>
                <w:color w:val="404040"/>
                <w:sz w:val="19"/>
                <w:szCs w:val="19"/>
              </w:rPr>
              <w:t xml:space="preserve">Closed-end PE buyout / growth / venture</w:t>
            </w:r>
          </w:p>
        </w:tc>
        <w:tc>
          <w:tcPr>
            <w:tcW w:type="pct" w:w="20%"/>
            <w:shd w:fill="E6F0EA" w:color="E6F0EA" w:val="clear"/>
            <w:tcMar>
              <w:top w:type="dxa" w:w="50"/>
              <w:left w:type="dxa" w:w="80"/>
              <w:bottom w:type="dxa" w:w="50"/>
              <w:right w:type="dxa" w:w="80"/>
            </w:tcMar>
          </w:tcPr>
          <w:p>
            <w:r>
              <w:rPr>
                <w:rFonts w:ascii="Calibri" w:cs="Calibri" w:eastAsia="Calibri" w:hAnsi="Calibri"/>
                <w:b/>
                <w:bCs/>
                <w:color w:val="375623"/>
                <w:sz w:val="19"/>
                <w:szCs w:val="19"/>
              </w:rPr>
              <w:t xml:space="preserve">YES</w:t>
            </w:r>
          </w:p>
        </w:tc>
      </w:tr>
      <w:tr>
        <w:tc>
          <w:tcPr>
            <w:tcW w:type="pct" w:w="15%"/>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ADPEC</w:t>
            </w:r>
          </w:p>
        </w:tc>
        <w:tc>
          <w:tcPr>
            <w:tcW w:type="pct" w:w="30%"/>
            <w:tcMar>
              <w:top w:type="dxa" w:w="50"/>
              <w:left w:type="dxa" w:w="80"/>
              <w:bottom w:type="dxa" w:w="50"/>
              <w:right w:type="dxa" w:w="80"/>
            </w:tcMar>
          </w:tcPr>
          <w:p>
            <w:r>
              <w:rPr>
                <w:rFonts w:ascii="Calibri" w:cs="Calibri" w:eastAsia="Calibri" w:hAnsi="Calibri"/>
                <w:color w:val="404040"/>
                <w:sz w:val="19"/>
                <w:szCs w:val="19"/>
              </w:rPr>
              <w:t xml:space="preserve">Alternative Direct PE — Closed-End</w:t>
            </w:r>
          </w:p>
        </w:tc>
        <w:tc>
          <w:tcPr>
            <w:tcW w:type="pct" w:w="35%"/>
            <w:tcMar>
              <w:top w:type="dxa" w:w="50"/>
              <w:left w:type="dxa" w:w="80"/>
              <w:bottom w:type="dxa" w:w="50"/>
              <w:right w:type="dxa" w:w="80"/>
            </w:tcMar>
          </w:tcPr>
          <w:p>
            <w:r>
              <w:rPr>
                <w:rFonts w:ascii="Calibri" w:cs="Calibri" w:eastAsia="Calibri" w:hAnsi="Calibri"/>
                <w:color w:val="404040"/>
                <w:sz w:val="19"/>
                <w:szCs w:val="19"/>
              </w:rPr>
              <w:t xml:space="preserve">Explicitly closed-end PE structure</w:t>
            </w:r>
          </w:p>
        </w:tc>
        <w:tc>
          <w:tcPr>
            <w:tcW w:type="pct" w:w="20%"/>
            <w:shd w:fill="E6F0EA" w:color="E6F0EA" w:val="clear"/>
            <w:tcMar>
              <w:top w:type="dxa" w:w="50"/>
              <w:left w:type="dxa" w:w="80"/>
              <w:bottom w:type="dxa" w:w="50"/>
              <w:right w:type="dxa" w:w="80"/>
            </w:tcMar>
          </w:tcPr>
          <w:p>
            <w:r>
              <w:rPr>
                <w:rFonts w:ascii="Calibri" w:cs="Calibri" w:eastAsia="Calibri" w:hAnsi="Calibri"/>
                <w:b/>
                <w:bCs/>
                <w:color w:val="375623"/>
                <w:sz w:val="19"/>
                <w:szCs w:val="19"/>
              </w:rPr>
              <w:t xml:space="preserve">YES</w:t>
            </w:r>
          </w:p>
        </w:tc>
      </w:tr>
      <w:tr>
        <w:tc>
          <w:tcPr>
            <w:tcW w:type="pct" w:w="15%"/>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ADCRE</w:t>
            </w:r>
          </w:p>
        </w:tc>
        <w:tc>
          <w:tcPr>
            <w:tcW w:type="pct" w:w="30%"/>
            <w:tcMar>
              <w:top w:type="dxa" w:w="50"/>
              <w:left w:type="dxa" w:w="80"/>
              <w:bottom w:type="dxa" w:w="50"/>
              <w:right w:type="dxa" w:w="80"/>
            </w:tcMar>
          </w:tcPr>
          <w:p>
            <w:r>
              <w:rPr>
                <w:rFonts w:ascii="Calibri" w:cs="Calibri" w:eastAsia="Calibri" w:hAnsi="Calibri"/>
                <w:color w:val="404040"/>
                <w:sz w:val="19"/>
                <w:szCs w:val="19"/>
              </w:rPr>
              <w:t xml:space="preserve">Alternative Direct — Credit</w:t>
            </w:r>
          </w:p>
        </w:tc>
        <w:tc>
          <w:tcPr>
            <w:tcW w:type="pct" w:w="35%"/>
            <w:tcMar>
              <w:top w:type="dxa" w:w="50"/>
              <w:left w:type="dxa" w:w="80"/>
              <w:bottom w:type="dxa" w:w="50"/>
              <w:right w:type="dxa" w:w="80"/>
            </w:tcMar>
          </w:tcPr>
          <w:p>
            <w:r>
              <w:rPr>
                <w:rFonts w:ascii="Calibri" w:cs="Calibri" w:eastAsia="Calibri" w:hAnsi="Calibri"/>
                <w:color w:val="404040"/>
                <w:sz w:val="19"/>
                <w:szCs w:val="19"/>
              </w:rPr>
              <w:t xml:space="preserve">Direct lending, CLO, credit strategies</w:t>
            </w:r>
          </w:p>
        </w:tc>
        <w:tc>
          <w:tcPr>
            <w:tcW w:type="pct" w:w="20%"/>
            <w:shd w:fill="E6F0EA" w:color="E6F0EA" w:val="clear"/>
            <w:tcMar>
              <w:top w:type="dxa" w:w="50"/>
              <w:left w:type="dxa" w:w="80"/>
              <w:bottom w:type="dxa" w:w="50"/>
              <w:right w:type="dxa" w:w="80"/>
            </w:tcMar>
          </w:tcPr>
          <w:p>
            <w:r>
              <w:rPr>
                <w:rFonts w:ascii="Calibri" w:cs="Calibri" w:eastAsia="Calibri" w:hAnsi="Calibri"/>
                <w:b/>
                <w:bCs/>
                <w:color w:val="375623"/>
                <w:sz w:val="19"/>
                <w:szCs w:val="19"/>
              </w:rPr>
              <w:t xml:space="preserve">YES</w:t>
            </w:r>
          </w:p>
        </w:tc>
      </w:tr>
      <w:tr>
        <w:tc>
          <w:tcPr>
            <w:tcW w:type="pct" w:w="15%"/>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ADINFRA</w:t>
            </w:r>
          </w:p>
        </w:tc>
        <w:tc>
          <w:tcPr>
            <w:tcW w:type="pct" w:w="30%"/>
            <w:tcMar>
              <w:top w:type="dxa" w:w="50"/>
              <w:left w:type="dxa" w:w="80"/>
              <w:bottom w:type="dxa" w:w="50"/>
              <w:right w:type="dxa" w:w="80"/>
            </w:tcMar>
          </w:tcPr>
          <w:p>
            <w:r>
              <w:rPr>
                <w:rFonts w:ascii="Calibri" w:cs="Calibri" w:eastAsia="Calibri" w:hAnsi="Calibri"/>
                <w:color w:val="404040"/>
                <w:sz w:val="19"/>
                <w:szCs w:val="19"/>
              </w:rPr>
              <w:t xml:space="preserve">Alternative Direct — Infrastructure</w:t>
            </w:r>
          </w:p>
        </w:tc>
        <w:tc>
          <w:tcPr>
            <w:tcW w:type="pct" w:w="35%"/>
            <w:tcMar>
              <w:top w:type="dxa" w:w="50"/>
              <w:left w:type="dxa" w:w="80"/>
              <w:bottom w:type="dxa" w:w="50"/>
              <w:right w:type="dxa" w:w="80"/>
            </w:tcMar>
          </w:tcPr>
          <w:p>
            <w:r>
              <w:rPr>
                <w:rFonts w:ascii="Calibri" w:cs="Calibri" w:eastAsia="Calibri" w:hAnsi="Calibri"/>
                <w:color w:val="404040"/>
                <w:sz w:val="19"/>
                <w:szCs w:val="19"/>
              </w:rPr>
              <w:t xml:space="preserve">Infrastructure closed-end fund</w:t>
            </w:r>
          </w:p>
        </w:tc>
        <w:tc>
          <w:tcPr>
            <w:tcW w:type="pct" w:w="20%"/>
            <w:shd w:fill="E6F0EA" w:color="E6F0EA" w:val="clear"/>
            <w:tcMar>
              <w:top w:type="dxa" w:w="50"/>
              <w:left w:type="dxa" w:w="80"/>
              <w:bottom w:type="dxa" w:w="50"/>
              <w:right w:type="dxa" w:w="80"/>
            </w:tcMar>
          </w:tcPr>
          <w:p>
            <w:r>
              <w:rPr>
                <w:rFonts w:ascii="Calibri" w:cs="Calibri" w:eastAsia="Calibri" w:hAnsi="Calibri"/>
                <w:b/>
                <w:bCs/>
                <w:color w:val="375623"/>
                <w:sz w:val="19"/>
                <w:szCs w:val="19"/>
              </w:rPr>
              <w:t xml:space="preserve">YES</w:t>
            </w:r>
          </w:p>
        </w:tc>
      </w:tr>
      <w:tr>
        <w:tc>
          <w:tcPr>
            <w:tcW w:type="pct" w:w="15%"/>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ADREF</w:t>
            </w:r>
          </w:p>
        </w:tc>
        <w:tc>
          <w:tcPr>
            <w:tcW w:type="pct" w:w="30%"/>
            <w:tcMar>
              <w:top w:type="dxa" w:w="50"/>
              <w:left w:type="dxa" w:w="80"/>
              <w:bottom w:type="dxa" w:w="50"/>
              <w:right w:type="dxa" w:w="80"/>
            </w:tcMar>
          </w:tcPr>
          <w:p>
            <w:r>
              <w:rPr>
                <w:rFonts w:ascii="Calibri" w:cs="Calibri" w:eastAsia="Calibri" w:hAnsi="Calibri"/>
                <w:color w:val="404040"/>
                <w:sz w:val="19"/>
                <w:szCs w:val="19"/>
              </w:rPr>
              <w:t xml:space="preserve">Alternative Direct — Real Estate Fund</w:t>
            </w:r>
          </w:p>
        </w:tc>
        <w:tc>
          <w:tcPr>
            <w:tcW w:type="pct" w:w="35%"/>
            <w:tcMar>
              <w:top w:type="dxa" w:w="50"/>
              <w:left w:type="dxa" w:w="80"/>
              <w:bottom w:type="dxa" w:w="50"/>
              <w:right w:type="dxa" w:w="80"/>
            </w:tcMar>
          </w:tcPr>
          <w:p>
            <w:r>
              <w:rPr>
                <w:rFonts w:ascii="Calibri" w:cs="Calibri" w:eastAsia="Calibri" w:hAnsi="Calibri"/>
                <w:color w:val="404040"/>
                <w:sz w:val="19"/>
                <w:szCs w:val="19"/>
              </w:rPr>
              <w:t xml:space="preserve">Real assets / real estate (this record)</w:t>
            </w:r>
          </w:p>
        </w:tc>
        <w:tc>
          <w:tcPr>
            <w:tcW w:type="pct" w:w="20%"/>
            <w:shd w:fill="FDE8E8" w:color="FDE8E8" w:val="clear"/>
            <w:tcMar>
              <w:top w:type="dxa" w:w="50"/>
              <w:left w:type="dxa" w:w="80"/>
              <w:bottom w:type="dxa" w:w="50"/>
              <w:right w:type="dxa" w:w="80"/>
            </w:tcMar>
          </w:tcPr>
          <w:p>
            <w:r>
              <w:rPr>
                <w:rFonts w:ascii="Calibri" w:cs="Calibri" w:eastAsia="Calibri" w:hAnsi="Calibri"/>
                <w:b/>
                <w:bCs/>
                <w:color w:val="C00000"/>
                <w:sz w:val="19"/>
                <w:szCs w:val="19"/>
              </w:rPr>
              <w:t xml:space="preserve">YES — real assets</w:t>
            </w:r>
          </w:p>
        </w:tc>
      </w:tr>
      <w:tr>
        <w:tc>
          <w:tcPr>
            <w:tcW w:type="pct" w:w="15%"/>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INTERVAL</w:t>
            </w:r>
          </w:p>
        </w:tc>
        <w:tc>
          <w:tcPr>
            <w:tcW w:type="pct" w:w="30%"/>
            <w:tcMar>
              <w:top w:type="dxa" w:w="50"/>
              <w:left w:type="dxa" w:w="80"/>
              <w:bottom w:type="dxa" w:w="50"/>
              <w:right w:type="dxa" w:w="80"/>
            </w:tcMar>
          </w:tcPr>
          <w:p>
            <w:r>
              <w:rPr>
                <w:rFonts w:ascii="Calibri" w:cs="Calibri" w:eastAsia="Calibri" w:hAnsi="Calibri"/>
                <w:color w:val="404040"/>
                <w:sz w:val="19"/>
                <w:szCs w:val="19"/>
              </w:rPr>
              <w:t xml:space="preserve">Interval Fund</w:t>
            </w:r>
          </w:p>
        </w:tc>
        <w:tc>
          <w:tcPr>
            <w:tcW w:type="pct" w:w="35%"/>
            <w:tcMar>
              <w:top w:type="dxa" w:w="50"/>
              <w:left w:type="dxa" w:w="80"/>
              <w:bottom w:type="dxa" w:w="50"/>
              <w:right w:type="dxa" w:w="80"/>
            </w:tcMar>
          </w:tcPr>
          <w:p>
            <w:r>
              <w:rPr>
                <w:rFonts w:ascii="Calibri" w:cs="Calibri" w:eastAsia="Calibri" w:hAnsi="Calibri"/>
                <w:color w:val="404040"/>
                <w:sz w:val="19"/>
                <w:szCs w:val="19"/>
              </w:rPr>
              <w:t xml:space="preserve">Quarterly liquidity; alt strategy; retail</w:t>
            </w:r>
          </w:p>
        </w:tc>
        <w:tc>
          <w:tcPr>
            <w:tcW w:type="pct" w:w="20%"/>
            <w:shd w:fill="FDF3E7" w:color="FDF3E7" w:val="clear"/>
            <w:tcMar>
              <w:top w:type="dxa" w:w="50"/>
              <w:left w:type="dxa" w:w="80"/>
              <w:bottom w:type="dxa" w:w="50"/>
              <w:right w:type="dxa" w:w="80"/>
            </w:tcMar>
          </w:tcPr>
          <w:p>
            <w:r>
              <w:rPr>
                <w:rFonts w:ascii="Calibri" w:cs="Calibri" w:eastAsia="Calibri" w:hAnsi="Calibri"/>
                <w:b/>
                <w:bCs/>
                <w:color w:val="C55A11"/>
                <w:sz w:val="19"/>
                <w:szCs w:val="19"/>
              </w:rPr>
              <w:t xml:space="preserve">Partial (alt strategy, retail wrapper)</w:t>
            </w:r>
          </w:p>
        </w:tc>
      </w:tr>
      <w:tr>
        <w:tc>
          <w:tcPr>
            <w:tcW w:type="pct" w:w="15%"/>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BDC</w:t>
            </w:r>
          </w:p>
        </w:tc>
        <w:tc>
          <w:tcPr>
            <w:tcW w:type="pct" w:w="30%"/>
            <w:tcMar>
              <w:top w:type="dxa" w:w="50"/>
              <w:left w:type="dxa" w:w="80"/>
              <w:bottom w:type="dxa" w:w="50"/>
              <w:right w:type="dxa" w:w="80"/>
            </w:tcMar>
          </w:tcPr>
          <w:p>
            <w:r>
              <w:rPr>
                <w:rFonts w:ascii="Calibri" w:cs="Calibri" w:eastAsia="Calibri" w:hAnsi="Calibri"/>
                <w:color w:val="404040"/>
                <w:sz w:val="19"/>
                <w:szCs w:val="19"/>
              </w:rPr>
              <w:t xml:space="preserve">Business Development Company</w:t>
            </w:r>
          </w:p>
        </w:tc>
        <w:tc>
          <w:tcPr>
            <w:tcW w:type="pct" w:w="35%"/>
            <w:tcMar>
              <w:top w:type="dxa" w:w="50"/>
              <w:left w:type="dxa" w:w="80"/>
              <w:bottom w:type="dxa" w:w="50"/>
              <w:right w:type="dxa" w:w="80"/>
            </w:tcMar>
          </w:tcPr>
          <w:p>
            <w:r>
              <w:rPr>
                <w:rFonts w:ascii="Calibri" w:cs="Calibri" w:eastAsia="Calibri" w:hAnsi="Calibri"/>
                <w:color w:val="404040"/>
                <w:sz w:val="19"/>
                <w:szCs w:val="19"/>
              </w:rPr>
              <w:t xml:space="preserve">Credit / direct lending; listed or NT</w:t>
            </w:r>
          </w:p>
        </w:tc>
        <w:tc>
          <w:tcPr>
            <w:tcW w:type="pct" w:w="20%"/>
            <w:shd w:fill="FDF3E7" w:color="FDF3E7" w:val="clear"/>
            <w:tcMar>
              <w:top w:type="dxa" w:w="50"/>
              <w:left w:type="dxa" w:w="80"/>
              <w:bottom w:type="dxa" w:w="50"/>
              <w:right w:type="dxa" w:w="80"/>
            </w:tcMar>
          </w:tcPr>
          <w:p>
            <w:r>
              <w:rPr>
                <w:rFonts w:ascii="Calibri" w:cs="Calibri" w:eastAsia="Calibri" w:hAnsi="Calibri"/>
                <w:b/>
                <w:bCs/>
                <w:color w:val="C55A11"/>
                <w:sz w:val="19"/>
                <w:szCs w:val="19"/>
              </w:rPr>
              <w:t xml:space="preserve">Partial (PE-like strategy)</w:t>
            </w:r>
          </w:p>
        </w:tc>
      </w:tr>
      <w:tr>
        <w:tc>
          <w:tcPr>
            <w:tcW w:type="pct" w:w="15%"/>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NTREIT</w:t>
            </w:r>
          </w:p>
        </w:tc>
        <w:tc>
          <w:tcPr>
            <w:tcW w:type="pct" w:w="30%"/>
            <w:tcMar>
              <w:top w:type="dxa" w:w="50"/>
              <w:left w:type="dxa" w:w="80"/>
              <w:bottom w:type="dxa" w:w="50"/>
              <w:right w:type="dxa" w:w="80"/>
            </w:tcMar>
          </w:tcPr>
          <w:p>
            <w:r>
              <w:rPr>
                <w:rFonts w:ascii="Calibri" w:cs="Calibri" w:eastAsia="Calibri" w:hAnsi="Calibri"/>
                <w:color w:val="404040"/>
                <w:sz w:val="19"/>
                <w:szCs w:val="19"/>
              </w:rPr>
              <w:t xml:space="preserve">Non-Traded REIT</w:t>
            </w:r>
          </w:p>
        </w:tc>
        <w:tc>
          <w:tcPr>
            <w:tcW w:type="pct" w:w="35%"/>
            <w:tcMar>
              <w:top w:type="dxa" w:w="50"/>
              <w:left w:type="dxa" w:w="80"/>
              <w:bottom w:type="dxa" w:w="50"/>
              <w:right w:type="dxa" w:w="80"/>
            </w:tcMar>
          </w:tcPr>
          <w:p>
            <w:r>
              <w:rPr>
                <w:rFonts w:ascii="Calibri" w:cs="Calibri" w:eastAsia="Calibri" w:hAnsi="Calibri"/>
                <w:color w:val="404040"/>
                <w:sz w:val="19"/>
                <w:szCs w:val="19"/>
              </w:rPr>
              <w:t xml:space="preserve">Real estate; retail distribution</w:t>
            </w:r>
          </w:p>
        </w:tc>
        <w:tc>
          <w:tcPr>
            <w:tcW w:type="pct" w:w="20%"/>
            <w:shd w:fill="FDF3E7" w:color="FDF3E7" w:val="clear"/>
            <w:tcMar>
              <w:top w:type="dxa" w:w="50"/>
              <w:left w:type="dxa" w:w="80"/>
              <w:bottom w:type="dxa" w:w="50"/>
              <w:right w:type="dxa" w:w="80"/>
            </w:tcMar>
          </w:tcPr>
          <w:p>
            <w:r>
              <w:rPr>
                <w:rFonts w:ascii="Calibri" w:cs="Calibri" w:eastAsia="Calibri" w:hAnsi="Calibri"/>
                <w:b/>
                <w:bCs/>
                <w:color w:val="C55A11"/>
                <w:sz w:val="19"/>
                <w:szCs w:val="19"/>
              </w:rPr>
              <w:t xml:space="preserve">Partial (real estate strategy)</w:t>
            </w:r>
          </w:p>
        </w:tc>
      </w:tr>
      <w:tr>
        <w:tc>
          <w:tcPr>
            <w:tcW w:type="pct" w:w="15%"/>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MFOPEN</w:t>
            </w:r>
          </w:p>
        </w:tc>
        <w:tc>
          <w:tcPr>
            <w:tcW w:type="pct" w:w="30%"/>
            <w:tcMar>
              <w:top w:type="dxa" w:w="50"/>
              <w:left w:type="dxa" w:w="80"/>
              <w:bottom w:type="dxa" w:w="50"/>
              <w:right w:type="dxa" w:w="80"/>
            </w:tcMar>
          </w:tcPr>
          <w:p>
            <w:r>
              <w:rPr>
                <w:rFonts w:ascii="Calibri" w:cs="Calibri" w:eastAsia="Calibri" w:hAnsi="Calibri"/>
                <w:color w:val="404040"/>
                <w:sz w:val="19"/>
                <w:szCs w:val="19"/>
              </w:rPr>
              <w:t xml:space="preserve">Mutual Fund — Open End</w:t>
            </w:r>
          </w:p>
        </w:tc>
        <w:tc>
          <w:tcPr>
            <w:tcW w:type="pct" w:w="35%"/>
            <w:tcMar>
              <w:top w:type="dxa" w:w="50"/>
              <w:left w:type="dxa" w:w="80"/>
              <w:bottom w:type="dxa" w:w="50"/>
              <w:right w:type="dxa" w:w="80"/>
            </w:tcMar>
          </w:tcPr>
          <w:p>
            <w:r>
              <w:rPr>
                <w:rFonts w:ascii="Calibri" w:cs="Calibri" w:eastAsia="Calibri" w:hAnsi="Calibri"/>
                <w:color w:val="404040"/>
                <w:sz w:val="19"/>
                <w:szCs w:val="19"/>
              </w:rPr>
              <w:t xml:space="preserve">Daily liquidity; retail</w:t>
            </w:r>
          </w:p>
        </w:tc>
        <w:tc>
          <w:tcPr>
            <w:tcW w:type="pct" w:w="20%"/>
            <w:shd w:fill="FDE8E8" w:color="FDE8E8" w:val="clear"/>
            <w:tcMar>
              <w:top w:type="dxa" w:w="50"/>
              <w:left w:type="dxa" w:w="80"/>
              <w:bottom w:type="dxa" w:w="50"/>
              <w:right w:type="dxa" w:w="80"/>
            </w:tcMar>
          </w:tcPr>
          <w:p>
            <w:r>
              <w:rPr>
                <w:rFonts w:ascii="Calibri" w:cs="Calibri" w:eastAsia="Calibri" w:hAnsi="Calibri"/>
                <w:b/>
                <w:bCs/>
                <w:color w:val="C00000"/>
                <w:sz w:val="19"/>
                <w:szCs w:val="19"/>
              </w:rPr>
              <w:t xml:space="preserve">NO</w:t>
            </w:r>
          </w:p>
        </w:tc>
      </w:tr>
      <w:tr>
        <w:tc>
          <w:tcPr>
            <w:tcW w:type="pct" w:w="15%"/>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MFCLOSED</w:t>
            </w:r>
          </w:p>
        </w:tc>
        <w:tc>
          <w:tcPr>
            <w:tcW w:type="pct" w:w="30%"/>
            <w:tcMar>
              <w:top w:type="dxa" w:w="50"/>
              <w:left w:type="dxa" w:w="80"/>
              <w:bottom w:type="dxa" w:w="50"/>
              <w:right w:type="dxa" w:w="80"/>
            </w:tcMar>
          </w:tcPr>
          <w:p>
            <w:r>
              <w:rPr>
                <w:rFonts w:ascii="Calibri" w:cs="Calibri" w:eastAsia="Calibri" w:hAnsi="Calibri"/>
                <w:color w:val="404040"/>
                <w:sz w:val="19"/>
                <w:szCs w:val="19"/>
              </w:rPr>
              <w:t xml:space="preserve">Closed-End Fund (Exchange-Listed)</w:t>
            </w:r>
          </w:p>
        </w:tc>
        <w:tc>
          <w:tcPr>
            <w:tcW w:type="pct" w:w="35%"/>
            <w:tcMar>
              <w:top w:type="dxa" w:w="50"/>
              <w:left w:type="dxa" w:w="80"/>
              <w:bottom w:type="dxa" w:w="50"/>
              <w:right w:type="dxa" w:w="80"/>
            </w:tcMar>
          </w:tcPr>
          <w:p>
            <w:r>
              <w:rPr>
                <w:rFonts w:ascii="Calibri" w:cs="Calibri" w:eastAsia="Calibri" w:hAnsi="Calibri"/>
                <w:color w:val="404040"/>
                <w:sz w:val="19"/>
                <w:szCs w:val="19"/>
              </w:rPr>
              <w:t xml:space="preserve">Listed on NYSE/NASDAQ; liquid</w:t>
            </w:r>
          </w:p>
        </w:tc>
        <w:tc>
          <w:tcPr>
            <w:tcW w:type="pct" w:w="20%"/>
            <w:shd w:fill="FDE8E8" w:color="FDE8E8" w:val="clear"/>
            <w:tcMar>
              <w:top w:type="dxa" w:w="50"/>
              <w:left w:type="dxa" w:w="80"/>
              <w:bottom w:type="dxa" w:w="50"/>
              <w:right w:type="dxa" w:w="80"/>
            </w:tcMar>
          </w:tcPr>
          <w:p>
            <w:r>
              <w:rPr>
                <w:rFonts w:ascii="Calibri" w:cs="Calibri" w:eastAsia="Calibri" w:hAnsi="Calibri"/>
                <w:b/>
                <w:bCs/>
                <w:color w:val="C00000"/>
                <w:sz w:val="19"/>
                <w:szCs w:val="19"/>
              </w:rPr>
              <w:t xml:space="preserve">NO — not PE closed-end</w:t>
            </w:r>
          </w:p>
        </w:tc>
      </w:tr>
      <w:tr>
        <w:tc>
          <w:tcPr>
            <w:tcW w:type="pct" w:w="15%"/>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ETF</w:t>
            </w:r>
          </w:p>
        </w:tc>
        <w:tc>
          <w:tcPr>
            <w:tcW w:type="pct" w:w="30%"/>
            <w:tcMar>
              <w:top w:type="dxa" w:w="50"/>
              <w:left w:type="dxa" w:w="80"/>
              <w:bottom w:type="dxa" w:w="50"/>
              <w:right w:type="dxa" w:w="80"/>
            </w:tcMar>
          </w:tcPr>
          <w:p>
            <w:r>
              <w:rPr>
                <w:rFonts w:ascii="Calibri" w:cs="Calibri" w:eastAsia="Calibri" w:hAnsi="Calibri"/>
                <w:color w:val="404040"/>
                <w:sz w:val="19"/>
                <w:szCs w:val="19"/>
              </w:rPr>
              <w:t xml:space="preserve">Exchange Traded Fund</w:t>
            </w:r>
          </w:p>
        </w:tc>
        <w:tc>
          <w:tcPr>
            <w:tcW w:type="pct" w:w="35%"/>
            <w:tcMar>
              <w:top w:type="dxa" w:w="50"/>
              <w:left w:type="dxa" w:w="80"/>
              <w:bottom w:type="dxa" w:w="50"/>
              <w:right w:type="dxa" w:w="80"/>
            </w:tcMar>
          </w:tcPr>
          <w:p>
            <w:r>
              <w:rPr>
                <w:rFonts w:ascii="Calibri" w:cs="Calibri" w:eastAsia="Calibri" w:hAnsi="Calibri"/>
                <w:color w:val="404040"/>
                <w:sz w:val="19"/>
                <w:szCs w:val="19"/>
              </w:rPr>
              <w:t xml:space="preserve">Intraday liquidity</w:t>
            </w:r>
          </w:p>
        </w:tc>
        <w:tc>
          <w:tcPr>
            <w:tcW w:type="pct" w:w="20%"/>
            <w:shd w:fill="FDE8E8" w:color="FDE8E8" w:val="clear"/>
            <w:tcMar>
              <w:top w:type="dxa" w:w="50"/>
              <w:left w:type="dxa" w:w="80"/>
              <w:bottom w:type="dxa" w:w="50"/>
              <w:right w:type="dxa" w:w="80"/>
            </w:tcMar>
          </w:tcPr>
          <w:p>
            <w:r>
              <w:rPr>
                <w:rFonts w:ascii="Calibri" w:cs="Calibri" w:eastAsia="Calibri" w:hAnsi="Calibri"/>
                <w:b/>
                <w:bCs/>
                <w:color w:val="C00000"/>
                <w:sz w:val="19"/>
                <w:szCs w:val="19"/>
              </w:rPr>
              <w:t xml:space="preserve">NO</w:t>
            </w:r>
          </w:p>
        </w:tc>
      </w:tr>
    </w:tbl>
    <w:p>
      <w:pPr>
        <w:spacing w:after="160" w:before="0"/>
      </w:pPr>
      <w:r>
        <w:t xml:space="preserve"/>
      </w:r>
    </w:p>
    <w:p>
      <w:pPr>
        <w:pStyle w:val="Heading2"/>
        <w:spacing w:after="120" w:before="320"/>
      </w:pPr>
      <w:r>
        <w:t xml:space="preserve">K.5  SQL Query — Extracting Closed-End PE Transactions from DST</w:t>
      </w:r>
    </w:p>
    <w:p>
      <w:pPr>
        <w:spacing w:after="120" w:before="0"/>
      </w:pPr>
      <w:r>
        <w:rPr>
          <w:rFonts w:ascii="Calibri" w:cs="Calibri" w:eastAsia="Calibri" w:hAnsi="Calibri"/>
          <w:color w:val="404040"/>
          <w:sz w:val="22"/>
          <w:szCs w:val="22"/>
        </w:rPr>
        <w:t xml:space="preserve">The following query isolates closed-end PE and alternative fund transactions from a DST trade feed, excluding open-end mutual fund and ETF activity:</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tcW w:type="pct" w:w="100%"/>
            <w:shd w:fill="F0F4FA" w:color="F0F4FA" w:val="clear"/>
            <w:tcMar>
              <w:top w:type="dxa" w:w="120"/>
              <w:left w:type="dxa" w:w="200"/>
              <w:bottom w:type="dxa" w:w="120"/>
              <w:right w:type="dxa" w:w="120"/>
            </w:tcMar>
          </w:tcPr>
          <w:p>
            <w:pPr>
              <w:spacing w:after="20" w:before="0"/>
            </w:pPr>
            <w:r>
              <w:rPr>
                <w:rFonts w:ascii="Courier New" w:cs="Courier New" w:eastAsia="Courier New" w:hAnsi="Courier New"/>
                <w:color w:val="2F5496"/>
                <w:sz w:val="18"/>
                <w:szCs w:val="18"/>
              </w:rPr>
              <w:t xml:space="preserve">SELECT</w:t>
            </w:r>
          </w:p>
          <w:p>
            <w:pPr>
              <w:spacing w:after="20" w:before="0"/>
            </w:pPr>
            <w:r>
              <w:rPr>
                <w:rFonts w:ascii="Courier New" w:cs="Courier New" w:eastAsia="Courier New" w:hAnsi="Courier New"/>
                <w:color w:val="2F5496"/>
                <w:sz w:val="18"/>
                <w:szCs w:val="18"/>
              </w:rPr>
              <w:t xml:space="preserve">    NAME,</w:t>
            </w:r>
          </w:p>
          <w:p>
            <w:pPr>
              <w:spacing w:after="20" w:before="0"/>
            </w:pPr>
            <w:r>
              <w:rPr>
                <w:rFonts w:ascii="Courier New" w:cs="Courier New" w:eastAsia="Courier New" w:hAnsi="Courier New"/>
                <w:color w:val="2F5496"/>
                <w:sz w:val="18"/>
                <w:szCs w:val="18"/>
              </w:rPr>
              <w:t xml:space="preserve">    TRANSACTION_ID,</w:t>
            </w:r>
          </w:p>
          <w:p>
            <w:pPr>
              <w:spacing w:after="20" w:before="0"/>
            </w:pPr>
            <w:r>
              <w:rPr>
                <w:rFonts w:ascii="Courier New" w:cs="Courier New" w:eastAsia="Courier New" w:hAnsi="Courier New"/>
                <w:color w:val="2F5496"/>
                <w:sz w:val="18"/>
                <w:szCs w:val="18"/>
              </w:rPr>
              <w:t xml:space="preserve">    FUND,</w:t>
            </w:r>
          </w:p>
          <w:p>
            <w:pPr>
              <w:spacing w:after="20" w:before="0"/>
            </w:pPr>
            <w:r>
              <w:rPr>
                <w:rFonts w:ascii="Courier New" w:cs="Courier New" w:eastAsia="Courier New" w:hAnsi="Courier New"/>
                <w:color w:val="2F5496"/>
                <w:sz w:val="18"/>
                <w:szCs w:val="18"/>
              </w:rPr>
              <w:t xml:space="preserve">    CUSIP,</w:t>
            </w:r>
          </w:p>
          <w:p>
            <w:pPr>
              <w:spacing w:after="20" w:before="0"/>
            </w:pPr>
            <w:r>
              <w:rPr>
                <w:rFonts w:ascii="Courier New" w:cs="Courier New" w:eastAsia="Courier New" w:hAnsi="Courier New"/>
                <w:color w:val="2F5496"/>
                <w:sz w:val="18"/>
                <w:szCs w:val="18"/>
              </w:rPr>
              <w:t xml:space="preserve">    ACCOUNT_NUMBER,</w:t>
            </w:r>
          </w:p>
          <w:p>
            <w:pPr>
              <w:spacing w:after="20" w:before="0"/>
            </w:pPr>
            <w:r>
              <w:rPr>
                <w:rFonts w:ascii="Courier New" w:cs="Courier New" w:eastAsia="Courier New" w:hAnsi="Courier New"/>
                <w:color w:val="2F5496"/>
                <w:sz w:val="18"/>
                <w:szCs w:val="18"/>
              </w:rPr>
              <w:t xml:space="preserve">    TRADE_DATE,</w:t>
            </w:r>
          </w:p>
          <w:p>
            <w:pPr>
              <w:spacing w:after="20" w:before="0"/>
            </w:pPr>
            <w:r>
              <w:rPr>
                <w:rFonts w:ascii="Courier New" w:cs="Courier New" w:eastAsia="Courier New" w:hAnsi="Courier New"/>
                <w:color w:val="2F5496"/>
                <w:sz w:val="18"/>
                <w:szCs w:val="18"/>
              </w:rPr>
              <w:t xml:space="preserve">    POSTING_DATE,</w:t>
            </w:r>
          </w:p>
          <w:p>
            <w:pPr>
              <w:spacing w:after="20" w:before="0"/>
            </w:pPr>
            <w:r>
              <w:rPr>
                <w:rFonts w:ascii="Courier New" w:cs="Courier New" w:eastAsia="Courier New" w:hAnsi="Courier New"/>
                <w:color w:val="2F5496"/>
                <w:sz w:val="18"/>
                <w:szCs w:val="18"/>
              </w:rPr>
              <w:t xml:space="preserve">    SETTLE_DATE,</w:t>
            </w:r>
          </w:p>
          <w:p>
            <w:pPr>
              <w:spacing w:after="20" w:before="0"/>
            </w:pPr>
            <w:r>
              <w:rPr>
                <w:rFonts w:ascii="Courier New" w:cs="Courier New" w:eastAsia="Courier New" w:hAnsi="Courier New"/>
                <w:color w:val="2F5496"/>
                <w:sz w:val="18"/>
                <w:szCs w:val="18"/>
              </w:rPr>
              <w:t xml:space="preserve">    TRAN_CODE,</w:t>
            </w:r>
          </w:p>
          <w:p>
            <w:pPr>
              <w:spacing w:after="20" w:before="0"/>
            </w:pPr>
            <w:r>
              <w:rPr>
                <w:rFonts w:ascii="Courier New" w:cs="Courier New" w:eastAsia="Courier New" w:hAnsi="Courier New"/>
                <w:color w:val="2F5496"/>
                <w:sz w:val="18"/>
                <w:szCs w:val="18"/>
              </w:rPr>
              <w:t xml:space="preserve">    TRAN_SUFFIX,</w:t>
            </w:r>
          </w:p>
          <w:p>
            <w:pPr>
              <w:spacing w:after="20" w:before="0"/>
            </w:pPr>
            <w:r>
              <w:rPr>
                <w:rFonts w:ascii="Courier New" w:cs="Courier New" w:eastAsia="Courier New" w:hAnsi="Courier New"/>
                <w:color w:val="2F5496"/>
                <w:sz w:val="18"/>
                <w:szCs w:val="18"/>
              </w:rPr>
              <w:t xml:space="preserve">    TRADE_TYPE,</w:t>
            </w:r>
          </w:p>
          <w:p>
            <w:pPr>
              <w:spacing w:after="20" w:before="0"/>
            </w:pPr>
            <w:r>
              <w:rPr>
                <w:rFonts w:ascii="Courier New" w:cs="Courier New" w:eastAsia="Courier New" w:hAnsi="Courier New"/>
                <w:color w:val="2F5496"/>
                <w:sz w:val="18"/>
                <w:szCs w:val="18"/>
              </w:rPr>
              <w:t xml:space="preserve">    GROSS_AMOUNT_ORIG,</w:t>
            </w:r>
          </w:p>
          <w:p>
            <w:pPr>
              <w:spacing w:after="20" w:before="0"/>
            </w:pPr>
            <w:r>
              <w:rPr>
                <w:rFonts w:ascii="Courier New" w:cs="Courier New" w:eastAsia="Courier New" w:hAnsi="Courier New"/>
                <w:color w:val="2F5496"/>
                <w:sz w:val="18"/>
                <w:szCs w:val="18"/>
              </w:rPr>
              <w:t xml:space="preserve">    TOTAL_SHARES,</w:t>
            </w:r>
          </w:p>
          <w:p>
            <w:pPr>
              <w:spacing w:after="20" w:before="0"/>
            </w:pPr>
            <w:r>
              <w:rPr>
                <w:rFonts w:ascii="Courier New" w:cs="Courier New" w:eastAsia="Courier New" w:hAnsi="Courier New"/>
                <w:color w:val="2F5496"/>
                <w:sz w:val="18"/>
                <w:szCs w:val="18"/>
              </w:rPr>
              <w:t xml:space="preserve">    PRODUCT_CODE,</w:t>
            </w:r>
          </w:p>
          <w:p>
            <w:pPr>
              <w:spacing w:after="20" w:before="0"/>
            </w:pPr>
            <w:r>
              <w:rPr>
                <w:rFonts w:ascii="Courier New" w:cs="Courier New" w:eastAsia="Courier New" w:hAnsi="Courier New"/>
                <w:color w:val="2F5496"/>
                <w:sz w:val="18"/>
                <w:szCs w:val="18"/>
              </w:rPr>
              <w:t xml:space="preserve">    PLATFORM_CODE,</w:t>
            </w:r>
          </w:p>
          <w:p>
            <w:pPr>
              <w:spacing w:after="20" w:before="0"/>
            </w:pPr>
            <w:r>
              <w:rPr>
                <w:rFonts w:ascii="Courier New" w:cs="Courier New" w:eastAsia="Courier New" w:hAnsi="Courier New"/>
                <w:color w:val="2F5496"/>
                <w:sz w:val="18"/>
                <w:szCs w:val="18"/>
              </w:rPr>
              <w:t xml:space="preserve">    NSCC_CONTROL_NBR,</w:t>
            </w:r>
          </w:p>
          <w:p>
            <w:pPr>
              <w:spacing w:after="20" w:before="0"/>
            </w:pPr>
            <w:r>
              <w:rPr>
                <w:rFonts w:ascii="Courier New" w:cs="Courier New" w:eastAsia="Courier New" w:hAnsi="Courier New"/>
                <w:color w:val="2F5496"/>
                <w:sz w:val="18"/>
                <w:szCs w:val="18"/>
              </w:rPr>
              <w:t xml:space="preserve">    SOCIAL_CODE,</w:t>
            </w:r>
          </w:p>
          <w:p>
            <w:pPr>
              <w:spacing w:after="20" w:before="0"/>
            </w:pPr>
            <w:r>
              <w:rPr>
                <w:rFonts w:ascii="Courier New" w:cs="Courier New" w:eastAsia="Courier New" w:hAnsi="Courier New"/>
                <w:color w:val="2F5496"/>
                <w:sz w:val="18"/>
                <w:szCs w:val="18"/>
              </w:rPr>
              <w:t xml:space="preserve">    TRADE_FIRM,</w:t>
            </w:r>
          </w:p>
          <w:p>
            <w:pPr>
              <w:spacing w:after="20" w:before="0"/>
            </w:pPr>
            <w:r>
              <w:rPr>
                <w:rFonts w:ascii="Courier New" w:cs="Courier New" w:eastAsia="Courier New" w:hAnsi="Courier New"/>
                <w:color w:val="2F5496"/>
                <w:sz w:val="18"/>
                <w:szCs w:val="18"/>
              </w:rPr>
              <w:t xml:space="preserve">    TRADE_REP</w:t>
            </w:r>
          </w:p>
          <w:p>
            <w:pPr>
              <w:spacing w:after="20" w:before="0"/>
            </w:pPr>
            <w:r>
              <w:rPr>
                <w:rFonts w:ascii="Courier New" w:cs="Courier New" w:eastAsia="Courier New" w:hAnsi="Courier New"/>
                <w:color w:val="2F5496"/>
                <w:sz w:val="18"/>
                <w:szCs w:val="18"/>
              </w:rPr>
              <w:t xml:space="preserve">FROM DST_TRANSACTIONS</w:t>
            </w:r>
          </w:p>
          <w:p>
            <w:pPr>
              <w:spacing w:after="20" w:before="0"/>
            </w:pPr>
            <w:r>
              <w:rPr>
                <w:rFonts w:ascii="Courier New" w:cs="Courier New" w:eastAsia="Courier New" w:hAnsi="Courier New"/>
                <w:color w:val="2F5496"/>
                <w:sz w:val="18"/>
                <w:szCs w:val="18"/>
              </w:rPr>
              <w:t xml:space="preserve">WHERE</w:t>
            </w:r>
          </w:p>
          <w:p>
            <w:pPr>
              <w:spacing w:after="20" w:before="0"/>
            </w:pPr>
            <w:r>
              <w:rPr>
                <w:rFonts w:ascii="Courier New" w:cs="Courier New" w:eastAsia="Courier New" w:hAnsi="Courier New"/>
                <w:color w:val="2F5496"/>
                <w:sz w:val="18"/>
                <w:szCs w:val="18"/>
              </w:rPr>
              <w:t xml:space="preserve">    -- 1. Product type = PE / Alternative</w:t>
            </w:r>
          </w:p>
          <w:p>
            <w:pPr>
              <w:spacing w:after="20" w:before="0"/>
            </w:pPr>
            <w:r>
              <w:rPr>
                <w:rFonts w:ascii="Courier New" w:cs="Courier New" w:eastAsia="Courier New" w:hAnsi="Courier New"/>
                <w:color w:val="2F5496"/>
                <w:sz w:val="18"/>
                <w:szCs w:val="18"/>
              </w:rPr>
              <w:t xml:space="preserve">    PRODUCT_CODE IN ('ADPE','ADPEC','ADCRE','ADINFRA','ADREF')</w:t>
            </w:r>
          </w:p>
          <w:p>
            <w:pPr>
              <w:spacing w:after="20" w:before="0"/>
            </w:pPr>
            <w:r>
              <w:rPr>
                <w:rFonts w:ascii="Courier New" w:cs="Courier New" w:eastAsia="Courier New" w:hAnsi="Courier New"/>
                <w:color w:val="2F5496"/>
                <w:sz w:val="18"/>
                <w:szCs w:val="18"/>
              </w:rPr>
              <w:t xml:space="preserve"> </w:t>
            </w:r>
          </w:p>
          <w:p>
            <w:pPr>
              <w:spacing w:after="20" w:before="0"/>
            </w:pPr>
            <w:r>
              <w:rPr>
                <w:rFonts w:ascii="Courier New" w:cs="Courier New" w:eastAsia="Courier New" w:hAnsi="Courier New"/>
                <w:color w:val="2F5496"/>
                <w:sz w:val="18"/>
                <w:szCs w:val="18"/>
              </w:rPr>
              <w:t xml:space="preserve">    -- 2. OR transaction code is PE-specific (capital call / commitment / distribution)</w:t>
            </w:r>
          </w:p>
          <w:p>
            <w:pPr>
              <w:spacing w:after="20" w:before="0"/>
            </w:pPr>
            <w:r>
              <w:rPr>
                <w:rFonts w:ascii="Courier New" w:cs="Courier New" w:eastAsia="Courier New" w:hAnsi="Courier New"/>
                <w:color w:val="2F5496"/>
                <w:sz w:val="18"/>
                <w:szCs w:val="18"/>
              </w:rPr>
              <w:t xml:space="preserve">    OR TRAN_CODE IN ('050','051','052','060','061','070','071','072')</w:t>
            </w:r>
          </w:p>
          <w:p>
            <w:pPr>
              <w:spacing w:after="20" w:before="0"/>
            </w:pPr>
            <w:r>
              <w:rPr>
                <w:rFonts w:ascii="Courier New" w:cs="Courier New" w:eastAsia="Courier New" w:hAnsi="Courier New"/>
                <w:color w:val="2F5496"/>
                <w:sz w:val="18"/>
                <w:szCs w:val="18"/>
              </w:rPr>
              <w:t xml:space="preserve"> </w:t>
            </w:r>
          </w:p>
          <w:p>
            <w:pPr>
              <w:spacing w:after="20" w:before="0"/>
            </w:pPr>
            <w:r>
              <w:rPr>
                <w:rFonts w:ascii="Courier New" w:cs="Courier New" w:eastAsia="Courier New" w:hAnsi="Courier New"/>
                <w:color w:val="2F5496"/>
                <w:sz w:val="18"/>
                <w:szCs w:val="18"/>
              </w:rPr>
              <w:t xml:space="preserve">    -- 3. EXCLUDE retail open-end mutual fund trades</w:t>
            </w:r>
          </w:p>
          <w:p>
            <w:pPr>
              <w:spacing w:after="20" w:before="0"/>
            </w:pPr>
            <w:r>
              <w:rPr>
                <w:rFonts w:ascii="Courier New" w:cs="Courier New" w:eastAsia="Courier New" w:hAnsi="Courier New"/>
                <w:color w:val="2F5496"/>
                <w:sz w:val="18"/>
                <w:szCs w:val="18"/>
              </w:rPr>
              <w:t xml:space="preserve">    AND TRAN_CODE NOT IN ('001','002','003','004','005')</w:t>
            </w:r>
          </w:p>
          <w:p>
            <w:pPr>
              <w:spacing w:after="20" w:before="0"/>
            </w:pPr>
            <w:r>
              <w:rPr>
                <w:rFonts w:ascii="Courier New" w:cs="Courier New" w:eastAsia="Courier New" w:hAnsi="Courier New"/>
                <w:color w:val="2F5496"/>
                <w:sz w:val="18"/>
                <w:szCs w:val="18"/>
              </w:rPr>
              <w:t xml:space="preserve">    AND SOCIAL_CODE NOT IN ('001','002','003')</w:t>
            </w:r>
          </w:p>
          <w:p>
            <w:pPr>
              <w:spacing w:after="20" w:before="0"/>
            </w:pPr>
            <w:r>
              <w:rPr>
                <w:rFonts w:ascii="Courier New" w:cs="Courier New" w:eastAsia="Courier New" w:hAnsi="Courier New"/>
                <w:color w:val="2F5496"/>
                <w:sz w:val="18"/>
                <w:szCs w:val="18"/>
              </w:rPr>
              <w:t xml:space="preserve"> </w:t>
            </w:r>
          </w:p>
          <w:p>
            <w:pPr>
              <w:spacing w:after="20" w:before="0"/>
            </w:pPr>
            <w:r>
              <w:rPr>
                <w:rFonts w:ascii="Courier New" w:cs="Courier New" w:eastAsia="Courier New" w:hAnsi="Courier New"/>
                <w:color w:val="2F5496"/>
                <w:sz w:val="18"/>
                <w:szCs w:val="18"/>
              </w:rPr>
              <w:t xml:space="preserve">    -- 4. Filter by date range</w:t>
            </w:r>
          </w:p>
          <w:p>
            <w:pPr>
              <w:spacing w:after="20" w:before="0"/>
            </w:pPr>
            <w:r>
              <w:rPr>
                <w:rFonts w:ascii="Courier New" w:cs="Courier New" w:eastAsia="Courier New" w:hAnsi="Courier New"/>
                <w:color w:val="2F5496"/>
                <w:sz w:val="18"/>
                <w:szCs w:val="18"/>
              </w:rPr>
              <w:t xml:space="preserve">    AND TRADE_DATE &gt;= '2021-01-01'</w:t>
            </w:r>
          </w:p>
          <w:p>
            <w:pPr>
              <w:spacing w:after="20" w:before="0"/>
            </w:pPr>
            <w:r>
              <w:rPr>
                <w:rFonts w:ascii="Courier New" w:cs="Courier New" w:eastAsia="Courier New" w:hAnsi="Courier New"/>
                <w:color w:val="2F5496"/>
                <w:sz w:val="18"/>
                <w:szCs w:val="18"/>
              </w:rPr>
              <w:t xml:space="preserve"> </w:t>
            </w:r>
          </w:p>
          <w:p>
            <w:pPr>
              <w:spacing w:after="20" w:before="0"/>
            </w:pPr>
            <w:r>
              <w:rPr>
                <w:rFonts w:ascii="Courier New" w:cs="Courier New" w:eastAsia="Courier New" w:hAnsi="Courier New"/>
                <w:color w:val="2F5496"/>
                <w:sz w:val="18"/>
                <w:szCs w:val="18"/>
              </w:rPr>
              <w:t xml:space="preserve">ORDER BY TRADE_DATE DESC, FUND, ACCOUNT_NUMBER;</w:t>
            </w:r>
          </w:p>
        </w:tc>
      </w:tr>
    </w:tbl>
    <w:p>
      <w:pPr>
        <w:spacing w:after="160" w:before="0"/>
      </w:pPr>
      <w:r>
        <w:t xml:space="preserve"/>
      </w:r>
    </w:p>
    <w:p>
      <w:pPr>
        <w:pStyle w:val="Heading2"/>
        <w:spacing w:after="120" w:before="320"/>
      </w:pPr>
      <w:r>
        <w:t xml:space="preserve">K.6  NSCC vs. Direct Wire — Retail Alt vs. Institutional PE</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tblGrid>
      <w:tr>
        <w:trPr>
          <w:tblHeader/>
        </w:trPr>
        <w:tc>
          <w:tcPr>
            <w:tcW w:type="pct" w:w="25%"/>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Characteristic</w:t>
            </w:r>
          </w:p>
        </w:tc>
        <w:tc>
          <w:tcPr>
            <w:tcW w:type="pct" w:w="35%"/>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Retail Alt (this DST record)</w:t>
            </w:r>
          </w:p>
        </w:tc>
        <w:tc>
          <w:tcPr>
            <w:tcW w:type="pct" w:w="4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Institutional Closed-End PE</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TRAN_CODE</w:t>
            </w:r>
          </w:p>
        </w:tc>
        <w:tc>
          <w:tcPr>
            <w:tcW w:type="pct" w:w="35%"/>
            <w:shd w:fill="E8ECF4" w:color="E8ECF4" w:val="clear"/>
            <w:tcMar>
              <w:top w:type="dxa" w:w="50"/>
              <w:left w:type="dxa" w:w="80"/>
              <w:bottom w:type="dxa" w:w="50"/>
              <w:right w:type="dxa" w:w="80"/>
            </w:tcMar>
          </w:tcPr>
          <w:p>
            <w:r>
              <w:rPr>
                <w:rFonts w:ascii="Calibri" w:cs="Calibri" w:eastAsia="Calibri" w:hAnsi="Calibri"/>
                <w:b/>
                <w:bCs/>
                <w:color w:val="2F5496"/>
                <w:sz w:val="19"/>
                <w:szCs w:val="19"/>
              </w:rPr>
              <w:t xml:space="preserve">001 (Purchase)</w:t>
            </w:r>
          </w:p>
        </w:tc>
        <w:tc>
          <w:tcPr>
            <w:tcW w:type="pct" w:w="40%"/>
            <w:shd w:fill="E6F0EA" w:color="E6F0EA" w:val="clear"/>
            <w:tcMar>
              <w:top w:type="dxa" w:w="50"/>
              <w:left w:type="dxa" w:w="80"/>
              <w:bottom w:type="dxa" w:w="50"/>
              <w:right w:type="dxa" w:w="80"/>
            </w:tcMar>
          </w:tcPr>
          <w:p>
            <w:r>
              <w:rPr>
                <w:rFonts w:ascii="Calibri" w:cs="Calibri" w:eastAsia="Calibri" w:hAnsi="Calibri"/>
                <w:b/>
                <w:bCs/>
                <w:color w:val="375623"/>
                <w:sz w:val="19"/>
                <w:szCs w:val="19"/>
              </w:rPr>
              <w:t xml:space="preserve">050/051 (Capital Call)</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PRODUCT_CODE</w:t>
            </w:r>
          </w:p>
        </w:tc>
        <w:tc>
          <w:tcPr>
            <w:tcW w:type="pct" w:w="35%"/>
            <w:tcMar>
              <w:top w:type="dxa" w:w="50"/>
              <w:left w:type="dxa" w:w="80"/>
              <w:bottom w:type="dxa" w:w="50"/>
              <w:right w:type="dxa" w:w="80"/>
            </w:tcMar>
          </w:tcPr>
          <w:p>
            <w:r>
              <w:rPr>
                <w:rFonts w:ascii="Calibri" w:cs="Calibri" w:eastAsia="Calibri" w:hAnsi="Calibri"/>
                <w:color w:val="404040"/>
                <w:sz w:val="19"/>
                <w:szCs w:val="19"/>
              </w:rPr>
              <w:t xml:space="preserve">ADREF / INTERVAL / BDC</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ADPE / ADPEC / ADCRE / ADINFRA</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NSCC_CONTROL_NBR</w:t>
            </w:r>
          </w:p>
        </w:tc>
        <w:tc>
          <w:tcPr>
            <w:tcW w:type="pct" w:w="35%"/>
            <w:shd w:fill="E6F0EA" w:color="E6F0EA" w:val="clear"/>
            <w:tcMar>
              <w:top w:type="dxa" w:w="50"/>
              <w:left w:type="dxa" w:w="80"/>
              <w:bottom w:type="dxa" w:w="50"/>
              <w:right w:type="dxa" w:w="80"/>
            </w:tcMar>
          </w:tcPr>
          <w:p>
            <w:r>
              <w:rPr>
                <w:rFonts w:ascii="Calibri" w:cs="Calibri" w:eastAsia="Calibri" w:hAnsi="Calibri"/>
                <w:b/>
                <w:bCs/>
                <w:color w:val="375623"/>
                <w:sz w:val="19"/>
                <w:szCs w:val="19"/>
              </w:rPr>
              <w:t xml:space="preserve">Populated — 20262460053361</w:t>
            </w:r>
          </w:p>
        </w:tc>
        <w:tc>
          <w:tcPr>
            <w:tcW w:type="pct" w:w="40%"/>
            <w:shd w:fill="FDE8E8" w:color="FDE8E8" w:val="clear"/>
            <w:tcMar>
              <w:top w:type="dxa" w:w="50"/>
              <w:left w:type="dxa" w:w="80"/>
              <w:bottom w:type="dxa" w:w="50"/>
              <w:right w:type="dxa" w:w="80"/>
            </w:tcMar>
          </w:tcPr>
          <w:p>
            <w:r>
              <w:rPr>
                <w:rFonts w:ascii="Calibri" w:cs="Calibri" w:eastAsia="Calibri" w:hAnsi="Calibri"/>
                <w:b/>
                <w:bCs/>
                <w:color w:val="C00000"/>
                <w:sz w:val="19"/>
                <w:szCs w:val="19"/>
              </w:rPr>
              <w:t xml:space="preserve">NULL / blank — direct wire</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SETTLE_DATE</w:t>
            </w:r>
          </w:p>
        </w:tc>
        <w:tc>
          <w:tcPr>
            <w:tcW w:type="pct" w:w="35%"/>
            <w:tcMar>
              <w:top w:type="dxa" w:w="50"/>
              <w:left w:type="dxa" w:w="80"/>
              <w:bottom w:type="dxa" w:w="50"/>
              <w:right w:type="dxa" w:w="80"/>
            </w:tcMar>
          </w:tcPr>
          <w:p>
            <w:r>
              <w:rPr>
                <w:rFonts w:ascii="Calibri" w:cs="Calibri" w:eastAsia="Calibri" w:hAnsi="Calibri"/>
                <w:color w:val="404040"/>
                <w:sz w:val="19"/>
                <w:szCs w:val="19"/>
              </w:rPr>
              <w:t xml:space="preserve">T+1 or T+2</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Blank or T+5 to T+10</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PLATFORM_CODE</w:t>
            </w:r>
          </w:p>
        </w:tc>
        <w:tc>
          <w:tcPr>
            <w:tcW w:type="pct" w:w="35%"/>
            <w:tcMar>
              <w:top w:type="dxa" w:w="50"/>
              <w:left w:type="dxa" w:w="80"/>
              <w:bottom w:type="dxa" w:w="50"/>
              <w:right w:type="dxa" w:w="80"/>
            </w:tcMar>
          </w:tcPr>
          <w:p>
            <w:r>
              <w:rPr>
                <w:rFonts w:ascii="Calibri" w:cs="Calibri" w:eastAsia="Calibri" w:hAnsi="Calibri"/>
                <w:color w:val="404040"/>
                <w:sz w:val="19"/>
                <w:szCs w:val="19"/>
              </w:rPr>
              <w:t xml:space="preserve">ICP / CAIS / FIDO / SCHW</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Blank (GP direct) or ICP for institutional</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TOTAL_SHARES</w:t>
            </w:r>
          </w:p>
        </w:tc>
        <w:tc>
          <w:tcPr>
            <w:tcW w:type="pct" w:w="35%"/>
            <w:tcMar>
              <w:top w:type="dxa" w:w="50"/>
              <w:left w:type="dxa" w:w="80"/>
              <w:bottom w:type="dxa" w:w="50"/>
              <w:right w:type="dxa" w:w="80"/>
            </w:tcMar>
          </w:tcPr>
          <w:p>
            <w:r>
              <w:rPr>
                <w:rFonts w:ascii="Calibri" w:cs="Calibri" w:eastAsia="Calibri" w:hAnsi="Calibri"/>
                <w:color w:val="404040"/>
                <w:sz w:val="19"/>
                <w:szCs w:val="19"/>
              </w:rPr>
              <w:t xml:space="preserve">Populated — units issued (e.g. 13,602.878)</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Blank or N/A — commitment-based, no unit accounting</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GROSS_AMOUNT sign</w:t>
            </w:r>
          </w:p>
        </w:tc>
        <w:tc>
          <w:tcPr>
            <w:tcW w:type="pct" w:w="35%"/>
            <w:tcMar>
              <w:top w:type="dxa" w:w="50"/>
              <w:left w:type="dxa" w:w="80"/>
              <w:bottom w:type="dxa" w:w="50"/>
              <w:right w:type="dxa" w:w="80"/>
            </w:tcMar>
          </w:tcPr>
          <w:p>
            <w:r>
              <w:rPr>
                <w:rFonts w:ascii="Calibri" w:cs="Calibri" w:eastAsia="Calibri" w:hAnsi="Calibri"/>
                <w:color w:val="404040"/>
                <w:sz w:val="19"/>
                <w:szCs w:val="19"/>
              </w:rPr>
              <w:t xml:space="preserve">Negative = fund received cash</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Positive = cash receivable / called amount</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SOCIAL_CODE</w:t>
            </w:r>
          </w:p>
        </w:tc>
        <w:tc>
          <w:tcPr>
            <w:tcW w:type="pct" w:w="35%"/>
            <w:tcMar>
              <w:top w:type="dxa" w:w="50"/>
              <w:left w:type="dxa" w:w="80"/>
              <w:bottom w:type="dxa" w:w="50"/>
              <w:right w:type="dxa" w:w="80"/>
            </w:tcMar>
          </w:tcPr>
          <w:p>
            <w:r>
              <w:rPr>
                <w:rFonts w:ascii="Calibri" w:cs="Calibri" w:eastAsia="Calibri" w:hAnsi="Calibri"/>
                <w:color w:val="404040"/>
                <w:sz w:val="19"/>
                <w:szCs w:val="19"/>
              </w:rPr>
              <w:t xml:space="preserve">001-009 (individual / retail)</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050+ (pension, endowment, SWF, insurance)</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NAV basis</w:t>
            </w:r>
          </w:p>
        </w:tc>
        <w:tc>
          <w:tcPr>
            <w:tcW w:type="pct" w:w="35%"/>
            <w:tcMar>
              <w:top w:type="dxa" w:w="50"/>
              <w:left w:type="dxa" w:w="80"/>
              <w:bottom w:type="dxa" w:w="50"/>
              <w:right w:type="dxa" w:w="80"/>
            </w:tcMar>
          </w:tcPr>
          <w:p>
            <w:r>
              <w:rPr>
                <w:rFonts w:ascii="Calibri" w:cs="Calibri" w:eastAsia="Calibri" w:hAnsi="Calibri"/>
                <w:color w:val="404040"/>
                <w:sz w:val="19"/>
                <w:szCs w:val="19"/>
              </w:rPr>
              <w:t xml:space="preserve">Daily or weekly NAV; price per unit</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Quarterly fair value; no daily price</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AMC model equivalent</w:t>
            </w:r>
          </w:p>
        </w:tc>
        <w:tc>
          <w:tcPr>
            <w:tcW w:type="pct" w:w="35%"/>
            <w:tcMar>
              <w:top w:type="dxa" w:w="50"/>
              <w:left w:type="dxa" w:w="80"/>
              <w:bottom w:type="dxa" w:w="50"/>
              <w:right w:type="dxa" w:w="80"/>
            </w:tcMar>
          </w:tcPr>
          <w:p>
            <w:r>
              <w:rPr>
                <w:rFonts w:ascii="Calibri" w:cs="Calibri" w:eastAsia="Calibri" w:hAnsi="Calibri"/>
                <w:color w:val="404040"/>
                <w:sz w:val="19"/>
                <w:szCs w:val="19"/>
              </w:rPr>
              <w:t xml:space="preserve">CashReceipt (subscription)</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CapitalCallReceivable + CashReceipt + InvestmentInMasterFund</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Settlement system</w:t>
            </w:r>
          </w:p>
        </w:tc>
        <w:tc>
          <w:tcPr>
            <w:tcW w:type="pct" w:w="35%"/>
            <w:tcMar>
              <w:top w:type="dxa" w:w="50"/>
              <w:left w:type="dxa" w:w="80"/>
              <w:bottom w:type="dxa" w:w="50"/>
              <w:right w:type="dxa" w:w="80"/>
            </w:tcMar>
          </w:tcPr>
          <w:p>
            <w:r>
              <w:rPr>
                <w:rFonts w:ascii="Calibri" w:cs="Calibri" w:eastAsia="Calibri" w:hAnsi="Calibri"/>
                <w:color w:val="404040"/>
                <w:sz w:val="19"/>
                <w:szCs w:val="19"/>
              </w:rPr>
              <w:t xml:space="preserve">DTCC / NSCC / Fund/SERV</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Wire transfer (SWIFT/CHIPS/Fedwire)</w:t>
            </w:r>
          </w:p>
        </w:tc>
      </w:tr>
    </w:tbl>
    <w:p>
      <w:pPr>
        <w:spacing w:after="160" w:before="0"/>
      </w:pPr>
      <w:r>
        <w:t xml:space="preserve"/>
      </w:r>
    </w:p>
    <w:p>
      <w:pPr>
        <w:pStyle w:val="Heading2"/>
        <w:spacing w:after="120" w:before="320"/>
      </w:pPr>
      <w:r>
        <w:t xml:space="preserve">K.7  PLATFORM_CODE — Distribution Channel Identification</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tblGrid>
      <w:tr>
        <w:trPr>
          <w:tblHeader/>
        </w:trPr>
        <w:tc>
          <w:tcPr>
            <w:tcW w:type="pct" w:w="1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PLATFORM_CODE</w:t>
            </w:r>
          </w:p>
        </w:tc>
        <w:tc>
          <w:tcPr>
            <w:tcW w:type="pct" w:w="3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Platform / Firm</w:t>
            </w:r>
          </w:p>
        </w:tc>
        <w:tc>
          <w:tcPr>
            <w:tcW w:type="pct" w:w="55%"/>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Description</w:t>
            </w:r>
          </w:p>
        </w:tc>
      </w:tr>
      <w:tr>
        <w:tc>
          <w:tcPr>
            <w:tcW w:type="pct" w:w="15%"/>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ICP</w:t>
            </w:r>
          </w:p>
        </w:tc>
        <w:tc>
          <w:tcPr>
            <w:tcW w:type="pct" w:w="30%"/>
            <w:tcMar>
              <w:top w:type="dxa" w:w="50"/>
              <w:left w:type="dxa" w:w="80"/>
              <w:bottom w:type="dxa" w:w="50"/>
              <w:right w:type="dxa" w:w="80"/>
            </w:tcMar>
          </w:tcPr>
          <w:p>
            <w:r>
              <w:rPr>
                <w:rFonts w:ascii="Calibri" w:cs="Calibri" w:eastAsia="Calibri" w:hAnsi="Calibri"/>
                <w:b/>
                <w:bCs/>
                <w:color w:val="1F3864"/>
                <w:sz w:val="19"/>
                <w:szCs w:val="19"/>
              </w:rPr>
              <w:t xml:space="preserve">iCapital Network</w:t>
            </w:r>
          </w:p>
        </w:tc>
        <w:tc>
          <w:tcPr>
            <w:tcW w:type="pct" w:w="55%"/>
            <w:tcMar>
              <w:top w:type="dxa" w:w="50"/>
              <w:left w:type="dxa" w:w="80"/>
              <w:bottom w:type="dxa" w:w="50"/>
              <w:right w:type="dxa" w:w="80"/>
            </w:tcMar>
          </w:tcPr>
          <w:p>
            <w:r>
              <w:rPr>
                <w:rFonts w:ascii="Calibri" w:cs="Calibri" w:eastAsia="Calibri" w:hAnsi="Calibri"/>
                <w:color w:val="404040"/>
                <w:sz w:val="18"/>
                <w:szCs w:val="18"/>
              </w:rPr>
              <w:t xml:space="preserve">Largest alt fund platform; both retail HNW and institutional</w:t>
            </w:r>
          </w:p>
        </w:tc>
      </w:tr>
      <w:tr>
        <w:tc>
          <w:tcPr>
            <w:tcW w:type="pct" w:w="15%"/>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CAIS</w:t>
            </w:r>
          </w:p>
        </w:tc>
        <w:tc>
          <w:tcPr>
            <w:tcW w:type="pct" w:w="30%"/>
            <w:tcMar>
              <w:top w:type="dxa" w:w="50"/>
              <w:left w:type="dxa" w:w="80"/>
              <w:bottom w:type="dxa" w:w="50"/>
              <w:right w:type="dxa" w:w="80"/>
            </w:tcMar>
          </w:tcPr>
          <w:p>
            <w:r>
              <w:rPr>
                <w:rFonts w:ascii="Calibri" w:cs="Calibri" w:eastAsia="Calibri" w:hAnsi="Calibri"/>
                <w:b/>
                <w:bCs/>
                <w:color w:val="1F3864"/>
                <w:sz w:val="19"/>
                <w:szCs w:val="19"/>
              </w:rPr>
              <w:t xml:space="preserve">CAIS Group</w:t>
            </w:r>
          </w:p>
        </w:tc>
        <w:tc>
          <w:tcPr>
            <w:tcW w:type="pct" w:w="55%"/>
            <w:tcMar>
              <w:top w:type="dxa" w:w="50"/>
              <w:left w:type="dxa" w:w="80"/>
              <w:bottom w:type="dxa" w:w="50"/>
              <w:right w:type="dxa" w:w="80"/>
            </w:tcMar>
          </w:tcPr>
          <w:p>
            <w:r>
              <w:rPr>
                <w:rFonts w:ascii="Calibri" w:cs="Calibri" w:eastAsia="Calibri" w:hAnsi="Calibri"/>
                <w:color w:val="404040"/>
                <w:sz w:val="18"/>
                <w:szCs w:val="18"/>
              </w:rPr>
              <w:t xml:space="preserve">Alt fund marketplace for RIAs and wirehouses</w:t>
            </w:r>
          </w:p>
        </w:tc>
      </w:tr>
      <w:tr>
        <w:tc>
          <w:tcPr>
            <w:tcW w:type="pct" w:w="15%"/>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ARTV</w:t>
            </w:r>
          </w:p>
        </w:tc>
        <w:tc>
          <w:tcPr>
            <w:tcW w:type="pct" w:w="30%"/>
            <w:tcMar>
              <w:top w:type="dxa" w:w="50"/>
              <w:left w:type="dxa" w:w="80"/>
              <w:bottom w:type="dxa" w:w="50"/>
              <w:right w:type="dxa" w:w="80"/>
            </w:tcMar>
          </w:tcPr>
          <w:p>
            <w:r>
              <w:rPr>
                <w:rFonts w:ascii="Calibri" w:cs="Calibri" w:eastAsia="Calibri" w:hAnsi="Calibri"/>
                <w:b/>
                <w:bCs/>
                <w:color w:val="1F3864"/>
                <w:sz w:val="19"/>
                <w:szCs w:val="19"/>
              </w:rPr>
              <w:t xml:space="preserve">Artivest (now iCapital)</w:t>
            </w:r>
          </w:p>
        </w:tc>
        <w:tc>
          <w:tcPr>
            <w:tcW w:type="pct" w:w="55%"/>
            <w:tcMar>
              <w:top w:type="dxa" w:w="50"/>
              <w:left w:type="dxa" w:w="80"/>
              <w:bottom w:type="dxa" w:w="50"/>
              <w:right w:type="dxa" w:w="80"/>
            </w:tcMar>
          </w:tcPr>
          <w:p>
            <w:r>
              <w:rPr>
                <w:rFonts w:ascii="Calibri" w:cs="Calibri" w:eastAsia="Calibri" w:hAnsi="Calibri"/>
                <w:color w:val="404040"/>
                <w:sz w:val="18"/>
                <w:szCs w:val="18"/>
              </w:rPr>
              <w:t xml:space="preserve">Merged into iCapital; legacy code still appears</w:t>
            </w:r>
          </w:p>
        </w:tc>
      </w:tr>
      <w:tr>
        <w:tc>
          <w:tcPr>
            <w:tcW w:type="pct" w:w="15%"/>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FIDO</w:t>
            </w:r>
          </w:p>
        </w:tc>
        <w:tc>
          <w:tcPr>
            <w:tcW w:type="pct" w:w="30%"/>
            <w:tcMar>
              <w:top w:type="dxa" w:w="50"/>
              <w:left w:type="dxa" w:w="80"/>
              <w:bottom w:type="dxa" w:w="50"/>
              <w:right w:type="dxa" w:w="80"/>
            </w:tcMar>
          </w:tcPr>
          <w:p>
            <w:r>
              <w:rPr>
                <w:rFonts w:ascii="Calibri" w:cs="Calibri" w:eastAsia="Calibri" w:hAnsi="Calibri"/>
                <w:b/>
                <w:bCs/>
                <w:color w:val="1F3864"/>
                <w:sz w:val="19"/>
                <w:szCs w:val="19"/>
              </w:rPr>
              <w:t xml:space="preserve">Fidelity Institutional</w:t>
            </w:r>
          </w:p>
        </w:tc>
        <w:tc>
          <w:tcPr>
            <w:tcW w:type="pct" w:w="55%"/>
            <w:tcMar>
              <w:top w:type="dxa" w:w="50"/>
              <w:left w:type="dxa" w:w="80"/>
              <w:bottom w:type="dxa" w:w="50"/>
              <w:right w:type="dxa" w:w="80"/>
            </w:tcMar>
          </w:tcPr>
          <w:p>
            <w:r>
              <w:rPr>
                <w:rFonts w:ascii="Calibri" w:cs="Calibri" w:eastAsia="Calibri" w:hAnsi="Calibri"/>
                <w:color w:val="404040"/>
                <w:sz w:val="18"/>
                <w:szCs w:val="18"/>
              </w:rPr>
              <w:t xml:space="preserve">Fidelity's alternative investment platform for RIAs</w:t>
            </w:r>
          </w:p>
        </w:tc>
      </w:tr>
      <w:tr>
        <w:tc>
          <w:tcPr>
            <w:tcW w:type="pct" w:w="15%"/>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SCHW</w:t>
            </w:r>
          </w:p>
        </w:tc>
        <w:tc>
          <w:tcPr>
            <w:tcW w:type="pct" w:w="30%"/>
            <w:tcMar>
              <w:top w:type="dxa" w:w="50"/>
              <w:left w:type="dxa" w:w="80"/>
              <w:bottom w:type="dxa" w:w="50"/>
              <w:right w:type="dxa" w:w="80"/>
            </w:tcMar>
          </w:tcPr>
          <w:p>
            <w:r>
              <w:rPr>
                <w:rFonts w:ascii="Calibri" w:cs="Calibri" w:eastAsia="Calibri" w:hAnsi="Calibri"/>
                <w:b/>
                <w:bCs/>
                <w:color w:val="1F3864"/>
                <w:sz w:val="19"/>
                <w:szCs w:val="19"/>
              </w:rPr>
              <w:t xml:space="preserve">Schwab Alternative Investments</w:t>
            </w:r>
          </w:p>
        </w:tc>
        <w:tc>
          <w:tcPr>
            <w:tcW w:type="pct" w:w="55%"/>
            <w:tcMar>
              <w:top w:type="dxa" w:w="50"/>
              <w:left w:type="dxa" w:w="80"/>
              <w:bottom w:type="dxa" w:w="50"/>
              <w:right w:type="dxa" w:w="80"/>
            </w:tcMar>
          </w:tcPr>
          <w:p>
            <w:r>
              <w:rPr>
                <w:rFonts w:ascii="Calibri" w:cs="Calibri" w:eastAsia="Calibri" w:hAnsi="Calibri"/>
                <w:color w:val="404040"/>
                <w:sz w:val="18"/>
                <w:szCs w:val="18"/>
              </w:rPr>
              <w:t xml:space="preserve">Schwab's alt fund platform</w:t>
            </w:r>
          </w:p>
        </w:tc>
      </w:tr>
      <w:tr>
        <w:tc>
          <w:tcPr>
            <w:tcW w:type="pct" w:w="15%"/>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MSSB</w:t>
            </w:r>
          </w:p>
        </w:tc>
        <w:tc>
          <w:tcPr>
            <w:tcW w:type="pct" w:w="30%"/>
            <w:tcMar>
              <w:top w:type="dxa" w:w="50"/>
              <w:left w:type="dxa" w:w="80"/>
              <w:bottom w:type="dxa" w:w="50"/>
              <w:right w:type="dxa" w:w="80"/>
            </w:tcMar>
          </w:tcPr>
          <w:p>
            <w:r>
              <w:rPr>
                <w:rFonts w:ascii="Calibri" w:cs="Calibri" w:eastAsia="Calibri" w:hAnsi="Calibri"/>
                <w:b/>
                <w:bCs/>
                <w:color w:val="1F3864"/>
                <w:sz w:val="19"/>
                <w:szCs w:val="19"/>
              </w:rPr>
              <w:t xml:space="preserve">Morgan Stanley Wealth Mgmt</w:t>
            </w:r>
          </w:p>
        </w:tc>
        <w:tc>
          <w:tcPr>
            <w:tcW w:type="pct" w:w="55%"/>
            <w:tcMar>
              <w:top w:type="dxa" w:w="50"/>
              <w:left w:type="dxa" w:w="80"/>
              <w:bottom w:type="dxa" w:w="50"/>
              <w:right w:type="dxa" w:w="80"/>
            </w:tcMar>
          </w:tcPr>
          <w:p>
            <w:r>
              <w:rPr>
                <w:rFonts w:ascii="Calibri" w:cs="Calibri" w:eastAsia="Calibri" w:hAnsi="Calibri"/>
                <w:color w:val="404040"/>
                <w:sz w:val="18"/>
                <w:szCs w:val="18"/>
              </w:rPr>
              <w:t xml:space="preserve">Morgan Stanley wirehouse — directly connected to DST</w:t>
            </w:r>
          </w:p>
        </w:tc>
      </w:tr>
      <w:tr>
        <w:tc>
          <w:tcPr>
            <w:tcW w:type="pct" w:w="15%"/>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MLBA</w:t>
            </w:r>
          </w:p>
        </w:tc>
        <w:tc>
          <w:tcPr>
            <w:tcW w:type="pct" w:w="30%"/>
            <w:tcMar>
              <w:top w:type="dxa" w:w="50"/>
              <w:left w:type="dxa" w:w="80"/>
              <w:bottom w:type="dxa" w:w="50"/>
              <w:right w:type="dxa" w:w="80"/>
            </w:tcMar>
          </w:tcPr>
          <w:p>
            <w:r>
              <w:rPr>
                <w:rFonts w:ascii="Calibri" w:cs="Calibri" w:eastAsia="Calibri" w:hAnsi="Calibri"/>
                <w:b/>
                <w:bCs/>
                <w:color w:val="1F3864"/>
                <w:sz w:val="19"/>
                <w:szCs w:val="19"/>
              </w:rPr>
              <w:t xml:space="preserve">Merrill Lynch / BofA</w:t>
            </w:r>
          </w:p>
        </w:tc>
        <w:tc>
          <w:tcPr>
            <w:tcW w:type="pct" w:w="55%"/>
            <w:tcMar>
              <w:top w:type="dxa" w:w="50"/>
              <w:left w:type="dxa" w:w="80"/>
              <w:bottom w:type="dxa" w:w="50"/>
              <w:right w:type="dxa" w:w="80"/>
            </w:tcMar>
          </w:tcPr>
          <w:p>
            <w:r>
              <w:rPr>
                <w:rFonts w:ascii="Calibri" w:cs="Calibri" w:eastAsia="Calibri" w:hAnsi="Calibri"/>
                <w:color w:val="404040"/>
                <w:sz w:val="18"/>
                <w:szCs w:val="18"/>
              </w:rPr>
              <w:t xml:space="preserve">Merrill Lynch wirehouse DST feed</w:t>
            </w:r>
          </w:p>
        </w:tc>
      </w:tr>
      <w:tr>
        <w:tc>
          <w:tcPr>
            <w:tcW w:type="pct" w:w="15%"/>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UBSFI</w:t>
            </w:r>
          </w:p>
        </w:tc>
        <w:tc>
          <w:tcPr>
            <w:tcW w:type="pct" w:w="30%"/>
            <w:tcMar>
              <w:top w:type="dxa" w:w="50"/>
              <w:left w:type="dxa" w:w="80"/>
              <w:bottom w:type="dxa" w:w="50"/>
              <w:right w:type="dxa" w:w="80"/>
            </w:tcMar>
          </w:tcPr>
          <w:p>
            <w:r>
              <w:rPr>
                <w:rFonts w:ascii="Calibri" w:cs="Calibri" w:eastAsia="Calibri" w:hAnsi="Calibri"/>
                <w:b/>
                <w:bCs/>
                <w:color w:val="1F3864"/>
                <w:sz w:val="19"/>
                <w:szCs w:val="19"/>
              </w:rPr>
              <w:t xml:space="preserve">UBS Financial Services</w:t>
            </w:r>
          </w:p>
        </w:tc>
        <w:tc>
          <w:tcPr>
            <w:tcW w:type="pct" w:w="55%"/>
            <w:tcMar>
              <w:top w:type="dxa" w:w="50"/>
              <w:left w:type="dxa" w:w="80"/>
              <w:bottom w:type="dxa" w:w="50"/>
              <w:right w:type="dxa" w:w="80"/>
            </w:tcMar>
          </w:tcPr>
          <w:p>
            <w:r>
              <w:rPr>
                <w:rFonts w:ascii="Calibri" w:cs="Calibri" w:eastAsia="Calibri" w:hAnsi="Calibri"/>
                <w:color w:val="404040"/>
                <w:sz w:val="18"/>
                <w:szCs w:val="18"/>
              </w:rPr>
              <w:t xml:space="preserve">UBS wirehouse DST connection</w:t>
            </w:r>
          </w:p>
        </w:tc>
      </w:tr>
      <w:tr>
        <w:tc>
          <w:tcPr>
            <w:tcW w:type="pct" w:w="15%"/>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WFADV</w:t>
            </w:r>
          </w:p>
        </w:tc>
        <w:tc>
          <w:tcPr>
            <w:tcW w:type="pct" w:w="30%"/>
            <w:tcMar>
              <w:top w:type="dxa" w:w="50"/>
              <w:left w:type="dxa" w:w="80"/>
              <w:bottom w:type="dxa" w:w="50"/>
              <w:right w:type="dxa" w:w="80"/>
            </w:tcMar>
          </w:tcPr>
          <w:p>
            <w:r>
              <w:rPr>
                <w:rFonts w:ascii="Calibri" w:cs="Calibri" w:eastAsia="Calibri" w:hAnsi="Calibri"/>
                <w:b/>
                <w:bCs/>
                <w:color w:val="1F3864"/>
                <w:sz w:val="19"/>
                <w:szCs w:val="19"/>
              </w:rPr>
              <w:t xml:space="preserve">Wells Fargo Advisors</w:t>
            </w:r>
          </w:p>
        </w:tc>
        <w:tc>
          <w:tcPr>
            <w:tcW w:type="pct" w:w="55%"/>
            <w:tcMar>
              <w:top w:type="dxa" w:w="50"/>
              <w:left w:type="dxa" w:w="80"/>
              <w:bottom w:type="dxa" w:w="50"/>
              <w:right w:type="dxa" w:w="80"/>
            </w:tcMar>
          </w:tcPr>
          <w:p>
            <w:r>
              <w:rPr>
                <w:rFonts w:ascii="Calibri" w:cs="Calibri" w:eastAsia="Calibri" w:hAnsi="Calibri"/>
                <w:color w:val="404040"/>
                <w:sz w:val="18"/>
                <w:szCs w:val="18"/>
              </w:rPr>
              <w:t xml:space="preserve">Wells Fargo wirehouse</w:t>
            </w:r>
          </w:p>
        </w:tc>
      </w:tr>
      <w:tr>
        <w:tc>
          <w:tcPr>
            <w:tcW w:type="pct" w:w="15%"/>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RJAMES</w:t>
            </w:r>
          </w:p>
        </w:tc>
        <w:tc>
          <w:tcPr>
            <w:tcW w:type="pct" w:w="30%"/>
            <w:tcMar>
              <w:top w:type="dxa" w:w="50"/>
              <w:left w:type="dxa" w:w="80"/>
              <w:bottom w:type="dxa" w:w="50"/>
              <w:right w:type="dxa" w:w="80"/>
            </w:tcMar>
          </w:tcPr>
          <w:p>
            <w:r>
              <w:rPr>
                <w:rFonts w:ascii="Calibri" w:cs="Calibri" w:eastAsia="Calibri" w:hAnsi="Calibri"/>
                <w:b/>
                <w:bCs/>
                <w:color w:val="1F3864"/>
                <w:sz w:val="19"/>
                <w:szCs w:val="19"/>
              </w:rPr>
              <w:t xml:space="preserve">Raymond James</w:t>
            </w:r>
          </w:p>
        </w:tc>
        <w:tc>
          <w:tcPr>
            <w:tcW w:type="pct" w:w="55%"/>
            <w:tcMar>
              <w:top w:type="dxa" w:w="50"/>
              <w:left w:type="dxa" w:w="80"/>
              <w:bottom w:type="dxa" w:w="50"/>
              <w:right w:type="dxa" w:w="80"/>
            </w:tcMar>
          </w:tcPr>
          <w:p>
            <w:r>
              <w:rPr>
                <w:rFonts w:ascii="Calibri" w:cs="Calibri" w:eastAsia="Calibri" w:hAnsi="Calibri"/>
                <w:color w:val="404040"/>
                <w:sz w:val="18"/>
                <w:szCs w:val="18"/>
              </w:rPr>
              <w:t xml:space="preserve">Raymond James regional BD</w:t>
            </w:r>
          </w:p>
        </w:tc>
      </w:tr>
      <w:tr>
        <w:tc>
          <w:tcPr>
            <w:tcW w:type="pct" w:w="15%"/>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LPL</w:t>
            </w:r>
          </w:p>
        </w:tc>
        <w:tc>
          <w:tcPr>
            <w:tcW w:type="pct" w:w="30%"/>
            <w:tcMar>
              <w:top w:type="dxa" w:w="50"/>
              <w:left w:type="dxa" w:w="80"/>
              <w:bottom w:type="dxa" w:w="50"/>
              <w:right w:type="dxa" w:w="80"/>
            </w:tcMar>
          </w:tcPr>
          <w:p>
            <w:r>
              <w:rPr>
                <w:rFonts w:ascii="Calibri" w:cs="Calibri" w:eastAsia="Calibri" w:hAnsi="Calibri"/>
                <w:b/>
                <w:bCs/>
                <w:color w:val="1F3864"/>
                <w:sz w:val="19"/>
                <w:szCs w:val="19"/>
              </w:rPr>
              <w:t xml:space="preserve">LPL Financial</w:t>
            </w:r>
          </w:p>
        </w:tc>
        <w:tc>
          <w:tcPr>
            <w:tcW w:type="pct" w:w="55%"/>
            <w:tcMar>
              <w:top w:type="dxa" w:w="50"/>
              <w:left w:type="dxa" w:w="80"/>
              <w:bottom w:type="dxa" w:w="50"/>
              <w:right w:type="dxa" w:w="80"/>
            </w:tcMar>
          </w:tcPr>
          <w:p>
            <w:r>
              <w:rPr>
                <w:rFonts w:ascii="Calibri" w:cs="Calibri" w:eastAsia="Calibri" w:hAnsi="Calibri"/>
                <w:color w:val="404040"/>
                <w:sz w:val="18"/>
                <w:szCs w:val="18"/>
              </w:rPr>
              <w:t xml:space="preserve">Largest independent BD — may also appear as FIRM_ID 75</w:t>
            </w:r>
          </w:p>
        </w:tc>
      </w:tr>
      <w:tr>
        <w:tc>
          <w:tcPr>
            <w:tcW w:type="pct" w:w="15%"/>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(blank)</w:t>
            </w:r>
          </w:p>
        </w:tc>
        <w:tc>
          <w:tcPr>
            <w:tcW w:type="pct" w:w="30%"/>
            <w:tcMar>
              <w:top w:type="dxa" w:w="50"/>
              <w:left w:type="dxa" w:w="80"/>
              <w:bottom w:type="dxa" w:w="50"/>
              <w:right w:type="dxa" w:w="80"/>
            </w:tcMar>
          </w:tcPr>
          <w:p>
            <w:r>
              <w:rPr>
                <w:rFonts w:ascii="Calibri" w:cs="Calibri" w:eastAsia="Calibri" w:hAnsi="Calibri"/>
                <w:b/>
                <w:bCs/>
                <w:color w:val="1F3864"/>
                <w:sz w:val="19"/>
                <w:szCs w:val="19"/>
              </w:rPr>
              <w:t xml:space="preserve">Direct / GP submission</w:t>
            </w:r>
          </w:p>
        </w:tc>
        <w:tc>
          <w:tcPr>
            <w:tcW w:type="pct" w:w="55%"/>
            <w:tcMar>
              <w:top w:type="dxa" w:w="50"/>
              <w:left w:type="dxa" w:w="80"/>
              <w:bottom w:type="dxa" w:w="50"/>
              <w:right w:type="dxa" w:w="80"/>
            </w:tcMar>
          </w:tcPr>
          <w:p>
            <w:r>
              <w:rPr>
                <w:rFonts w:ascii="Calibri" w:cs="Calibri" w:eastAsia="Calibri" w:hAnsi="Calibri"/>
                <w:color w:val="404040"/>
                <w:sz w:val="18"/>
                <w:szCs w:val="18"/>
              </w:rPr>
              <w:t xml:space="preserve">Trade submitted directly by fund admin or GP without a platform intermediary</w:t>
            </w:r>
          </w:p>
        </w:tc>
      </w:tr>
    </w:tbl>
    <w:p>
      <w:pPr>
        <w:spacing w:after="160" w:before="0"/>
      </w:pPr>
      <w:r>
        <w:t xml:space="preserve"/>
      </w:r>
    </w:p>
    <w:p>
      <w:pPr>
        <w:pStyle w:val="Heading2"/>
        <w:spacing w:after="120" w:before="320"/>
      </w:pPr>
      <w:r>
        <w:t xml:space="preserve">K.8  Complete Field Mapping — DST Record to AMC Data Model</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tblGrid>
      <w:tr>
        <w:trPr>
          <w:tblHeader/>
        </w:trPr>
        <w:tc>
          <w:tcPr>
            <w:tcW w:type="pct" w:w="2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DST Field</w:t>
            </w:r>
          </w:p>
        </w:tc>
        <w:tc>
          <w:tcPr>
            <w:tcW w:type="pct" w:w="28%"/>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AMC CSV File</w:t>
            </w:r>
          </w:p>
        </w:tc>
        <w:tc>
          <w:tcPr>
            <w:tcW w:type="pct" w:w="22%"/>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AMC Field</w:t>
            </w:r>
          </w:p>
        </w:tc>
        <w:tc>
          <w:tcPr>
            <w:tcW w:type="pct" w:w="3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Notes</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NAME</w:t>
            </w:r>
          </w:p>
        </w:tc>
        <w:tc>
          <w:tcPr>
            <w:tcW w:type="pct" w:w="28%"/>
            <w:shd w:fill="E8ECF4" w:color="E8ECF4" w:val="clear"/>
            <w:tcMar>
              <w:top w:type="dxa" w:w="50"/>
              <w:left w:type="dxa" w:w="80"/>
              <w:bottom w:type="dxa" w:w="50"/>
              <w:right w:type="dxa" w:w="80"/>
            </w:tcMar>
          </w:tcPr>
          <w:p>
            <w:r>
              <w:rPr>
                <w:rFonts w:ascii="Calibri" w:cs="Calibri" w:eastAsia="Calibri" w:hAnsi="Calibri"/>
                <w:b w:val="false"/>
                <w:bCs w:val="false"/>
                <w:color w:val="1F3864"/>
                <w:sz w:val="19"/>
                <w:szCs w:val="19"/>
              </w:rPr>
              <w:t xml:space="preserve">05_investors.csv</w:t>
            </w:r>
          </w:p>
        </w:tc>
        <w:tc>
          <w:tcPr>
            <w:tcW w:type="pct" w:w="22%"/>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investor_name</w:t>
            </w:r>
          </w:p>
        </w:tc>
        <w:tc>
          <w:tcPr>
            <w:tcW w:type="pct" w:w="30%"/>
            <w:tcMar>
              <w:top w:type="dxa" w:w="50"/>
              <w:left w:type="dxa" w:w="80"/>
              <w:bottom w:type="dxa" w:w="50"/>
              <w:right w:type="dxa" w:w="80"/>
            </w:tcMar>
          </w:tcPr>
          <w:p>
            <w:r>
              <w:rPr>
                <w:rFonts w:ascii="Calibri" w:cs="Calibri" w:eastAsia="Calibri" w:hAnsi="Calibri"/>
                <w:color w:val="404040"/>
                <w:sz w:val="17"/>
                <w:szCs w:val="17"/>
              </w:rPr>
              <w:t xml:space="preserve">LPL Financial LLC → INV-0031 to INV-0040 (platform investors)</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FIRM_ID</w:t>
            </w:r>
          </w:p>
        </w:tc>
        <w:tc>
          <w:tcPr>
            <w:tcW w:type="pct" w:w="28%"/>
            <w:shd w:fill="E8ECF4" w:color="E8ECF4" w:val="clear"/>
            <w:tcMar>
              <w:top w:type="dxa" w:w="50"/>
              <w:left w:type="dxa" w:w="80"/>
              <w:bottom w:type="dxa" w:w="50"/>
              <w:right w:type="dxa" w:w="80"/>
            </w:tcMar>
          </w:tcPr>
          <w:p>
            <w:r>
              <w:rPr>
                <w:rFonts w:ascii="Calibri" w:cs="Calibri" w:eastAsia="Calibri" w:hAnsi="Calibri"/>
                <w:b w:val="false"/>
                <w:bCs w:val="false"/>
                <w:color w:val="1F3864"/>
                <w:sz w:val="19"/>
                <w:szCs w:val="19"/>
              </w:rPr>
              <w:t xml:space="preserve">05_investors.csv</w:t>
            </w:r>
          </w:p>
        </w:tc>
        <w:tc>
          <w:tcPr>
            <w:tcW w:type="pct" w:w="22%"/>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investor_id</w:t>
            </w:r>
          </w:p>
        </w:tc>
        <w:tc>
          <w:tcPr>
            <w:tcW w:type="pct" w:w="30%"/>
            <w:tcMar>
              <w:top w:type="dxa" w:w="50"/>
              <w:left w:type="dxa" w:w="80"/>
              <w:bottom w:type="dxa" w:w="50"/>
              <w:right w:type="dxa" w:w="80"/>
            </w:tcMar>
          </w:tcPr>
          <w:p>
            <w:r>
              <w:rPr>
                <w:rFonts w:ascii="Calibri" w:cs="Calibri" w:eastAsia="Calibri" w:hAnsi="Calibri"/>
                <w:color w:val="404040"/>
                <w:sz w:val="17"/>
                <w:szCs w:val="17"/>
              </w:rPr>
              <w:t xml:space="preserve">DST firm ID is the equivalent LP identifier</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ACCOUNT_NUMBER</w:t>
            </w:r>
          </w:p>
        </w:tc>
        <w:tc>
          <w:tcPr>
            <w:tcW w:type="pct" w:w="28%"/>
            <w:shd w:fill="E8ECF4" w:color="E8ECF4" w:val="clear"/>
            <w:tcMar>
              <w:top w:type="dxa" w:w="50"/>
              <w:left w:type="dxa" w:w="80"/>
              <w:bottom w:type="dxa" w:w="50"/>
              <w:right w:type="dxa" w:w="80"/>
            </w:tcMar>
          </w:tcPr>
          <w:p>
            <w:r>
              <w:rPr>
                <w:rFonts w:ascii="Calibri" w:cs="Calibri" w:eastAsia="Calibri" w:hAnsi="Calibri"/>
                <w:b w:val="false"/>
                <w:bCs w:val="false"/>
                <w:color w:val="1F3864"/>
                <w:sz w:val="19"/>
                <w:szCs w:val="19"/>
              </w:rPr>
              <w:t xml:space="preserve">07_commitments.csv</w:t>
            </w:r>
          </w:p>
        </w:tc>
        <w:tc>
          <w:tcPr>
            <w:tcW w:type="pct" w:w="22%"/>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commitment_id</w:t>
            </w:r>
          </w:p>
        </w:tc>
        <w:tc>
          <w:tcPr>
            <w:tcW w:type="pct" w:w="30%"/>
            <w:tcMar>
              <w:top w:type="dxa" w:w="50"/>
              <w:left w:type="dxa" w:w="80"/>
              <w:bottom w:type="dxa" w:w="50"/>
              <w:right w:type="dxa" w:w="80"/>
            </w:tcMar>
          </w:tcPr>
          <w:p>
            <w:r>
              <w:rPr>
                <w:rFonts w:ascii="Calibri" w:cs="Calibri" w:eastAsia="Calibri" w:hAnsi="Calibri"/>
                <w:color w:val="404040"/>
                <w:sz w:val="17"/>
                <w:szCs w:val="17"/>
              </w:rPr>
              <w:t xml:space="preserve">TA account = the commitment record primary key</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CUST_ACCT_NBR</w:t>
            </w:r>
          </w:p>
        </w:tc>
        <w:tc>
          <w:tcPr>
            <w:tcW w:type="pct" w:w="28%"/>
            <w:shd w:fill="E8ECF4" w:color="E8ECF4" w:val="clear"/>
            <w:tcMar>
              <w:top w:type="dxa" w:w="50"/>
              <w:left w:type="dxa" w:w="80"/>
              <w:bottom w:type="dxa" w:w="50"/>
              <w:right w:type="dxa" w:w="80"/>
            </w:tcMar>
          </w:tcPr>
          <w:p>
            <w:r>
              <w:rPr>
                <w:rFonts w:ascii="Calibri" w:cs="Calibri" w:eastAsia="Calibri" w:hAnsi="Calibri"/>
                <w:b w:val="false"/>
                <w:bCs w:val="false"/>
                <w:color w:val="1F3864"/>
                <w:sz w:val="19"/>
                <w:szCs w:val="19"/>
              </w:rPr>
              <w:t xml:space="preserve">05_investors.csv</w:t>
            </w:r>
          </w:p>
        </w:tc>
        <w:tc>
          <w:tcPr>
            <w:tcW w:type="pct" w:w="22%"/>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bank_account_ref</w:t>
            </w:r>
          </w:p>
        </w:tc>
        <w:tc>
          <w:tcPr>
            <w:tcW w:type="pct" w:w="30%"/>
            <w:tcMar>
              <w:top w:type="dxa" w:w="50"/>
              <w:left w:type="dxa" w:w="80"/>
              <w:bottom w:type="dxa" w:w="50"/>
              <w:right w:type="dxa" w:w="80"/>
            </w:tcMar>
          </w:tcPr>
          <w:p>
            <w:r>
              <w:rPr>
                <w:rFonts w:ascii="Calibri" w:cs="Calibri" w:eastAsia="Calibri" w:hAnsi="Calibri"/>
                <w:color w:val="404040"/>
                <w:sz w:val="17"/>
                <w:szCs w:val="17"/>
              </w:rPr>
              <w:t xml:space="preserve">Investor's own internal account reference</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FUND</w:t>
            </w:r>
          </w:p>
        </w:tc>
        <w:tc>
          <w:tcPr>
            <w:tcW w:type="pct" w:w="28%"/>
            <w:shd w:fill="E8ECF4" w:color="E8ECF4" w:val="clear"/>
            <w:tcMar>
              <w:top w:type="dxa" w:w="50"/>
              <w:left w:type="dxa" w:w="80"/>
              <w:bottom w:type="dxa" w:w="50"/>
              <w:right w:type="dxa" w:w="80"/>
            </w:tcMar>
          </w:tcPr>
          <w:p>
            <w:r>
              <w:rPr>
                <w:rFonts w:ascii="Calibri" w:cs="Calibri" w:eastAsia="Calibri" w:hAnsi="Calibri"/>
                <w:b w:val="false"/>
                <w:bCs w:val="false"/>
                <w:color w:val="1F3864"/>
                <w:sz w:val="19"/>
                <w:szCs w:val="19"/>
              </w:rPr>
              <w:t xml:space="preserve">02_funds.csv</w:t>
            </w:r>
          </w:p>
        </w:tc>
        <w:tc>
          <w:tcPr>
            <w:tcW w:type="pct" w:w="22%"/>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fund_id</w:t>
            </w:r>
          </w:p>
        </w:tc>
        <w:tc>
          <w:tcPr>
            <w:tcW w:type="pct" w:w="30%"/>
            <w:tcMar>
              <w:top w:type="dxa" w:w="50"/>
              <w:left w:type="dxa" w:w="80"/>
              <w:bottom w:type="dxa" w:w="50"/>
              <w:right w:type="dxa" w:w="80"/>
            </w:tcMar>
          </w:tcPr>
          <w:p>
            <w:r>
              <w:rPr>
                <w:rFonts w:ascii="Calibri" w:cs="Calibri" w:eastAsia="Calibri" w:hAnsi="Calibri"/>
                <w:color w:val="404040"/>
                <w:sz w:val="17"/>
                <w:szCs w:val="17"/>
              </w:rPr>
              <w:t xml:space="preserve">DST numeric code maps to FUND-ABF-IX etc.</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CUSIP</w:t>
            </w:r>
          </w:p>
        </w:tc>
        <w:tc>
          <w:tcPr>
            <w:tcW w:type="pct" w:w="28%"/>
            <w:shd w:fill="E8ECF4" w:color="E8ECF4" w:val="clear"/>
            <w:tcMar>
              <w:top w:type="dxa" w:w="50"/>
              <w:left w:type="dxa" w:w="80"/>
              <w:bottom w:type="dxa" w:w="50"/>
              <w:right w:type="dxa" w:w="80"/>
            </w:tcMar>
          </w:tcPr>
          <w:p>
            <w:r>
              <w:rPr>
                <w:rFonts w:ascii="Calibri" w:cs="Calibri" w:eastAsia="Calibri" w:hAnsi="Calibri"/>
                <w:b w:val="false"/>
                <w:bCs w:val="false"/>
                <w:color w:val="1F3864"/>
                <w:sz w:val="19"/>
                <w:szCs w:val="19"/>
              </w:rPr>
              <w:t xml:space="preserve">04_offerings.csv</w:t>
            </w:r>
          </w:p>
        </w:tc>
        <w:tc>
          <w:tcPr>
            <w:tcW w:type="pct" w:w="22%"/>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cusip (add field)</w:t>
            </w:r>
          </w:p>
        </w:tc>
        <w:tc>
          <w:tcPr>
            <w:tcW w:type="pct" w:w="30%"/>
            <w:tcMar>
              <w:top w:type="dxa" w:w="50"/>
              <w:left w:type="dxa" w:w="80"/>
              <w:bottom w:type="dxa" w:w="50"/>
              <w:right w:type="dxa" w:w="80"/>
            </w:tcMar>
          </w:tcPr>
          <w:p>
            <w:r>
              <w:rPr>
                <w:rFonts w:ascii="Calibri" w:cs="Calibri" w:eastAsia="Calibri" w:hAnsi="Calibri"/>
                <w:color w:val="404040"/>
                <w:sz w:val="17"/>
                <w:szCs w:val="17"/>
              </w:rPr>
              <w:t xml:space="preserve">CUSIP uniquely identifies the share class offering</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TRADE_CLASS</w:t>
            </w:r>
          </w:p>
        </w:tc>
        <w:tc>
          <w:tcPr>
            <w:tcW w:type="pct" w:w="28%"/>
            <w:shd w:fill="E8ECF4" w:color="E8ECF4" w:val="clear"/>
            <w:tcMar>
              <w:top w:type="dxa" w:w="50"/>
              <w:left w:type="dxa" w:w="80"/>
              <w:bottom w:type="dxa" w:w="50"/>
              <w:right w:type="dxa" w:w="80"/>
            </w:tcMar>
          </w:tcPr>
          <w:p>
            <w:r>
              <w:rPr>
                <w:rFonts w:ascii="Calibri" w:cs="Calibri" w:eastAsia="Calibri" w:hAnsi="Calibri"/>
                <w:b w:val="false"/>
                <w:bCs w:val="false"/>
                <w:color w:val="1F3864"/>
                <w:sz w:val="19"/>
                <w:szCs w:val="19"/>
              </w:rPr>
              <w:t xml:space="preserve">04_offerings.csv</w:t>
            </w:r>
          </w:p>
        </w:tc>
        <w:tc>
          <w:tcPr>
            <w:tcW w:type="pct" w:w="22%"/>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share_class</w:t>
            </w:r>
          </w:p>
        </w:tc>
        <w:tc>
          <w:tcPr>
            <w:tcW w:type="pct" w:w="30%"/>
            <w:tcMar>
              <w:top w:type="dxa" w:w="50"/>
              <w:left w:type="dxa" w:w="80"/>
              <w:bottom w:type="dxa" w:w="50"/>
              <w:right w:type="dxa" w:w="80"/>
            </w:tcMar>
          </w:tcPr>
          <w:p>
            <w:r>
              <w:rPr>
                <w:rFonts w:ascii="Calibri" w:cs="Calibri" w:eastAsia="Calibri" w:hAnsi="Calibri"/>
                <w:color w:val="404040"/>
                <w:sz w:val="17"/>
                <w:szCs w:val="17"/>
              </w:rPr>
              <w:t xml:space="preserve">Class A, Class B, Class X etc.</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TRAN_CODE</w:t>
            </w:r>
          </w:p>
        </w:tc>
        <w:tc>
          <w:tcPr>
            <w:tcW w:type="pct" w:w="28%"/>
            <w:shd w:fill="E8ECF4" w:color="E8ECF4" w:val="clear"/>
            <w:tcMar>
              <w:top w:type="dxa" w:w="50"/>
              <w:left w:type="dxa" w:w="80"/>
              <w:bottom w:type="dxa" w:w="50"/>
              <w:right w:type="dxa" w:w="80"/>
            </w:tcMar>
          </w:tcPr>
          <w:p>
            <w:r>
              <w:rPr>
                <w:rFonts w:ascii="Calibri" w:cs="Calibri" w:eastAsia="Calibri" w:hAnsi="Calibri"/>
                <w:b w:val="false"/>
                <w:bCs w:val="false"/>
                <w:color w:val="1F3864"/>
                <w:sz w:val="19"/>
                <w:szCs w:val="19"/>
              </w:rPr>
              <w:t xml:space="preserve">11_transactions.csv</w:t>
            </w:r>
          </w:p>
        </w:tc>
        <w:tc>
          <w:tcPr>
            <w:tcW w:type="pct" w:w="22%"/>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transaction_type</w:t>
            </w:r>
          </w:p>
        </w:tc>
        <w:tc>
          <w:tcPr>
            <w:tcW w:type="pct" w:w="30%"/>
            <w:tcMar>
              <w:top w:type="dxa" w:w="50"/>
              <w:left w:type="dxa" w:w="80"/>
              <w:bottom w:type="dxa" w:w="50"/>
              <w:right w:type="dxa" w:w="80"/>
            </w:tcMar>
          </w:tcPr>
          <w:p>
            <w:r>
              <w:rPr>
                <w:rFonts w:ascii="Calibri" w:cs="Calibri" w:eastAsia="Calibri" w:hAnsi="Calibri"/>
                <w:color w:val="404040"/>
                <w:sz w:val="17"/>
                <w:szCs w:val="17"/>
              </w:rPr>
              <w:t xml:space="preserve">050/051 = CapitalCallReceivable/CashReceipt; 060 = DistributionPayable</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TRADE_DATE</w:t>
            </w:r>
          </w:p>
        </w:tc>
        <w:tc>
          <w:tcPr>
            <w:tcW w:type="pct" w:w="28%"/>
            <w:shd w:fill="E8ECF4" w:color="E8ECF4" w:val="clear"/>
            <w:tcMar>
              <w:top w:type="dxa" w:w="50"/>
              <w:left w:type="dxa" w:w="80"/>
              <w:bottom w:type="dxa" w:w="50"/>
              <w:right w:type="dxa" w:w="80"/>
            </w:tcMar>
          </w:tcPr>
          <w:p>
            <w:r>
              <w:rPr>
                <w:rFonts w:ascii="Calibri" w:cs="Calibri" w:eastAsia="Calibri" w:hAnsi="Calibri"/>
                <w:b w:val="false"/>
                <w:bCs w:val="false"/>
                <w:color w:val="1F3864"/>
                <w:sz w:val="19"/>
                <w:szCs w:val="19"/>
              </w:rPr>
              <w:t xml:space="preserve">08_capital_calls.csv</w:t>
            </w:r>
          </w:p>
        </w:tc>
        <w:tc>
          <w:tcPr>
            <w:tcW w:type="pct" w:w="22%"/>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call_date</w:t>
            </w:r>
          </w:p>
        </w:tc>
        <w:tc>
          <w:tcPr>
            <w:tcW w:type="pct" w:w="30%"/>
            <w:tcMar>
              <w:top w:type="dxa" w:w="50"/>
              <w:left w:type="dxa" w:w="80"/>
              <w:bottom w:type="dxa" w:w="50"/>
              <w:right w:type="dxa" w:w="80"/>
            </w:tcMar>
          </w:tcPr>
          <w:p>
            <w:r>
              <w:rPr>
                <w:rFonts w:ascii="Calibri" w:cs="Calibri" w:eastAsia="Calibri" w:hAnsi="Calibri"/>
                <w:color w:val="404040"/>
                <w:sz w:val="17"/>
                <w:szCs w:val="17"/>
              </w:rPr>
              <w:t xml:space="preserve">When the call/trade was issued</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POSTING_DATE</w:t>
            </w:r>
          </w:p>
        </w:tc>
        <w:tc>
          <w:tcPr>
            <w:tcW w:type="pct" w:w="28%"/>
            <w:shd w:fill="E8ECF4" w:color="E8ECF4" w:val="clear"/>
            <w:tcMar>
              <w:top w:type="dxa" w:w="50"/>
              <w:left w:type="dxa" w:w="80"/>
              <w:bottom w:type="dxa" w:w="50"/>
              <w:right w:type="dxa" w:w="80"/>
            </w:tcMar>
          </w:tcPr>
          <w:p>
            <w:r>
              <w:rPr>
                <w:rFonts w:ascii="Calibri" w:cs="Calibri" w:eastAsia="Calibri" w:hAnsi="Calibri"/>
                <w:b w:val="false"/>
                <w:bCs w:val="false"/>
                <w:color w:val="1F3864"/>
                <w:sz w:val="19"/>
                <w:szCs w:val="19"/>
              </w:rPr>
              <w:t xml:space="preserve">09_capital_call_notices.csv</w:t>
            </w:r>
          </w:p>
        </w:tc>
        <w:tc>
          <w:tcPr>
            <w:tcW w:type="pct" w:w="22%"/>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payment_date</w:t>
            </w:r>
          </w:p>
        </w:tc>
        <w:tc>
          <w:tcPr>
            <w:tcW w:type="pct" w:w="30%"/>
            <w:tcMar>
              <w:top w:type="dxa" w:w="50"/>
              <w:left w:type="dxa" w:w="80"/>
              <w:bottom w:type="dxa" w:w="50"/>
              <w:right w:type="dxa" w:w="80"/>
            </w:tcMar>
          </w:tcPr>
          <w:p>
            <w:r>
              <w:rPr>
                <w:rFonts w:ascii="Calibri" w:cs="Calibri" w:eastAsia="Calibri" w:hAnsi="Calibri"/>
                <w:color w:val="404040"/>
                <w:sz w:val="17"/>
                <w:szCs w:val="17"/>
              </w:rPr>
              <w:t xml:space="preserve">When TA posted the receipt</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SETTLE_DATE</w:t>
            </w:r>
          </w:p>
        </w:tc>
        <w:tc>
          <w:tcPr>
            <w:tcW w:type="pct" w:w="28%"/>
            <w:shd w:fill="E8ECF4" w:color="E8ECF4" w:val="clear"/>
            <w:tcMar>
              <w:top w:type="dxa" w:w="50"/>
              <w:left w:type="dxa" w:w="80"/>
              <w:bottom w:type="dxa" w:w="50"/>
              <w:right w:type="dxa" w:w="80"/>
            </w:tcMar>
          </w:tcPr>
          <w:p>
            <w:r>
              <w:rPr>
                <w:rFonts w:ascii="Calibri" w:cs="Calibri" w:eastAsia="Calibri" w:hAnsi="Calibri"/>
                <w:b w:val="false"/>
                <w:bCs w:val="false"/>
                <w:color w:val="1F3864"/>
                <w:sz w:val="19"/>
                <w:szCs w:val="19"/>
              </w:rPr>
              <w:t xml:space="preserve">09_capital_call_notices.csv</w:t>
            </w:r>
          </w:p>
        </w:tc>
        <w:tc>
          <w:tcPr>
            <w:tcW w:type="pct" w:w="22%"/>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due_date</w:t>
            </w:r>
          </w:p>
        </w:tc>
        <w:tc>
          <w:tcPr>
            <w:tcW w:type="pct" w:w="30%"/>
            <w:tcMar>
              <w:top w:type="dxa" w:w="50"/>
              <w:left w:type="dxa" w:w="80"/>
              <w:bottom w:type="dxa" w:w="50"/>
              <w:right w:type="dxa" w:w="80"/>
            </w:tcMar>
          </w:tcPr>
          <w:p>
            <w:r>
              <w:rPr>
                <w:rFonts w:ascii="Calibri" w:cs="Calibri" w:eastAsia="Calibri" w:hAnsi="Calibri"/>
                <w:color w:val="404040"/>
                <w:sz w:val="17"/>
                <w:szCs w:val="17"/>
              </w:rPr>
              <w:t xml:space="preserve">Settlement / due date for capital call</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GROSS_AMOUNT_ORIG</w:t>
            </w:r>
          </w:p>
        </w:tc>
        <w:tc>
          <w:tcPr>
            <w:tcW w:type="pct" w:w="28%"/>
            <w:shd w:fill="E8ECF4" w:color="E8ECF4" w:val="clear"/>
            <w:tcMar>
              <w:top w:type="dxa" w:w="50"/>
              <w:left w:type="dxa" w:w="80"/>
              <w:bottom w:type="dxa" w:w="50"/>
              <w:right w:type="dxa" w:w="80"/>
            </w:tcMar>
          </w:tcPr>
          <w:p>
            <w:r>
              <w:rPr>
                <w:rFonts w:ascii="Calibri" w:cs="Calibri" w:eastAsia="Calibri" w:hAnsi="Calibri"/>
                <w:b w:val="false"/>
                <w:bCs w:val="false"/>
                <w:color w:val="1F3864"/>
                <w:sz w:val="19"/>
                <w:szCs w:val="19"/>
              </w:rPr>
              <w:t xml:space="preserve">09_capital_call_notices.csv</w:t>
            </w:r>
          </w:p>
        </w:tc>
        <w:tc>
          <w:tcPr>
            <w:tcW w:type="pct" w:w="22%"/>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total_due_usd</w:t>
            </w:r>
          </w:p>
        </w:tc>
        <w:tc>
          <w:tcPr>
            <w:tcW w:type="pct" w:w="30%"/>
            <w:tcMar>
              <w:top w:type="dxa" w:w="50"/>
              <w:left w:type="dxa" w:w="80"/>
              <w:bottom w:type="dxa" w:w="50"/>
              <w:right w:type="dxa" w:w="80"/>
            </w:tcMar>
          </w:tcPr>
          <w:p>
            <w:r>
              <w:rPr>
                <w:rFonts w:ascii="Calibri" w:cs="Calibri" w:eastAsia="Calibri" w:hAnsi="Calibri"/>
                <w:color w:val="404040"/>
                <w:sz w:val="17"/>
                <w:szCs w:val="17"/>
              </w:rPr>
              <w:t xml:space="preserve">Dollar amount of the call or subscription</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TOTAL_SHARES</w:t>
            </w:r>
          </w:p>
        </w:tc>
        <w:tc>
          <w:tcPr>
            <w:tcW w:type="pct" w:w="28%"/>
            <w:shd w:fill="E8ECF4" w:color="E8ECF4" w:val="clear"/>
            <w:tcMar>
              <w:top w:type="dxa" w:w="50"/>
              <w:left w:type="dxa" w:w="80"/>
              <w:bottom w:type="dxa" w:w="50"/>
              <w:right w:type="dxa" w:w="80"/>
            </w:tcMar>
          </w:tcPr>
          <w:p>
            <w:r>
              <w:rPr>
                <w:rFonts w:ascii="Calibri" w:cs="Calibri" w:eastAsia="Calibri" w:hAnsi="Calibri"/>
                <w:b w:val="false"/>
                <w:bCs w:val="false"/>
                <w:color w:val="1F3864"/>
                <w:sz w:val="19"/>
                <w:szCs w:val="19"/>
              </w:rPr>
              <w:t xml:space="preserve">19_lp_capital_account_rollforward.csv</w:t>
            </w:r>
          </w:p>
        </w:tc>
        <w:tc>
          <w:tcPr>
            <w:tcW w:type="pct" w:w="22%"/>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(add units_held)</w:t>
            </w:r>
          </w:p>
        </w:tc>
        <w:tc>
          <w:tcPr>
            <w:tcW w:type="pct" w:w="30%"/>
            <w:tcMar>
              <w:top w:type="dxa" w:w="50"/>
              <w:left w:type="dxa" w:w="80"/>
              <w:bottom w:type="dxa" w:w="50"/>
              <w:right w:type="dxa" w:w="80"/>
            </w:tcMar>
          </w:tcPr>
          <w:p>
            <w:r>
              <w:rPr>
                <w:rFonts w:ascii="Calibri" w:cs="Calibri" w:eastAsia="Calibri" w:hAnsi="Calibri"/>
                <w:color w:val="404040"/>
                <w:sz w:val="17"/>
                <w:szCs w:val="17"/>
              </w:rPr>
              <w:t xml:space="preserve">Units issued — not currently in AMC roll-forward</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NSCC_CONTROL_NBR</w:t>
            </w:r>
          </w:p>
        </w:tc>
        <w:tc>
          <w:tcPr>
            <w:tcW w:type="pct" w:w="28%"/>
            <w:shd w:fill="E8ECF4" w:color="E8ECF4" w:val="clear"/>
            <w:tcMar>
              <w:top w:type="dxa" w:w="50"/>
              <w:left w:type="dxa" w:w="80"/>
              <w:bottom w:type="dxa" w:w="50"/>
              <w:right w:type="dxa" w:w="80"/>
            </w:tcMar>
          </w:tcPr>
          <w:p>
            <w:r>
              <w:rPr>
                <w:rFonts w:ascii="Calibri" w:cs="Calibri" w:eastAsia="Calibri" w:hAnsi="Calibri"/>
                <w:b w:val="false"/>
                <w:bCs w:val="false"/>
                <w:color w:val="1F3864"/>
                <w:sz w:val="19"/>
                <w:szCs w:val="19"/>
              </w:rPr>
              <w:t xml:space="preserve">10_wires.csv</w:t>
            </w:r>
          </w:p>
        </w:tc>
        <w:tc>
          <w:tcPr>
            <w:tcW w:type="pct" w:w="22%"/>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wire_id</w:t>
            </w:r>
          </w:p>
        </w:tc>
        <w:tc>
          <w:tcPr>
            <w:tcW w:type="pct" w:w="30%"/>
            <w:tcMar>
              <w:top w:type="dxa" w:w="50"/>
              <w:left w:type="dxa" w:w="80"/>
              <w:bottom w:type="dxa" w:w="50"/>
              <w:right w:type="dxa" w:w="80"/>
            </w:tcMar>
          </w:tcPr>
          <w:p>
            <w:r>
              <w:rPr>
                <w:rFonts w:ascii="Calibri" w:cs="Calibri" w:eastAsia="Calibri" w:hAnsi="Calibri"/>
                <w:color w:val="404040"/>
                <w:sz w:val="17"/>
                <w:szCs w:val="17"/>
              </w:rPr>
              <w:t xml:space="preserve">NSCC control number = wire reference for NSCC-cleared trades</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TRANSACTION_ID</w:t>
            </w:r>
          </w:p>
        </w:tc>
        <w:tc>
          <w:tcPr>
            <w:tcW w:type="pct" w:w="28%"/>
            <w:shd w:fill="E8ECF4" w:color="E8ECF4" w:val="clear"/>
            <w:tcMar>
              <w:top w:type="dxa" w:w="50"/>
              <w:left w:type="dxa" w:w="80"/>
              <w:bottom w:type="dxa" w:w="50"/>
              <w:right w:type="dxa" w:w="80"/>
            </w:tcMar>
          </w:tcPr>
          <w:p>
            <w:r>
              <w:rPr>
                <w:rFonts w:ascii="Calibri" w:cs="Calibri" w:eastAsia="Calibri" w:hAnsi="Calibri"/>
                <w:b w:val="false"/>
                <w:bCs w:val="false"/>
                <w:color w:val="1F3864"/>
                <w:sz w:val="19"/>
                <w:szCs w:val="19"/>
              </w:rPr>
              <w:t xml:space="preserve">10_wires.csv</w:t>
            </w:r>
          </w:p>
        </w:tc>
        <w:tc>
          <w:tcPr>
            <w:tcW w:type="pct" w:w="22%"/>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wire_id</w:t>
            </w:r>
          </w:p>
        </w:tc>
        <w:tc>
          <w:tcPr>
            <w:tcW w:type="pct" w:w="30%"/>
            <w:tcMar>
              <w:top w:type="dxa" w:w="50"/>
              <w:left w:type="dxa" w:w="80"/>
              <w:bottom w:type="dxa" w:w="50"/>
              <w:right w:type="dxa" w:w="80"/>
            </w:tcMar>
          </w:tcPr>
          <w:p>
            <w:r>
              <w:rPr>
                <w:rFonts w:ascii="Calibri" w:cs="Calibri" w:eastAsia="Calibri" w:hAnsi="Calibri"/>
                <w:color w:val="404040"/>
                <w:sz w:val="17"/>
                <w:szCs w:val="17"/>
              </w:rPr>
              <w:t xml:space="preserve">DST transaction ID = wire reference for direct-wire PE trades</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PLATFORM_CODE</w:t>
            </w:r>
          </w:p>
        </w:tc>
        <w:tc>
          <w:tcPr>
            <w:tcW w:type="pct" w:w="28%"/>
            <w:shd w:fill="E8ECF4" w:color="E8ECF4" w:val="clear"/>
            <w:tcMar>
              <w:top w:type="dxa" w:w="50"/>
              <w:left w:type="dxa" w:w="80"/>
              <w:bottom w:type="dxa" w:w="50"/>
              <w:right w:type="dxa" w:w="80"/>
            </w:tcMar>
          </w:tcPr>
          <w:p>
            <w:r>
              <w:rPr>
                <w:rFonts w:ascii="Calibri" w:cs="Calibri" w:eastAsia="Calibri" w:hAnsi="Calibri"/>
                <w:b w:val="false"/>
                <w:bCs w:val="false"/>
                <w:color w:val="1F3864"/>
                <w:sz w:val="19"/>
                <w:szCs w:val="19"/>
              </w:rPr>
              <w:t xml:space="preserve">05_investors.csv</w:t>
            </w:r>
          </w:p>
        </w:tc>
        <w:tc>
          <w:tcPr>
            <w:tcW w:type="pct" w:w="22%"/>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platform</w:t>
            </w:r>
          </w:p>
        </w:tc>
        <w:tc>
          <w:tcPr>
            <w:tcW w:type="pct" w:w="30%"/>
            <w:tcMar>
              <w:top w:type="dxa" w:w="50"/>
              <w:left w:type="dxa" w:w="80"/>
              <w:bottom w:type="dxa" w:w="50"/>
              <w:right w:type="dxa" w:w="80"/>
            </w:tcMar>
          </w:tcPr>
          <w:p>
            <w:r>
              <w:rPr>
                <w:rFonts w:ascii="Calibri" w:cs="Calibri" w:eastAsia="Calibri" w:hAnsi="Calibri"/>
                <w:color w:val="404040"/>
                <w:sz w:val="17"/>
                <w:szCs w:val="17"/>
              </w:rPr>
              <w:t xml:space="preserve">ICP = iCapital; CAIS = CAIS; blank = direct</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TRADE_FIRM</w:t>
            </w:r>
          </w:p>
        </w:tc>
        <w:tc>
          <w:tcPr>
            <w:tcW w:type="pct" w:w="28%"/>
            <w:shd w:fill="E8ECF4" w:color="E8ECF4" w:val="clear"/>
            <w:tcMar>
              <w:top w:type="dxa" w:w="50"/>
              <w:left w:type="dxa" w:w="80"/>
              <w:bottom w:type="dxa" w:w="50"/>
              <w:right w:type="dxa" w:w="80"/>
            </w:tcMar>
          </w:tcPr>
          <w:p>
            <w:r>
              <w:rPr>
                <w:rFonts w:ascii="Calibri" w:cs="Calibri" w:eastAsia="Calibri" w:hAnsi="Calibri"/>
                <w:b w:val="false"/>
                <w:bCs w:val="false"/>
                <w:color w:val="1F3864"/>
                <w:sz w:val="19"/>
                <w:szCs w:val="19"/>
              </w:rPr>
              <w:t xml:space="preserve">05_investors.csv</w:t>
            </w:r>
          </w:p>
        </w:tc>
        <w:tc>
          <w:tcPr>
            <w:tcW w:type="pct" w:w="22%"/>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platform</w:t>
            </w:r>
          </w:p>
        </w:tc>
        <w:tc>
          <w:tcPr>
            <w:tcW w:type="pct" w:w="30%"/>
            <w:tcMar>
              <w:top w:type="dxa" w:w="50"/>
              <w:left w:type="dxa" w:w="80"/>
              <w:bottom w:type="dxa" w:w="50"/>
              <w:right w:type="dxa" w:w="80"/>
            </w:tcMar>
          </w:tcPr>
          <w:p>
            <w:r>
              <w:rPr>
                <w:rFonts w:ascii="Calibri" w:cs="Calibri" w:eastAsia="Calibri" w:hAnsi="Calibri"/>
                <w:color w:val="404040"/>
                <w:sz w:val="17"/>
                <w:szCs w:val="17"/>
              </w:rPr>
              <w:t xml:space="preserve">Numeric dealer code maps to wirehouse/BD name</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TRANSFER_AGENT</w:t>
            </w:r>
          </w:p>
        </w:tc>
        <w:tc>
          <w:tcPr>
            <w:tcW w:type="pct" w:w="28%"/>
            <w:shd w:fill="E8ECF4" w:color="E8ECF4" w:val="clear"/>
            <w:tcMar>
              <w:top w:type="dxa" w:w="50"/>
              <w:left w:type="dxa" w:w="80"/>
              <w:bottom w:type="dxa" w:w="50"/>
              <w:right w:type="dxa" w:w="80"/>
            </w:tcMar>
          </w:tcPr>
          <w:p>
            <w:r>
              <w:rPr>
                <w:rFonts w:ascii="Calibri" w:cs="Calibri" w:eastAsia="Calibri" w:hAnsi="Calibri"/>
                <w:b w:val="false"/>
                <w:bCs w:val="false"/>
                <w:color w:val="1F3864"/>
                <w:sz w:val="19"/>
                <w:szCs w:val="19"/>
              </w:rPr>
              <w:t xml:space="preserve">03_vehicles.csv</w:t>
            </w:r>
          </w:p>
        </w:tc>
        <w:tc>
          <w:tcPr>
            <w:tcW w:type="pct" w:w="22%"/>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transfer_agent</w:t>
            </w:r>
          </w:p>
        </w:tc>
        <w:tc>
          <w:tcPr>
            <w:tcW w:type="pct" w:w="30%"/>
            <w:tcMar>
              <w:top w:type="dxa" w:w="50"/>
              <w:left w:type="dxa" w:w="80"/>
              <w:bottom w:type="dxa" w:w="50"/>
              <w:right w:type="dxa" w:w="80"/>
            </w:tcMar>
          </w:tcPr>
          <w:p>
            <w:r>
              <w:rPr>
                <w:rFonts w:ascii="Calibri" w:cs="Calibri" w:eastAsia="Calibri" w:hAnsi="Calibri"/>
                <w:color w:val="404040"/>
                <w:sz w:val="17"/>
                <w:szCs w:val="17"/>
              </w:rPr>
              <w:t xml:space="preserve">DST = SS&amp;C DST; maps to TA field on vehicle</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PRODUCT_CODE</w:t>
            </w:r>
          </w:p>
        </w:tc>
        <w:tc>
          <w:tcPr>
            <w:tcW w:type="pct" w:w="28%"/>
            <w:shd w:fill="E8ECF4" w:color="E8ECF4" w:val="clear"/>
            <w:tcMar>
              <w:top w:type="dxa" w:w="50"/>
              <w:left w:type="dxa" w:w="80"/>
              <w:bottom w:type="dxa" w:w="50"/>
              <w:right w:type="dxa" w:w="80"/>
            </w:tcMar>
          </w:tcPr>
          <w:p>
            <w:r>
              <w:rPr>
                <w:rFonts w:ascii="Calibri" w:cs="Calibri" w:eastAsia="Calibri" w:hAnsi="Calibri"/>
                <w:b w:val="false"/>
                <w:bCs w:val="false"/>
                <w:color w:val="1F3864"/>
                <w:sz w:val="19"/>
                <w:szCs w:val="19"/>
              </w:rPr>
              <w:t xml:space="preserve">01_products.csv</w:t>
            </w:r>
          </w:p>
        </w:tc>
        <w:tc>
          <w:tcPr>
            <w:tcW w:type="pct" w:w="22%"/>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strategy</w:t>
            </w:r>
          </w:p>
        </w:tc>
        <w:tc>
          <w:tcPr>
            <w:tcW w:type="pct" w:w="30%"/>
            <w:tcMar>
              <w:top w:type="dxa" w:w="50"/>
              <w:left w:type="dxa" w:w="80"/>
              <w:bottom w:type="dxa" w:w="50"/>
              <w:right w:type="dxa" w:w="80"/>
            </w:tcMar>
          </w:tcPr>
          <w:p>
            <w:r>
              <w:rPr>
                <w:rFonts w:ascii="Calibri" w:cs="Calibri" w:eastAsia="Calibri" w:hAnsi="Calibri"/>
                <w:color w:val="404040"/>
                <w:sz w:val="17"/>
                <w:szCs w:val="17"/>
              </w:rPr>
              <w:t xml:space="preserve">ADPE = Buyout/PE; ADCRE = Credit; ADINFRA = Infrastructure</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SOCIAL_CODE</w:t>
            </w:r>
          </w:p>
        </w:tc>
        <w:tc>
          <w:tcPr>
            <w:tcW w:type="pct" w:w="28%"/>
            <w:shd w:fill="E8ECF4" w:color="E8ECF4" w:val="clear"/>
            <w:tcMar>
              <w:top w:type="dxa" w:w="50"/>
              <w:left w:type="dxa" w:w="80"/>
              <w:bottom w:type="dxa" w:w="50"/>
              <w:right w:type="dxa" w:w="80"/>
            </w:tcMar>
          </w:tcPr>
          <w:p>
            <w:r>
              <w:rPr>
                <w:rFonts w:ascii="Calibri" w:cs="Calibri" w:eastAsia="Calibri" w:hAnsi="Calibri"/>
                <w:b w:val="false"/>
                <w:bCs w:val="false"/>
                <w:color w:val="1F3864"/>
                <w:sz w:val="19"/>
                <w:szCs w:val="19"/>
              </w:rPr>
              <w:t xml:space="preserve">05_investors.csv</w:t>
            </w:r>
          </w:p>
        </w:tc>
        <w:tc>
          <w:tcPr>
            <w:tcW w:type="pct" w:w="22%"/>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investor_type</w:t>
            </w:r>
          </w:p>
        </w:tc>
        <w:tc>
          <w:tcPr>
            <w:tcW w:type="pct" w:w="30%"/>
            <w:tcMar>
              <w:top w:type="dxa" w:w="50"/>
              <w:left w:type="dxa" w:w="80"/>
              <w:bottom w:type="dxa" w:w="50"/>
              <w:right w:type="dxa" w:w="80"/>
            </w:tcMar>
          </w:tcPr>
          <w:p>
            <w:r>
              <w:rPr>
                <w:rFonts w:ascii="Calibri" w:cs="Calibri" w:eastAsia="Calibri" w:hAnsi="Calibri"/>
                <w:color w:val="404040"/>
                <w:sz w:val="17"/>
                <w:szCs w:val="17"/>
              </w:rPr>
              <w:t xml:space="preserve">050+ = institutional; 001-009 = individual/retail</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PROCESS_GROUP_ID</w:t>
            </w:r>
          </w:p>
        </w:tc>
        <w:tc>
          <w:tcPr>
            <w:tcW w:type="pct" w:w="28%"/>
            <w:shd w:fill="E8ECF4" w:color="E8ECF4" w:val="clear"/>
            <w:tcMar>
              <w:top w:type="dxa" w:w="50"/>
              <w:left w:type="dxa" w:w="80"/>
              <w:bottom w:type="dxa" w:w="50"/>
              <w:right w:type="dxa" w:w="80"/>
            </w:tcMar>
          </w:tcPr>
          <w:p>
            <w:r>
              <w:rPr>
                <w:rFonts w:ascii="Calibri" w:cs="Calibri" w:eastAsia="Calibri" w:hAnsi="Calibri"/>
                <w:b w:val="false"/>
                <w:bCs w:val="false"/>
                <w:color w:val="1F3864"/>
                <w:sz w:val="19"/>
                <w:szCs w:val="19"/>
              </w:rPr>
              <w:t xml:space="preserve">08_capital_calls.csv</w:t>
            </w:r>
          </w:p>
        </w:tc>
        <w:tc>
          <w:tcPr>
            <w:tcW w:type="pct" w:w="22%"/>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capital_call_id</w:t>
            </w:r>
          </w:p>
        </w:tc>
        <w:tc>
          <w:tcPr>
            <w:tcW w:type="pct" w:w="30%"/>
            <w:tcMar>
              <w:top w:type="dxa" w:w="50"/>
              <w:left w:type="dxa" w:w="80"/>
              <w:bottom w:type="dxa" w:w="50"/>
              <w:right w:type="dxa" w:w="80"/>
            </w:tcMar>
          </w:tcPr>
          <w:p>
            <w:r>
              <w:rPr>
                <w:rFonts w:ascii="Calibri" w:cs="Calibri" w:eastAsia="Calibri" w:hAnsi="Calibri"/>
                <w:color w:val="404040"/>
                <w:sz w:val="17"/>
                <w:szCs w:val="17"/>
              </w:rPr>
              <w:t xml:space="preserve">Batch group = the capital call event grouping all notices</w:t>
            </w:r>
          </w:p>
        </w:tc>
      </w:tr>
    </w:tbl>
    <w:p>
      <w:pPr>
        <w:spacing w:after="160" w:before="0"/>
      </w:pPr>
      <w:r>
        <w:t xml:space="preserve"/>
      </w:r>
    </w:p>
    <w:p>
      <w:pPr>
        <w:pStyle w:val="Heading2"/>
        <w:spacing w:after="120" w:before="320"/>
      </w:pPr>
      <w:r>
        <w:t xml:space="preserve">K.9  Data Model Gaps Identified from DST Record</w:t>
      </w:r>
    </w:p>
    <w:p>
      <w:pPr>
        <w:spacing w:after="120" w:before="0"/>
      </w:pPr>
      <w:r>
        <w:rPr>
          <w:rFonts w:ascii="Calibri" w:cs="Calibri" w:eastAsia="Calibri" w:hAnsi="Calibri"/>
          <w:color w:val="404040"/>
          <w:sz w:val="22"/>
          <w:szCs w:val="22"/>
        </w:rPr>
        <w:t xml:space="preserve">Comparing the DST record to the current AMC data model reveals the following fields that should be added to fully support DST feed ingestion and reconciliation:</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tblGrid>
      <w:tr>
        <w:trPr>
          <w:tblHeader/>
        </w:trPr>
        <w:tc>
          <w:tcPr>
            <w:tcW w:type="pct" w:w="25%"/>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AMC File</w:t>
            </w:r>
          </w:p>
        </w:tc>
        <w:tc>
          <w:tcPr>
            <w:tcW w:type="pct" w:w="2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Field to Add</w:t>
            </w:r>
          </w:p>
        </w:tc>
        <w:tc>
          <w:tcPr>
            <w:tcW w:type="pct" w:w="4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Rationale</w:t>
            </w:r>
          </w:p>
        </w:tc>
        <w:tc>
          <w:tcPr>
            <w:tcW w:type="pct" w:w="1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Priority</w:t>
            </w:r>
          </w:p>
        </w:tc>
      </w:tr>
      <w:tr>
        <w:tc>
          <w:tcPr>
            <w:tcW w:type="pct" w:w="25%"/>
            <w:shd w:fill="E8ECF4" w:color="E8ECF4" w:val="clear"/>
            <w:tcMar>
              <w:top w:type="dxa" w:w="50"/>
              <w:left w:type="dxa" w:w="80"/>
              <w:bottom w:type="dxa" w:w="50"/>
              <w:right w:type="dxa" w:w="80"/>
            </w:tcMar>
          </w:tcPr>
          <w:p>
            <w:r>
              <w:rPr>
                <w:rFonts w:ascii="Calibri" w:cs="Calibri" w:eastAsia="Calibri" w:hAnsi="Calibri"/>
                <w:b w:val="false"/>
                <w:bCs w:val="false"/>
                <w:color w:val="1F3864"/>
                <w:sz w:val="19"/>
                <w:szCs w:val="19"/>
              </w:rPr>
              <w:t xml:space="preserve">04_offerings.csv</w:t>
            </w:r>
          </w:p>
        </w:tc>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cusip</w:t>
            </w:r>
          </w:p>
        </w:tc>
        <w:tc>
          <w:tcPr>
            <w:tcW w:type="pct" w:w="40%"/>
            <w:tcMar>
              <w:top w:type="dxa" w:w="50"/>
              <w:left w:type="dxa" w:w="80"/>
              <w:bottom w:type="dxa" w:w="50"/>
              <w:right w:type="dxa" w:w="80"/>
            </w:tcMar>
          </w:tcPr>
          <w:p>
            <w:r>
              <w:rPr>
                <w:rFonts w:ascii="Calibri" w:cs="Calibri" w:eastAsia="Calibri" w:hAnsi="Calibri"/>
                <w:color w:val="404040"/>
                <w:sz w:val="17"/>
                <w:szCs w:val="17"/>
              </w:rPr>
              <w:t xml:space="preserve">Add CUSIP field — the industry-standard security identifier. Required for NSCC settlement and regulatory filings.</w:t>
            </w:r>
          </w:p>
        </w:tc>
        <w:tc>
          <w:tcPr>
            <w:tcW w:type="pct" w:w="15%"/>
            <w:shd w:fill="FDE8E8" w:color="FDE8E8" w:val="clear"/>
            <w:tcMar>
              <w:top w:type="dxa" w:w="50"/>
              <w:left w:type="dxa" w:w="80"/>
              <w:bottom w:type="dxa" w:w="50"/>
              <w:right w:type="dxa" w:w="80"/>
            </w:tcMar>
          </w:tcPr>
          <w:p>
            <w:r>
              <w:rPr>
                <w:rFonts w:ascii="Calibri" w:cs="Calibri" w:eastAsia="Calibri" w:hAnsi="Calibri"/>
                <w:b/>
                <w:bCs/>
                <w:color w:val="C00000"/>
                <w:sz w:val="19"/>
                <w:szCs w:val="19"/>
              </w:rPr>
              <w:t xml:space="preserve">High</w:t>
            </w:r>
          </w:p>
        </w:tc>
      </w:tr>
      <w:tr>
        <w:tc>
          <w:tcPr>
            <w:tcW w:type="pct" w:w="25%"/>
            <w:shd w:fill="E8ECF4" w:color="E8ECF4" w:val="clear"/>
            <w:tcMar>
              <w:top w:type="dxa" w:w="50"/>
              <w:left w:type="dxa" w:w="80"/>
              <w:bottom w:type="dxa" w:w="50"/>
              <w:right w:type="dxa" w:w="80"/>
            </w:tcMar>
          </w:tcPr>
          <w:p>
            <w:r>
              <w:rPr>
                <w:rFonts w:ascii="Calibri" w:cs="Calibri" w:eastAsia="Calibri" w:hAnsi="Calibri"/>
                <w:b w:val="false"/>
                <w:bCs w:val="false"/>
                <w:color w:val="1F3864"/>
                <w:sz w:val="19"/>
                <w:szCs w:val="19"/>
              </w:rPr>
              <w:t xml:space="preserve">05_investors.csv</w:t>
            </w:r>
          </w:p>
        </w:tc>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firm_id_dst</w:t>
            </w:r>
          </w:p>
        </w:tc>
        <w:tc>
          <w:tcPr>
            <w:tcW w:type="pct" w:w="40%"/>
            <w:tcMar>
              <w:top w:type="dxa" w:w="50"/>
              <w:left w:type="dxa" w:w="80"/>
              <w:bottom w:type="dxa" w:w="50"/>
              <w:right w:type="dxa" w:w="80"/>
            </w:tcMar>
          </w:tcPr>
          <w:p>
            <w:r>
              <w:rPr>
                <w:rFonts w:ascii="Calibri" w:cs="Calibri" w:eastAsia="Calibri" w:hAnsi="Calibri"/>
                <w:color w:val="404040"/>
                <w:sz w:val="17"/>
                <w:szCs w:val="17"/>
              </w:rPr>
              <w:t xml:space="preserve">Add DST FIRM_ID as an external ID field for matching incoming DST records to our investor register.</w:t>
            </w:r>
          </w:p>
        </w:tc>
        <w:tc>
          <w:tcPr>
            <w:tcW w:type="pct" w:w="15%"/>
            <w:shd w:fill="FDE8E8" w:color="FDE8E8" w:val="clear"/>
            <w:tcMar>
              <w:top w:type="dxa" w:w="50"/>
              <w:left w:type="dxa" w:w="80"/>
              <w:bottom w:type="dxa" w:w="50"/>
              <w:right w:type="dxa" w:w="80"/>
            </w:tcMar>
          </w:tcPr>
          <w:p>
            <w:r>
              <w:rPr>
                <w:rFonts w:ascii="Calibri" w:cs="Calibri" w:eastAsia="Calibri" w:hAnsi="Calibri"/>
                <w:b/>
                <w:bCs/>
                <w:color w:val="C00000"/>
                <w:sz w:val="19"/>
                <w:szCs w:val="19"/>
              </w:rPr>
              <w:t xml:space="preserve">High</w:t>
            </w:r>
          </w:p>
        </w:tc>
      </w:tr>
      <w:tr>
        <w:tc>
          <w:tcPr>
            <w:tcW w:type="pct" w:w="25%"/>
            <w:shd w:fill="E8ECF4" w:color="E8ECF4" w:val="clear"/>
            <w:tcMar>
              <w:top w:type="dxa" w:w="50"/>
              <w:left w:type="dxa" w:w="80"/>
              <w:bottom w:type="dxa" w:w="50"/>
              <w:right w:type="dxa" w:w="80"/>
            </w:tcMar>
          </w:tcPr>
          <w:p>
            <w:r>
              <w:rPr>
                <w:rFonts w:ascii="Calibri" w:cs="Calibri" w:eastAsia="Calibri" w:hAnsi="Calibri"/>
                <w:b w:val="false"/>
                <w:bCs w:val="false"/>
                <w:color w:val="1F3864"/>
                <w:sz w:val="19"/>
                <w:szCs w:val="19"/>
              </w:rPr>
              <w:t xml:space="preserve">05_investors.csv</w:t>
            </w:r>
          </w:p>
        </w:tc>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platform_code</w:t>
            </w:r>
          </w:p>
        </w:tc>
        <w:tc>
          <w:tcPr>
            <w:tcW w:type="pct" w:w="40%"/>
            <w:tcMar>
              <w:top w:type="dxa" w:w="50"/>
              <w:left w:type="dxa" w:w="80"/>
              <w:bottom w:type="dxa" w:w="50"/>
              <w:right w:type="dxa" w:w="80"/>
            </w:tcMar>
          </w:tcPr>
          <w:p>
            <w:r>
              <w:rPr>
                <w:rFonts w:ascii="Calibri" w:cs="Calibri" w:eastAsia="Calibri" w:hAnsi="Calibri"/>
                <w:color w:val="404040"/>
                <w:sz w:val="17"/>
                <w:szCs w:val="17"/>
              </w:rPr>
              <w:t xml:space="preserve">Add PLATFORM_CODE field (ICP, CAIS, FIDO etc.) to identify distribution channel per investor.</w:t>
            </w:r>
          </w:p>
        </w:tc>
        <w:tc>
          <w:tcPr>
            <w:tcW w:type="pct" w:w="15%"/>
            <w:shd w:fill="FDE8E8" w:color="FDE8E8" w:val="clear"/>
            <w:tcMar>
              <w:top w:type="dxa" w:w="50"/>
              <w:left w:type="dxa" w:w="80"/>
              <w:bottom w:type="dxa" w:w="50"/>
              <w:right w:type="dxa" w:w="80"/>
            </w:tcMar>
          </w:tcPr>
          <w:p>
            <w:r>
              <w:rPr>
                <w:rFonts w:ascii="Calibri" w:cs="Calibri" w:eastAsia="Calibri" w:hAnsi="Calibri"/>
                <w:b/>
                <w:bCs/>
                <w:color w:val="C00000"/>
                <w:sz w:val="19"/>
                <w:szCs w:val="19"/>
              </w:rPr>
              <w:t xml:space="preserve">High</w:t>
            </w:r>
          </w:p>
        </w:tc>
      </w:tr>
      <w:tr>
        <w:tc>
          <w:tcPr>
            <w:tcW w:type="pct" w:w="25%"/>
            <w:shd w:fill="E8ECF4" w:color="E8ECF4" w:val="clear"/>
            <w:tcMar>
              <w:top w:type="dxa" w:w="50"/>
              <w:left w:type="dxa" w:w="80"/>
              <w:bottom w:type="dxa" w:w="50"/>
              <w:right w:type="dxa" w:w="80"/>
            </w:tcMar>
          </w:tcPr>
          <w:p>
            <w:r>
              <w:rPr>
                <w:rFonts w:ascii="Calibri" w:cs="Calibri" w:eastAsia="Calibri" w:hAnsi="Calibri"/>
                <w:b w:val="false"/>
                <w:bCs w:val="false"/>
                <w:color w:val="1F3864"/>
                <w:sz w:val="19"/>
                <w:szCs w:val="19"/>
              </w:rPr>
              <w:t xml:space="preserve">09_capital_call_notices.csv</w:t>
            </w:r>
          </w:p>
        </w:tc>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nscc_control_nbr</w:t>
            </w:r>
          </w:p>
        </w:tc>
        <w:tc>
          <w:tcPr>
            <w:tcW w:type="pct" w:w="40%"/>
            <w:tcMar>
              <w:top w:type="dxa" w:w="50"/>
              <w:left w:type="dxa" w:w="80"/>
              <w:bottom w:type="dxa" w:w="50"/>
              <w:right w:type="dxa" w:w="80"/>
            </w:tcMar>
          </w:tcPr>
          <w:p>
            <w:r>
              <w:rPr>
                <w:rFonts w:ascii="Calibri" w:cs="Calibri" w:eastAsia="Calibri" w:hAnsi="Calibri"/>
                <w:color w:val="404040"/>
                <w:sz w:val="17"/>
                <w:szCs w:val="17"/>
              </w:rPr>
              <w:t xml:space="preserve">Add NSCC control number field for NSCC-settled trades. Required for NSCC reconciliation.</w:t>
            </w:r>
          </w:p>
        </w:tc>
        <w:tc>
          <w:tcPr>
            <w:tcW w:type="pct" w:w="15%"/>
            <w:shd w:fill="FDF3E7" w:color="FDF3E7" w:val="clear"/>
            <w:tcMar>
              <w:top w:type="dxa" w:w="50"/>
              <w:left w:type="dxa" w:w="80"/>
              <w:bottom w:type="dxa" w:w="50"/>
              <w:right w:type="dxa" w:w="80"/>
            </w:tcMar>
          </w:tcPr>
          <w:p>
            <w:r>
              <w:rPr>
                <w:rFonts w:ascii="Calibri" w:cs="Calibri" w:eastAsia="Calibri" w:hAnsi="Calibri"/>
                <w:b/>
                <w:bCs/>
                <w:color w:val="C55A11"/>
                <w:sz w:val="19"/>
                <w:szCs w:val="19"/>
              </w:rPr>
              <w:t xml:space="preserve">Medium</w:t>
            </w:r>
          </w:p>
        </w:tc>
      </w:tr>
      <w:tr>
        <w:tc>
          <w:tcPr>
            <w:tcW w:type="pct" w:w="25%"/>
            <w:shd w:fill="E8ECF4" w:color="E8ECF4" w:val="clear"/>
            <w:tcMar>
              <w:top w:type="dxa" w:w="50"/>
              <w:left w:type="dxa" w:w="80"/>
              <w:bottom w:type="dxa" w:w="50"/>
              <w:right w:type="dxa" w:w="80"/>
            </w:tcMar>
          </w:tcPr>
          <w:p>
            <w:r>
              <w:rPr>
                <w:rFonts w:ascii="Calibri" w:cs="Calibri" w:eastAsia="Calibri" w:hAnsi="Calibri"/>
                <w:b w:val="false"/>
                <w:bCs w:val="false"/>
                <w:color w:val="1F3864"/>
                <w:sz w:val="19"/>
                <w:szCs w:val="19"/>
              </w:rPr>
              <w:t xml:space="preserve">09_capital_call_notices.csv</w:t>
            </w:r>
          </w:p>
        </w:tc>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dst_transaction_id</w:t>
            </w:r>
          </w:p>
        </w:tc>
        <w:tc>
          <w:tcPr>
            <w:tcW w:type="pct" w:w="40%"/>
            <w:tcMar>
              <w:top w:type="dxa" w:w="50"/>
              <w:left w:type="dxa" w:w="80"/>
              <w:bottom w:type="dxa" w:w="50"/>
              <w:right w:type="dxa" w:w="80"/>
            </w:tcMar>
          </w:tcPr>
          <w:p>
            <w:r>
              <w:rPr>
                <w:rFonts w:ascii="Calibri" w:cs="Calibri" w:eastAsia="Calibri" w:hAnsi="Calibri"/>
                <w:color w:val="404040"/>
                <w:sz w:val="17"/>
                <w:szCs w:val="17"/>
              </w:rPr>
              <w:t xml:space="preserve">Add DST TRANSACTION_ID as external reference on each notice/receipt.</w:t>
            </w:r>
          </w:p>
        </w:tc>
        <w:tc>
          <w:tcPr>
            <w:tcW w:type="pct" w:w="15%"/>
            <w:shd w:fill="FDF3E7" w:color="FDF3E7" w:val="clear"/>
            <w:tcMar>
              <w:top w:type="dxa" w:w="50"/>
              <w:left w:type="dxa" w:w="80"/>
              <w:bottom w:type="dxa" w:w="50"/>
              <w:right w:type="dxa" w:w="80"/>
            </w:tcMar>
          </w:tcPr>
          <w:p>
            <w:r>
              <w:rPr>
                <w:rFonts w:ascii="Calibri" w:cs="Calibri" w:eastAsia="Calibri" w:hAnsi="Calibri"/>
                <w:b/>
                <w:bCs/>
                <w:color w:val="C55A11"/>
                <w:sz w:val="19"/>
                <w:szCs w:val="19"/>
              </w:rPr>
              <w:t xml:space="preserve">Medium</w:t>
            </w:r>
          </w:p>
        </w:tc>
      </w:tr>
      <w:tr>
        <w:tc>
          <w:tcPr>
            <w:tcW w:type="pct" w:w="25%"/>
            <w:shd w:fill="E8ECF4" w:color="E8ECF4" w:val="clear"/>
            <w:tcMar>
              <w:top w:type="dxa" w:w="50"/>
              <w:left w:type="dxa" w:w="80"/>
              <w:bottom w:type="dxa" w:w="50"/>
              <w:right w:type="dxa" w:w="80"/>
            </w:tcMar>
          </w:tcPr>
          <w:p>
            <w:r>
              <w:rPr>
                <w:rFonts w:ascii="Calibri" w:cs="Calibri" w:eastAsia="Calibri" w:hAnsi="Calibri"/>
                <w:b w:val="false"/>
                <w:bCs w:val="false"/>
                <w:color w:val="1F3864"/>
                <w:sz w:val="19"/>
                <w:szCs w:val="19"/>
              </w:rPr>
              <w:t xml:space="preserve">19_lp_capital_account_rollforward.csv</w:t>
            </w:r>
          </w:p>
        </w:tc>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units_held</w:t>
            </w:r>
          </w:p>
        </w:tc>
        <w:tc>
          <w:tcPr>
            <w:tcW w:type="pct" w:w="40%"/>
            <w:tcMar>
              <w:top w:type="dxa" w:w="50"/>
              <w:left w:type="dxa" w:w="80"/>
              <w:bottom w:type="dxa" w:w="50"/>
              <w:right w:type="dxa" w:w="80"/>
            </w:tcMar>
          </w:tcPr>
          <w:p>
            <w:r>
              <w:rPr>
                <w:rFonts w:ascii="Calibri" w:cs="Calibri" w:eastAsia="Calibri" w:hAnsi="Calibri"/>
                <w:color w:val="404040"/>
                <w:sz w:val="17"/>
                <w:szCs w:val="17"/>
              </w:rPr>
              <w:t xml:space="preserve">Add unit/share count per LP per period. Essential for interval funds and retail alt products.</w:t>
            </w:r>
          </w:p>
        </w:tc>
        <w:tc>
          <w:tcPr>
            <w:tcW w:type="pct" w:w="15%"/>
            <w:shd w:fill="FDF3E7" w:color="FDF3E7" w:val="clear"/>
            <w:tcMar>
              <w:top w:type="dxa" w:w="50"/>
              <w:left w:type="dxa" w:w="80"/>
              <w:bottom w:type="dxa" w:w="50"/>
              <w:right w:type="dxa" w:w="80"/>
            </w:tcMar>
          </w:tcPr>
          <w:p>
            <w:r>
              <w:rPr>
                <w:rFonts w:ascii="Calibri" w:cs="Calibri" w:eastAsia="Calibri" w:hAnsi="Calibri"/>
                <w:b/>
                <w:bCs/>
                <w:color w:val="C55A11"/>
                <w:sz w:val="19"/>
                <w:szCs w:val="19"/>
              </w:rPr>
              <w:t xml:space="preserve">Medium</w:t>
            </w:r>
          </w:p>
        </w:tc>
      </w:tr>
      <w:tr>
        <w:tc>
          <w:tcPr>
            <w:tcW w:type="pct" w:w="25%"/>
            <w:shd w:fill="E8ECF4" w:color="E8ECF4" w:val="clear"/>
            <w:tcMar>
              <w:top w:type="dxa" w:w="50"/>
              <w:left w:type="dxa" w:w="80"/>
              <w:bottom w:type="dxa" w:w="50"/>
              <w:right w:type="dxa" w:w="80"/>
            </w:tcMar>
          </w:tcPr>
          <w:p>
            <w:r>
              <w:rPr>
                <w:rFonts w:ascii="Calibri" w:cs="Calibri" w:eastAsia="Calibri" w:hAnsi="Calibri"/>
                <w:b w:val="false"/>
                <w:bCs w:val="false"/>
                <w:color w:val="1F3864"/>
                <w:sz w:val="19"/>
                <w:szCs w:val="19"/>
              </w:rPr>
              <w:t xml:space="preserve">03_vehicles.csv</w:t>
            </w:r>
          </w:p>
        </w:tc>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dst_fund_code</w:t>
            </w:r>
          </w:p>
        </w:tc>
        <w:tc>
          <w:tcPr>
            <w:tcW w:type="pct" w:w="40%"/>
            <w:tcMar>
              <w:top w:type="dxa" w:w="50"/>
              <w:left w:type="dxa" w:w="80"/>
              <w:bottom w:type="dxa" w:w="50"/>
              <w:right w:type="dxa" w:w="80"/>
            </w:tcMar>
          </w:tcPr>
          <w:p>
            <w:r>
              <w:rPr>
                <w:rFonts w:ascii="Calibri" w:cs="Calibri" w:eastAsia="Calibri" w:hAnsi="Calibri"/>
                <w:color w:val="404040"/>
                <w:sz w:val="17"/>
                <w:szCs w:val="17"/>
              </w:rPr>
              <w:t xml:space="preserve">Add DST numeric fund code (e.g. 4412) as external reference on each vehicle.</w:t>
            </w:r>
          </w:p>
        </w:tc>
        <w:tc>
          <w:tcPr>
            <w:tcW w:type="pct" w:w="15%"/>
            <w:shd w:fill="FDF3E7" w:color="FDF3E7" w:val="clear"/>
            <w:tcMar>
              <w:top w:type="dxa" w:w="50"/>
              <w:left w:type="dxa" w:w="80"/>
              <w:bottom w:type="dxa" w:w="50"/>
              <w:right w:type="dxa" w:w="80"/>
            </w:tcMar>
          </w:tcPr>
          <w:p>
            <w:r>
              <w:rPr>
                <w:rFonts w:ascii="Calibri" w:cs="Calibri" w:eastAsia="Calibri" w:hAnsi="Calibri"/>
                <w:b/>
                <w:bCs/>
                <w:color w:val="C55A11"/>
                <w:sz w:val="19"/>
                <w:szCs w:val="19"/>
              </w:rPr>
              <w:t xml:space="preserve">Medium</w:t>
            </w:r>
          </w:p>
        </w:tc>
      </w:tr>
      <w:tr>
        <w:tc>
          <w:tcPr>
            <w:tcW w:type="pct" w:w="25%"/>
            <w:shd w:fill="E8ECF4" w:color="E8ECF4" w:val="clear"/>
            <w:tcMar>
              <w:top w:type="dxa" w:w="50"/>
              <w:left w:type="dxa" w:w="80"/>
              <w:bottom w:type="dxa" w:w="50"/>
              <w:right w:type="dxa" w:w="80"/>
            </w:tcMar>
          </w:tcPr>
          <w:p>
            <w:r>
              <w:rPr>
                <w:rFonts w:ascii="Calibri" w:cs="Calibri" w:eastAsia="Calibri" w:hAnsi="Calibri"/>
                <w:b w:val="false"/>
                <w:bCs w:val="false"/>
                <w:color w:val="1F3864"/>
                <w:sz w:val="19"/>
                <w:szCs w:val="19"/>
              </w:rPr>
              <w:t xml:space="preserve">New: 21_dst_trade_feed.csv</w:t>
            </w:r>
          </w:p>
        </w:tc>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All DST fields</w:t>
            </w:r>
          </w:p>
        </w:tc>
        <w:tc>
          <w:tcPr>
            <w:tcW w:type="pct" w:w="40%"/>
            <w:tcMar>
              <w:top w:type="dxa" w:w="50"/>
              <w:left w:type="dxa" w:w="80"/>
              <w:bottom w:type="dxa" w:w="50"/>
              <w:right w:type="dxa" w:w="80"/>
            </w:tcMar>
          </w:tcPr>
          <w:p>
            <w:r>
              <w:rPr>
                <w:rFonts w:ascii="Calibri" w:cs="Calibri" w:eastAsia="Calibri" w:hAnsi="Calibri"/>
                <w:color w:val="404040"/>
                <w:sz w:val="17"/>
                <w:szCs w:val="17"/>
              </w:rPr>
              <w:t xml:space="preserve">Consider a staging table holding the raw DST feed records before transformation into AMC model entities. Standard in data warehouse ETL design.</w:t>
            </w:r>
          </w:p>
        </w:tc>
        <w:tc>
          <w:tcPr>
            <w:tcW w:type="pct" w:w="15%"/>
            <w:shd w:fill="FDE8E8" w:color="FDE8E8" w:val="clear"/>
            <w:tcMar>
              <w:top w:type="dxa" w:w="50"/>
              <w:left w:type="dxa" w:w="80"/>
              <w:bottom w:type="dxa" w:w="50"/>
              <w:right w:type="dxa" w:w="80"/>
            </w:tcMar>
          </w:tcPr>
          <w:p>
            <w:r>
              <w:rPr>
                <w:rFonts w:ascii="Calibri" w:cs="Calibri" w:eastAsia="Calibri" w:hAnsi="Calibri"/>
                <w:b/>
                <w:bCs/>
                <w:color w:val="C00000"/>
                <w:sz w:val="19"/>
                <w:szCs w:val="19"/>
              </w:rPr>
              <w:t xml:space="preserve">High</w:t>
            </w:r>
          </w:p>
        </w:tc>
      </w:tr>
    </w:tbl>
    <w:p>
      <w:pPr>
        <w:spacing w:after="160" w:before="0"/>
      </w:pPr>
      <w:r>
        <w:t xml:space="preserve"/>
      </w:r>
    </w:p>
    <w:p>
      <w:pPr>
        <w:pStyle w:val="Heading1"/>
        <w:spacing w:after="80" w:before="220"/>
      </w:pPr>
      <w:r>
        <w:rPr>
          <w:b/>
          <w:bCs/>
          <w:color w:val="1F3864"/>
          <w:sz w:val="28"/>
          <w:szCs w:val="28"/>
        </w:rPr>
        <w:t xml:space="preserve">Appendix L: CUSIP and ISIN Registration for Closed-End PE Fund Offerings</w:t>
      </w:r>
    </w:p>
    <w:p>
      <w:pPr>
        <w:spacing w:after="60" w:before="60"/>
      </w:pPr>
      <w:r>
        <w:rPr>
          <w:b w:val="false"/>
          <w:bCs w:val="false"/>
          <w:i w:val="false"/>
          <w:iCs w:val="false"/>
          <w:color w:val="000000"/>
          <w:sz w:val="20"/>
          <w:szCs w:val="20"/>
        </w:rPr>
        <w:t xml:space="preserve">This appendix documents why and when a closed-end PE fund offering carries a CUSIP or ISIN, the four fields added to 04_offerings.csv to capture this distinction, and how those identifiers flow through the NSCC AIP settlement infrastructure into DST trade records and back into the AMC data model.</w:t>
      </w:r>
    </w:p>
    <w:p>
      <w:pPr>
        <w:spacing w:after="0" w:before="80"/>
      </w:pPr>
      <w:r>
        <w:rPr>
          <w:sz w:val="20"/>
          <w:szCs w:val="20"/>
        </w:rPr>
        <w:t xml:space="preserve"/>
      </w:r>
    </w:p>
    <w:p>
      <w:pPr>
        <w:pStyle w:val="Heading3"/>
        <w:spacing w:after="80" w:before="220"/>
      </w:pPr>
      <w:r>
        <w:rPr>
          <w:b/>
          <w:bCs/>
          <w:color w:val="1F3864"/>
          <w:sz w:val="22"/>
          <w:szCs w:val="22"/>
        </w:rPr>
        <w:t xml:space="preserve">L.1  Overview</w:t>
      </w:r>
    </w:p>
    <w:p>
      <w:pPr>
        <w:spacing w:after="60" w:before="60"/>
      </w:pPr>
      <w:r>
        <w:rPr>
          <w:b w:val="false"/>
          <w:bCs w:val="false"/>
          <w:i w:val="false"/>
          <w:iCs w:val="false"/>
          <w:color w:val="000000"/>
          <w:sz w:val="20"/>
          <w:szCs w:val="20"/>
        </w:rPr>
        <w:t xml:space="preserve">Whether a closed-end PE fund carries a CUSIP depends entirely on its structure and distribution channel. Institutional funds formed as Regulation D exempt limited partnerships have no CUSIP — their LP interests are private securities. However, when those same funds are distributed to retail or high-net-worth investors via NSCC-eligible platforms (iCapital, CAIS, wirehouses), a feeder vehicle or SPV is layered on top that does carry a CUSIP.</w:t>
      </w:r>
    </w:p>
    <w:p>
      <w:pPr>
        <w:spacing w:after="0" w:before="80"/>
      </w:pPr>
      <w:r>
        <w:rPr>
          <w:sz w:val="20"/>
          <w:szCs w:val="20"/>
        </w:rPr>
        <w:t xml:space="preserve"/>
      </w:r>
    </w:p>
    <w:p>
      <w:pPr>
        <w:spacing w:after="60" w:before="60"/>
      </w:pPr>
      <w:r>
        <w:rPr>
          <w:b/>
          <w:bCs/>
          <w:i w:val="false"/>
          <w:iCs w:val="false"/>
          <w:color w:val="000000"/>
          <w:sz w:val="20"/>
          <w:szCs w:val="20"/>
        </w:rPr>
        <w:t xml:space="preserve">The four-field set added to 04_offerings.csv captures this distinction at the offering level:</w:t>
      </w:r>
    </w:p>
    <w:p>
      <w:pPr>
        <w:spacing w:after="0" w:before="80"/>
      </w:pPr>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Field</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Type</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Nullable</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Purpose</w:t>
            </w:r>
          </w:p>
        </w:tc>
      </w:tr>
      <w:tr>
        <w:tc>
          <w:tcPr>
            <w:tcW w:type="dxa" w:w="1800"/>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8"/>
                <w:szCs w:val="18"/>
              </w:rPr>
              <w:t xml:space="preserve">cusip</w:t>
            </w:r>
          </w:p>
        </w:tc>
        <w:tc>
          <w:tcPr>
            <w:tcW w:type="dxa" w:w="1600"/>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VARCHAR(9)</w:t>
            </w:r>
          </w:p>
        </w:tc>
        <w:tc>
          <w:tcPr>
            <w:tcW w:type="dxa" w:w="800"/>
            <w:tcBorders>
              <w:top w:val="single" w:color="BFBFBF" w:sz="4"/>
              <w:left w:val="single" w:color="BFBFBF" w:sz="4"/>
              <w:bottom w:val="single" w:color="BFBFBF" w:sz="4"/>
              <w:right w:val="single" w:color="BFBFBF" w:sz="4"/>
            </w:tcBorders>
            <w:vAlign w:val="center"/>
          </w:tcPr>
          <w:p>
            <w:pPr>
              <w:spacing w:after="40" w:before="40"/>
              <w:jc w:val="center"/>
            </w:pPr>
            <w:r>
              <w:rPr>
                <w:b w:val="false"/>
                <w:bCs w:val="false"/>
                <w:i w:val="false"/>
                <w:iCs w:val="false"/>
                <w:color w:val="000000"/>
                <w:sz w:val="18"/>
                <w:szCs w:val="18"/>
              </w:rPr>
              <w:t xml:space="preserve">Y</w:t>
            </w:r>
          </w:p>
        </w:tc>
        <w:tc>
          <w:tcPr>
            <w:tcW w:type="dxa" w:w="5000"/>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9-character CUSIP assigned by CUSIP Global Services. Populated only for NSCC-eligible domestic feeder Class B offerings.</w:t>
            </w:r>
          </w:p>
        </w:tc>
      </w:tr>
      <w:tr>
        <w:tc>
          <w:tcPr>
            <w:tcW w:type="dxa" w:w="1800"/>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8"/>
                <w:szCs w:val="18"/>
              </w:rPr>
              <w:t xml:space="preserve">isin</w:t>
            </w:r>
          </w:p>
        </w:tc>
        <w:tc>
          <w:tcPr>
            <w:tcW w:type="dxa" w:w="1600"/>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VARCHAR(12)</w:t>
            </w:r>
          </w:p>
        </w:tc>
        <w:tc>
          <w:tcPr>
            <w:tcW w:type="dxa" w:w="800"/>
            <w:tcBorders>
              <w:top w:val="single" w:color="BFBFBF" w:sz="4"/>
              <w:left w:val="single" w:color="BFBFBF" w:sz="4"/>
              <w:bottom w:val="single" w:color="BFBFBF" w:sz="4"/>
              <w:right w:val="single" w:color="BFBFBF" w:sz="4"/>
            </w:tcBorders>
            <w:vAlign w:val="center"/>
          </w:tcPr>
          <w:p>
            <w:pPr>
              <w:spacing w:after="40" w:before="40"/>
              <w:jc w:val="center"/>
            </w:pPr>
            <w:r>
              <w:rPr>
                <w:b w:val="false"/>
                <w:bCs w:val="false"/>
                <w:i w:val="false"/>
                <w:iCs w:val="false"/>
                <w:color w:val="000000"/>
                <w:sz w:val="18"/>
                <w:szCs w:val="18"/>
              </w:rPr>
              <w:t xml:space="preserve">Y</w:t>
            </w:r>
          </w:p>
        </w:tc>
        <w:tc>
          <w:tcPr>
            <w:tcW w:type="dxa" w:w="5000"/>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12-character ISIN. US-prefix for domestic feeders (US + CUSIP + check); KY-prefix for Cayman offshore feeders assigned by local registrar.</w:t>
            </w:r>
          </w:p>
        </w:tc>
      </w:tr>
      <w:tr>
        <w:tc>
          <w:tcPr>
            <w:tcW w:type="dxa" w:w="1800"/>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8"/>
                <w:szCs w:val="18"/>
              </w:rPr>
              <w:t xml:space="preserve">reg_d_filing</w:t>
            </w:r>
          </w:p>
        </w:tc>
        <w:tc>
          <w:tcPr>
            <w:tcW w:type="dxa" w:w="1600"/>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CHAR(1)</w:t>
            </w:r>
          </w:p>
        </w:tc>
        <w:tc>
          <w:tcPr>
            <w:tcW w:type="dxa" w:w="800"/>
            <w:tcBorders>
              <w:top w:val="single" w:color="BFBFBF" w:sz="4"/>
              <w:left w:val="single" w:color="BFBFBF" w:sz="4"/>
              <w:bottom w:val="single" w:color="BFBFBF" w:sz="4"/>
              <w:right w:val="single" w:color="BFBFBF" w:sz="4"/>
            </w:tcBorders>
            <w:vAlign w:val="center"/>
          </w:tcPr>
          <w:p>
            <w:pPr>
              <w:spacing w:after="40" w:before="40"/>
              <w:jc w:val="center"/>
            </w:pPr>
            <w:r>
              <w:rPr>
                <w:b w:val="false"/>
                <w:bCs w:val="false"/>
                <w:i w:val="false"/>
                <w:iCs w:val="false"/>
                <w:color w:val="000000"/>
                <w:sz w:val="18"/>
                <w:szCs w:val="18"/>
              </w:rPr>
              <w:t xml:space="preserve">N</w:t>
            </w:r>
          </w:p>
        </w:tc>
        <w:tc>
          <w:tcPr>
            <w:tcW w:type="dxa" w:w="5000"/>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Y = Form D filed with SEC under Regulation D (Rule 506(b) or 506(c)). All domestic offerings must file. Offshore Cayman feeders file N.</w:t>
            </w:r>
          </w:p>
        </w:tc>
      </w:tr>
      <w:tr>
        <w:tc>
          <w:tcPr>
            <w:tcW w:type="dxa" w:w="1800"/>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8"/>
                <w:szCs w:val="18"/>
              </w:rPr>
              <w:t xml:space="preserve">nscc_eligible</w:t>
            </w:r>
          </w:p>
        </w:tc>
        <w:tc>
          <w:tcPr>
            <w:tcW w:type="dxa" w:w="1600"/>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CHAR(1)</w:t>
            </w:r>
          </w:p>
        </w:tc>
        <w:tc>
          <w:tcPr>
            <w:tcW w:type="dxa" w:w="800"/>
            <w:tcBorders>
              <w:top w:val="single" w:color="BFBFBF" w:sz="4"/>
              <w:left w:val="single" w:color="BFBFBF" w:sz="4"/>
              <w:bottom w:val="single" w:color="BFBFBF" w:sz="4"/>
              <w:right w:val="single" w:color="BFBFBF" w:sz="4"/>
            </w:tcBorders>
            <w:vAlign w:val="center"/>
          </w:tcPr>
          <w:p>
            <w:pPr>
              <w:spacing w:after="40" w:before="40"/>
              <w:jc w:val="center"/>
            </w:pPr>
            <w:r>
              <w:rPr>
                <w:b w:val="false"/>
                <w:bCs w:val="false"/>
                <w:i w:val="false"/>
                <w:iCs w:val="false"/>
                <w:color w:val="000000"/>
                <w:sz w:val="18"/>
                <w:szCs w:val="18"/>
              </w:rPr>
              <w:t xml:space="preserve">N</w:t>
            </w:r>
          </w:p>
        </w:tc>
        <w:tc>
          <w:tcPr>
            <w:tcW w:type="dxa" w:w="5000"/>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Y = offering settles through NSCC AIP infrastructure. Requires a CUSIP. Drives whether DST NSCC field is populated on trade records.</w:t>
            </w:r>
          </w:p>
        </w:tc>
      </w:tr>
    </w:tbl>
    <w:p>
      <w:pPr>
        <w:spacing w:after="0" w:before="80"/>
      </w:pPr>
      <w:r>
        <w:rPr>
          <w:sz w:val="20"/>
          <w:szCs w:val="20"/>
        </w:rPr>
        <w:t xml:space="preserve"/>
      </w:r>
    </w:p>
    <w:p>
      <w:pPr>
        <w:pStyle w:val="Heading3"/>
        <w:spacing w:after="80" w:before="220"/>
      </w:pPr>
      <w:r>
        <w:rPr>
          <w:b/>
          <w:bCs/>
          <w:color w:val="1F3864"/>
          <w:sz w:val="22"/>
          <w:szCs w:val="22"/>
        </w:rPr>
        <w:t xml:space="preserve">L.2  CUSIP/ISIN Assignment by Vehicle Type</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gridCol w:w="100"/>
      </w:tblGrid>
      <w:tr>
        <w:trPr>
          <w:tblHeader/>
        </w:trPr>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Vehicle Type</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Share Class</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CUSIP</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ISIN</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Reg D</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NSCC</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Reason</w:t>
            </w:r>
          </w:p>
        </w:tc>
      </w:tr>
      <w:tr>
        <w:tc>
          <w:tcPr>
            <w:tcBorders>
              <w:top w:val="single" w:color="BFBFBF" w:sz="4"/>
              <w:left w:val="single" w:color="BFBFBF" w:sz="4"/>
              <w:bottom w:val="single" w:color="BFBFBF" w:sz="4"/>
              <w:right w:val="single" w:color="BFBFBF" w:sz="4"/>
            </w:tcBorders>
            <w:shd w:fill="D6E4F0" w:color="auto" w:val="clear"/>
            <w:vAlign w:val="center"/>
          </w:tcPr>
          <w:p>
            <w:pPr>
              <w:spacing w:after="40" w:before="40"/>
              <w:jc w:val="left"/>
            </w:pPr>
            <w:r>
              <w:rPr>
                <w:b/>
                <w:bCs/>
                <w:i w:val="false"/>
                <w:iCs w:val="false"/>
                <w:color w:val="000000"/>
                <w:sz w:val="18"/>
                <w:szCs w:val="18"/>
              </w:rPr>
              <w:t xml:space="preserve">Master Fund</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A &amp; B</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iCs/>
                <w:color w:val="888888"/>
                <w:sz w:val="18"/>
                <w:szCs w:val="18"/>
              </w:rPr>
              <w:t xml:space="preserve">None</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iCs/>
                <w:color w:val="888888"/>
                <w:sz w:val="18"/>
                <w:szCs w:val="18"/>
              </w:rPr>
              <w:t xml:space="preserve">None</w:t>
            </w:r>
          </w:p>
        </w:tc>
        <w:tc>
          <w:tcPr>
            <w:tcBorders>
              <w:top w:val="single" w:color="BFBFBF" w:sz="4"/>
              <w:left w:val="single" w:color="BFBFBF" w:sz="4"/>
              <w:bottom w:val="single" w:color="BFBFBF" w:sz="4"/>
              <w:right w:val="single" w:color="BFBFBF" w:sz="4"/>
            </w:tcBorders>
            <w:shd w:fill="D6F0E0" w:color="auto" w:val="clear"/>
            <w:vAlign w:val="center"/>
          </w:tcPr>
          <w:p>
            <w:pPr>
              <w:spacing w:after="40" w:before="40"/>
              <w:jc w:val="center"/>
            </w:pPr>
            <w:r>
              <w:rPr>
                <w:b/>
                <w:bCs/>
                <w:i w:val="false"/>
                <w:iCs w:val="false"/>
                <w:color w:val="1E6B3C"/>
                <w:sz w:val="18"/>
                <w:szCs w:val="18"/>
              </w:rPr>
              <w:t xml:space="preserve">Y</w:t>
            </w:r>
          </w:p>
        </w:tc>
        <w:tc>
          <w:tcPr>
            <w:tcBorders>
              <w:top w:val="single" w:color="BFBFBF" w:sz="4"/>
              <w:left w:val="single" w:color="BFBFBF" w:sz="4"/>
              <w:bottom w:val="single" w:color="BFBFBF" w:sz="4"/>
              <w:right w:val="single" w:color="BFBFBF" w:sz="4"/>
            </w:tcBorders>
            <w:vAlign w:val="center"/>
          </w:tcPr>
          <w:p>
            <w:pPr>
              <w:spacing w:after="40" w:before="40"/>
              <w:jc w:val="center"/>
            </w:pPr>
            <w:r>
              <w:rPr>
                <w:b w:val="false"/>
                <w:bCs w:val="false"/>
                <w:i w:val="false"/>
                <w:iCs w:val="false"/>
                <w:color w:val="000000"/>
                <w:sz w:val="18"/>
                <w:szCs w:val="18"/>
              </w:rPr>
              <w:t xml:space="preserve">N</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Aggregating LP; institutional only; Form D filed by feeder</w:t>
            </w:r>
          </w:p>
        </w:tc>
      </w:tr>
      <w:tr>
        <w:tc>
          <w:tcPr>
            <w:tcBorders>
              <w:top w:val="single" w:color="BFBFBF" w:sz="4"/>
              <w:left w:val="single" w:color="BFBFBF" w:sz="4"/>
              <w:bottom w:val="single" w:color="BFBFBF" w:sz="4"/>
              <w:right w:val="single" w:color="BFBFBF" w:sz="4"/>
            </w:tcBorders>
            <w:shd w:fill="D6E4F0" w:color="auto" w:val="clear"/>
            <w:vAlign w:val="center"/>
          </w:tcPr>
          <w:p>
            <w:pPr>
              <w:spacing w:after="40" w:before="40"/>
              <w:jc w:val="left"/>
            </w:pPr>
            <w:r>
              <w:rPr>
                <w:b/>
                <w:bCs/>
                <w:i w:val="false"/>
                <w:iCs w:val="false"/>
                <w:color w:val="000000"/>
                <w:sz w:val="18"/>
                <w:szCs w:val="18"/>
              </w:rPr>
              <w:t xml:space="preserve">Domestic Feeder</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Class A</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iCs/>
                <w:color w:val="888888"/>
                <w:sz w:val="18"/>
                <w:szCs w:val="18"/>
              </w:rPr>
              <w:t xml:space="preserve">None</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iCs/>
                <w:color w:val="888888"/>
                <w:sz w:val="18"/>
                <w:szCs w:val="18"/>
              </w:rPr>
              <w:t xml:space="preserve">None</w:t>
            </w:r>
          </w:p>
        </w:tc>
        <w:tc>
          <w:tcPr>
            <w:tcBorders>
              <w:top w:val="single" w:color="BFBFBF" w:sz="4"/>
              <w:left w:val="single" w:color="BFBFBF" w:sz="4"/>
              <w:bottom w:val="single" w:color="BFBFBF" w:sz="4"/>
              <w:right w:val="single" w:color="BFBFBF" w:sz="4"/>
            </w:tcBorders>
            <w:shd w:fill="D6F0E0" w:color="auto" w:val="clear"/>
            <w:vAlign w:val="center"/>
          </w:tcPr>
          <w:p>
            <w:pPr>
              <w:spacing w:after="40" w:before="40"/>
              <w:jc w:val="center"/>
            </w:pPr>
            <w:r>
              <w:rPr>
                <w:b/>
                <w:bCs/>
                <w:i w:val="false"/>
                <w:iCs w:val="false"/>
                <w:color w:val="1E6B3C"/>
                <w:sz w:val="18"/>
                <w:szCs w:val="18"/>
              </w:rPr>
              <w:t xml:space="preserve">Y</w:t>
            </w:r>
          </w:p>
        </w:tc>
        <w:tc>
          <w:tcPr>
            <w:tcBorders>
              <w:top w:val="single" w:color="BFBFBF" w:sz="4"/>
              <w:left w:val="single" w:color="BFBFBF" w:sz="4"/>
              <w:bottom w:val="single" w:color="BFBFBF" w:sz="4"/>
              <w:right w:val="single" w:color="BFBFBF" w:sz="4"/>
            </w:tcBorders>
            <w:vAlign w:val="center"/>
          </w:tcPr>
          <w:p>
            <w:pPr>
              <w:spacing w:after="40" w:before="40"/>
              <w:jc w:val="center"/>
            </w:pPr>
            <w:r>
              <w:rPr>
                <w:b w:val="false"/>
                <w:bCs w:val="false"/>
                <w:i w:val="false"/>
                <w:iCs w:val="false"/>
                <w:color w:val="000000"/>
                <w:sz w:val="18"/>
                <w:szCs w:val="18"/>
              </w:rPr>
              <w:t xml:space="preserve">N</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Reg D exempt; $5M minimum; direct institutional LPs</w:t>
            </w:r>
          </w:p>
        </w:tc>
      </w:tr>
      <w:tr>
        <w:tc>
          <w:tcPr>
            <w:tcBorders>
              <w:top w:val="single" w:color="BFBFBF" w:sz="4"/>
              <w:left w:val="single" w:color="BFBFBF" w:sz="4"/>
              <w:bottom w:val="single" w:color="BFBFBF" w:sz="4"/>
              <w:right w:val="single" w:color="BFBFBF" w:sz="4"/>
            </w:tcBorders>
            <w:shd w:fill="D6E4F0" w:color="auto" w:val="clear"/>
            <w:vAlign w:val="center"/>
          </w:tcPr>
          <w:p>
            <w:pPr>
              <w:spacing w:after="40" w:before="40"/>
              <w:jc w:val="left"/>
            </w:pPr>
            <w:r>
              <w:rPr>
                <w:b/>
                <w:bCs/>
                <w:i w:val="false"/>
                <w:iCs w:val="false"/>
                <w:color w:val="000000"/>
                <w:sz w:val="18"/>
                <w:szCs w:val="18"/>
              </w:rPr>
              <w:t xml:space="preserve">Domestic Feeder</w:t>
            </w:r>
          </w:p>
        </w:tc>
        <w:tc>
          <w:tcPr>
            <w:tcBorders>
              <w:top w:val="single" w:color="BFBFBF" w:sz="4"/>
              <w:left w:val="single" w:color="BFBFBF" w:sz="4"/>
              <w:bottom w:val="single" w:color="BFBFBF" w:sz="4"/>
              <w:right w:val="single" w:color="BFBFBF" w:sz="4"/>
            </w:tcBorders>
            <w:vAlign w:val="center"/>
          </w:tcPr>
          <w:p>
            <w:pPr>
              <w:spacing w:after="40" w:before="40"/>
              <w:jc w:val="left"/>
            </w:pPr>
            <w:r>
              <w:rPr>
                <w:b/>
                <w:bCs/>
                <w:i w:val="false"/>
                <w:iCs w:val="false"/>
                <w:color w:val="2E75B6"/>
                <w:sz w:val="18"/>
                <w:szCs w:val="18"/>
              </w:rPr>
              <w:t xml:space="preserve">Class B</w:t>
            </w:r>
          </w:p>
        </w:tc>
        <w:tc>
          <w:tcPr>
            <w:tcBorders>
              <w:top w:val="single" w:color="BFBFBF" w:sz="4"/>
              <w:left w:val="single" w:color="BFBFBF" w:sz="4"/>
              <w:bottom w:val="single" w:color="BFBFBF" w:sz="4"/>
              <w:right w:val="single" w:color="BFBFBF" w:sz="4"/>
            </w:tcBorders>
            <w:shd w:fill="D6F0E0" w:color="auto" w:val="clear"/>
            <w:vAlign w:val="center"/>
          </w:tcPr>
          <w:p>
            <w:pPr>
              <w:spacing w:after="40" w:before="40"/>
              <w:jc w:val="left"/>
            </w:pPr>
            <w:r>
              <w:rPr>
                <w:b/>
                <w:bCs/>
                <w:i w:val="false"/>
                <w:iCs w:val="false"/>
                <w:color w:val="1E6B3C"/>
                <w:sz w:val="18"/>
                <w:szCs w:val="18"/>
              </w:rPr>
              <w:t xml:space="preserve">✓ Assigned</w:t>
            </w:r>
          </w:p>
        </w:tc>
        <w:tc>
          <w:tcPr>
            <w:tcBorders>
              <w:top w:val="single" w:color="BFBFBF" w:sz="4"/>
              <w:left w:val="single" w:color="BFBFBF" w:sz="4"/>
              <w:bottom w:val="single" w:color="BFBFBF" w:sz="4"/>
              <w:right w:val="single" w:color="BFBFBF" w:sz="4"/>
            </w:tcBorders>
            <w:shd w:fill="D6F0E0" w:color="auto" w:val="clear"/>
            <w:vAlign w:val="center"/>
          </w:tcPr>
          <w:p>
            <w:pPr>
              <w:spacing w:after="40" w:before="40"/>
              <w:jc w:val="left"/>
            </w:pPr>
            <w:r>
              <w:rPr>
                <w:b w:val="false"/>
                <w:bCs w:val="false"/>
                <w:i w:val="false"/>
                <w:iCs w:val="false"/>
                <w:color w:val="1E6B3C"/>
                <w:sz w:val="18"/>
                <w:szCs w:val="18"/>
              </w:rPr>
              <w:t xml:space="preserve">US-prefix</w:t>
            </w:r>
          </w:p>
        </w:tc>
        <w:tc>
          <w:tcPr>
            <w:tcBorders>
              <w:top w:val="single" w:color="BFBFBF" w:sz="4"/>
              <w:left w:val="single" w:color="BFBFBF" w:sz="4"/>
              <w:bottom w:val="single" w:color="BFBFBF" w:sz="4"/>
              <w:right w:val="single" w:color="BFBFBF" w:sz="4"/>
            </w:tcBorders>
            <w:shd w:fill="D6F0E0" w:color="auto" w:val="clear"/>
            <w:vAlign w:val="center"/>
          </w:tcPr>
          <w:p>
            <w:pPr>
              <w:spacing w:after="40" w:before="40"/>
              <w:jc w:val="center"/>
            </w:pPr>
            <w:r>
              <w:rPr>
                <w:b/>
                <w:bCs/>
                <w:i w:val="false"/>
                <w:iCs w:val="false"/>
                <w:color w:val="1E6B3C"/>
                <w:sz w:val="18"/>
                <w:szCs w:val="18"/>
              </w:rPr>
              <w:t xml:space="preserve">Y</w:t>
            </w:r>
          </w:p>
        </w:tc>
        <w:tc>
          <w:tcPr>
            <w:tcBorders>
              <w:top w:val="single" w:color="BFBFBF" w:sz="4"/>
              <w:left w:val="single" w:color="BFBFBF" w:sz="4"/>
              <w:bottom w:val="single" w:color="BFBFBF" w:sz="4"/>
              <w:right w:val="single" w:color="BFBFBF" w:sz="4"/>
            </w:tcBorders>
            <w:shd w:fill="D6F0E0" w:color="auto" w:val="clear"/>
            <w:vAlign w:val="center"/>
          </w:tcPr>
          <w:p>
            <w:pPr>
              <w:spacing w:after="40" w:before="40"/>
              <w:jc w:val="center"/>
            </w:pPr>
            <w:r>
              <w:rPr>
                <w:b/>
                <w:bCs/>
                <w:i w:val="false"/>
                <w:iCs w:val="false"/>
                <w:color w:val="1E6B3C"/>
                <w:sz w:val="18"/>
                <w:szCs w:val="18"/>
              </w:rPr>
              <w:t xml:space="preserve">Y</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Distributed via iCapital/CAIS/wirehouses through NSCC AIP; CUSIP required for clearing</w:t>
            </w:r>
          </w:p>
        </w:tc>
      </w:tr>
      <w:tr>
        <w:tc>
          <w:tcPr>
            <w:tcBorders>
              <w:top w:val="single" w:color="BFBFBF" w:sz="4"/>
              <w:left w:val="single" w:color="BFBFBF" w:sz="4"/>
              <w:bottom w:val="single" w:color="BFBFBF" w:sz="4"/>
              <w:right w:val="single" w:color="BFBFBF" w:sz="4"/>
            </w:tcBorders>
            <w:shd w:fill="D6E4F0" w:color="auto" w:val="clear"/>
            <w:vAlign w:val="center"/>
          </w:tcPr>
          <w:p>
            <w:pPr>
              <w:spacing w:after="40" w:before="40"/>
              <w:jc w:val="left"/>
            </w:pPr>
            <w:r>
              <w:rPr>
                <w:b/>
                <w:bCs/>
                <w:i w:val="false"/>
                <w:iCs w:val="false"/>
                <w:color w:val="000000"/>
                <w:sz w:val="18"/>
                <w:szCs w:val="18"/>
              </w:rPr>
              <w:t xml:space="preserve">Offshore Feeder</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A &amp; B</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iCs/>
                <w:color w:val="888888"/>
                <w:sz w:val="18"/>
                <w:szCs w:val="18"/>
              </w:rPr>
              <w:t xml:space="preserve">None</w:t>
            </w:r>
          </w:p>
        </w:tc>
        <w:tc>
          <w:tcPr>
            <w:tcBorders>
              <w:top w:val="single" w:color="BFBFBF" w:sz="4"/>
              <w:left w:val="single" w:color="BFBFBF" w:sz="4"/>
              <w:bottom w:val="single" w:color="BFBFBF" w:sz="4"/>
              <w:right w:val="single" w:color="BFBFBF" w:sz="4"/>
            </w:tcBorders>
            <w:shd w:fill="FFF3CD" w:color="auto" w:val="clear"/>
            <w:vAlign w:val="center"/>
          </w:tcPr>
          <w:p>
            <w:pPr>
              <w:spacing w:after="40" w:before="40"/>
              <w:jc w:val="left"/>
            </w:pPr>
            <w:r>
              <w:rPr>
                <w:b w:val="false"/>
                <w:bCs w:val="false"/>
                <w:i w:val="false"/>
                <w:iCs w:val="false"/>
                <w:color w:val="7B4F00"/>
                <w:sz w:val="18"/>
                <w:szCs w:val="18"/>
              </w:rPr>
              <w:t xml:space="preserve">KY-prefix</w:t>
            </w:r>
          </w:p>
        </w:tc>
        <w:tc>
          <w:tcPr>
            <w:tcBorders>
              <w:top w:val="single" w:color="BFBFBF" w:sz="4"/>
              <w:left w:val="single" w:color="BFBFBF" w:sz="4"/>
              <w:bottom w:val="single" w:color="BFBFBF" w:sz="4"/>
              <w:right w:val="single" w:color="BFBFBF" w:sz="4"/>
            </w:tcBorders>
            <w:vAlign w:val="center"/>
          </w:tcPr>
          <w:p>
            <w:pPr>
              <w:spacing w:after="40" w:before="40"/>
              <w:jc w:val="center"/>
            </w:pPr>
            <w:r>
              <w:rPr>
                <w:b w:val="false"/>
                <w:bCs w:val="false"/>
                <w:i w:val="false"/>
                <w:iCs w:val="false"/>
                <w:color w:val="000000"/>
                <w:sz w:val="18"/>
                <w:szCs w:val="18"/>
              </w:rPr>
              <w:t xml:space="preserve">N</w:t>
            </w:r>
          </w:p>
        </w:tc>
        <w:tc>
          <w:tcPr>
            <w:tcBorders>
              <w:top w:val="single" w:color="BFBFBF" w:sz="4"/>
              <w:left w:val="single" w:color="BFBFBF" w:sz="4"/>
              <w:bottom w:val="single" w:color="BFBFBF" w:sz="4"/>
              <w:right w:val="single" w:color="BFBFBF" w:sz="4"/>
            </w:tcBorders>
            <w:vAlign w:val="center"/>
          </w:tcPr>
          <w:p>
            <w:pPr>
              <w:spacing w:after="40" w:before="40"/>
              <w:jc w:val="center"/>
            </w:pPr>
            <w:r>
              <w:rPr>
                <w:b w:val="false"/>
                <w:bCs w:val="false"/>
                <w:i w:val="false"/>
                <w:iCs w:val="false"/>
                <w:color w:val="000000"/>
                <w:sz w:val="18"/>
                <w:szCs w:val="18"/>
              </w:rPr>
              <w:t xml:space="preserve">N</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Cayman LP; Reg S exempt; ISIN from Cayman Islands Stock Exchange registrar; no NSCC</w:t>
            </w:r>
          </w:p>
        </w:tc>
      </w:tr>
    </w:tbl>
    <w:p>
      <w:pPr>
        <w:spacing w:after="0" w:before="80"/>
      </w:pPr>
      <w:r>
        <w:rPr>
          <w:sz w:val="20"/>
          <w:szCs w:val="20"/>
        </w:rPr>
        <w:t xml:space="preserve"/>
      </w:r>
    </w:p>
    <w:p>
      <w:pPr>
        <w:pStyle w:val="Heading3"/>
        <w:spacing w:after="80" w:before="220"/>
      </w:pPr>
      <w:r>
        <w:rPr>
          <w:b/>
          <w:bCs/>
          <w:color w:val="1F3864"/>
          <w:sz w:val="22"/>
          <w:szCs w:val="22"/>
        </w:rPr>
        <w:t xml:space="preserve">L.3  AMC Capital Sample CUSIPs and ISINs</w:t>
      </w:r>
    </w:p>
    <w:p>
      <w:pPr>
        <w:spacing w:after="60" w:before="60"/>
      </w:pPr>
      <w:r>
        <w:rPr>
          <w:b w:val="false"/>
          <w:bCs w:val="false"/>
          <w:i w:val="false"/>
          <w:iCs w:val="false"/>
          <w:color w:val="000000"/>
          <w:sz w:val="20"/>
          <w:szCs w:val="20"/>
        </w:rPr>
        <w:t xml:space="preserve">The following extract from 04_offerings.csv shows the CUSIP/ISIN population for AMC Capital funds. CUSIP issuer prefix 00827A is assigned to AMC Capital Management LP (fictional). Cayman ISIN prefix G0041A is a fictional registrar code.</w:t>
      </w:r>
    </w:p>
    <w:p>
      <w:pPr>
        <w:spacing w:after="0" w:before="80"/>
      </w:pPr>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tblGrid>
      <w:tr>
        <w:trPr>
          <w:tblHeader/>
        </w:trPr>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Offering ID</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Offering Name</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CUSIP</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ISIN</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Reg D</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NSCC</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bCs/>
                <w:i w:val="false"/>
                <w:iCs w:val="false"/>
                <w:color w:val="2E75B6"/>
                <w:sz w:val="16"/>
                <w:szCs w:val="16"/>
              </w:rPr>
              <w:t xml:space="preserve">FUND-ABF-IX-DOM-B</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000000"/>
                <w:sz w:val="16"/>
                <w:szCs w:val="16"/>
              </w:rPr>
              <w:t xml:space="preserve">AMC Buyout Fund IX — Dom. Feeder — Class B</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1E6B3C"/>
                <w:sz w:val="16"/>
                <w:szCs w:val="16"/>
              </w:rPr>
              <w:t xml:space="preserve">00827A109</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1E6B3C"/>
                <w:sz w:val="16"/>
                <w:szCs w:val="16"/>
              </w:rPr>
              <w:t xml:space="preserve">US00827A1096</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000000"/>
                <w:sz w:val="16"/>
                <w:szCs w:val="16"/>
              </w:rPr>
              <w:t xml:space="preserve">Y</w:t>
            </w:r>
          </w:p>
        </w:tc>
        <w:tc>
          <w:tcPr>
            <w:tcBorders>
              <w:top w:val="single" w:color="BFBFBF" w:sz="4"/>
              <w:left w:val="single" w:color="BFBFBF" w:sz="4"/>
              <w:bottom w:val="single" w:color="BFBFBF" w:sz="4"/>
              <w:right w:val="single" w:color="BFBFBF" w:sz="4"/>
            </w:tcBorders>
            <w:shd w:fill="D6F0E0" w:color="auto" w:val="clear"/>
            <w:vAlign w:val="center"/>
          </w:tcPr>
          <w:p>
            <w:pPr>
              <w:spacing w:after="40" w:before="40"/>
              <w:jc w:val="center"/>
            </w:pPr>
            <w:r>
              <w:rPr>
                <w:b/>
                <w:bCs/>
                <w:i w:val="false"/>
                <w:iCs w:val="false"/>
                <w:color w:val="1E6B3C"/>
                <w:sz w:val="16"/>
                <w:szCs w:val="16"/>
              </w:rPr>
              <w:t xml:space="preserve">Y</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2E75B6"/>
                <w:sz w:val="16"/>
                <w:szCs w:val="16"/>
              </w:rPr>
              <w:t xml:space="preserve">FUND-ABF-X-DOM-B</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6"/>
                <w:szCs w:val="16"/>
              </w:rPr>
              <w:t xml:space="preserve">AMC Buyout Fund X — Dom. Feeder — Class B</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1E6B3C"/>
                <w:sz w:val="16"/>
                <w:szCs w:val="16"/>
              </w:rPr>
              <w:t xml:space="preserve">00827A110</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1E6B3C"/>
                <w:sz w:val="16"/>
                <w:szCs w:val="16"/>
              </w:rPr>
              <w:t xml:space="preserve">US00827A1108</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000000"/>
                <w:sz w:val="16"/>
                <w:szCs w:val="16"/>
              </w:rPr>
              <w:t xml:space="preserve">Y</w:t>
            </w:r>
          </w:p>
        </w:tc>
        <w:tc>
          <w:tcPr>
            <w:tcBorders>
              <w:top w:val="single" w:color="BFBFBF" w:sz="4"/>
              <w:left w:val="single" w:color="BFBFBF" w:sz="4"/>
              <w:bottom w:val="single" w:color="BFBFBF" w:sz="4"/>
              <w:right w:val="single" w:color="BFBFBF" w:sz="4"/>
            </w:tcBorders>
            <w:shd w:fill="D6F0E0" w:color="auto" w:val="clear"/>
            <w:vAlign w:val="center"/>
          </w:tcPr>
          <w:p>
            <w:pPr>
              <w:spacing w:after="40" w:before="40"/>
              <w:jc w:val="center"/>
            </w:pPr>
            <w:r>
              <w:rPr>
                <w:b/>
                <w:bCs/>
                <w:i w:val="false"/>
                <w:iCs w:val="false"/>
                <w:color w:val="1E6B3C"/>
                <w:sz w:val="16"/>
                <w:szCs w:val="16"/>
              </w:rPr>
              <w:t xml:space="preserve">Y</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bCs/>
                <w:i w:val="false"/>
                <w:iCs w:val="false"/>
                <w:color w:val="2E75B6"/>
                <w:sz w:val="16"/>
                <w:szCs w:val="16"/>
              </w:rPr>
              <w:t xml:space="preserve">FUND-ACO-IV-DOM-B</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000000"/>
                <w:sz w:val="16"/>
                <w:szCs w:val="16"/>
              </w:rPr>
              <w:t xml:space="preserve">AMC Credit Opps IV — Dom. Feeder — Class B</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1E6B3C"/>
                <w:sz w:val="16"/>
                <w:szCs w:val="16"/>
              </w:rPr>
              <w:t xml:space="preserve">00827A121</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1E6B3C"/>
                <w:sz w:val="16"/>
                <w:szCs w:val="16"/>
              </w:rPr>
              <w:t xml:space="preserve">US00827A1210</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000000"/>
                <w:sz w:val="16"/>
                <w:szCs w:val="16"/>
              </w:rPr>
              <w:t xml:space="preserve">Y</w:t>
            </w:r>
          </w:p>
        </w:tc>
        <w:tc>
          <w:tcPr>
            <w:tcBorders>
              <w:top w:val="single" w:color="BFBFBF" w:sz="4"/>
              <w:left w:val="single" w:color="BFBFBF" w:sz="4"/>
              <w:bottom w:val="single" w:color="BFBFBF" w:sz="4"/>
              <w:right w:val="single" w:color="BFBFBF" w:sz="4"/>
            </w:tcBorders>
            <w:shd w:fill="D6F0E0" w:color="auto" w:val="clear"/>
            <w:vAlign w:val="center"/>
          </w:tcPr>
          <w:p>
            <w:pPr>
              <w:spacing w:after="40" w:before="40"/>
              <w:jc w:val="center"/>
            </w:pPr>
            <w:r>
              <w:rPr>
                <w:b/>
                <w:bCs/>
                <w:i w:val="false"/>
                <w:iCs w:val="false"/>
                <w:color w:val="1E6B3C"/>
                <w:sz w:val="16"/>
                <w:szCs w:val="16"/>
              </w:rPr>
              <w:t xml:space="preserve">Y</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2E75B6"/>
                <w:sz w:val="16"/>
                <w:szCs w:val="16"/>
              </w:rPr>
              <w:t xml:space="preserve">FUND-ACO-V-DOM-B</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6"/>
                <w:szCs w:val="16"/>
              </w:rPr>
              <w:t xml:space="preserve">AMC Credit Opps V — Dom. Feeder — Class B</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1E6B3C"/>
                <w:sz w:val="16"/>
                <w:szCs w:val="16"/>
              </w:rPr>
              <w:t xml:space="preserve">00827A132</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1E6B3C"/>
                <w:sz w:val="16"/>
                <w:szCs w:val="16"/>
              </w:rPr>
              <w:t xml:space="preserve">US00827A1322</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000000"/>
                <w:sz w:val="16"/>
                <w:szCs w:val="16"/>
              </w:rPr>
              <w:t xml:space="preserve">Y</w:t>
            </w:r>
          </w:p>
        </w:tc>
        <w:tc>
          <w:tcPr>
            <w:tcBorders>
              <w:top w:val="single" w:color="BFBFBF" w:sz="4"/>
              <w:left w:val="single" w:color="BFBFBF" w:sz="4"/>
              <w:bottom w:val="single" w:color="BFBFBF" w:sz="4"/>
              <w:right w:val="single" w:color="BFBFBF" w:sz="4"/>
            </w:tcBorders>
            <w:shd w:fill="D6F0E0" w:color="auto" w:val="clear"/>
            <w:vAlign w:val="center"/>
          </w:tcPr>
          <w:p>
            <w:pPr>
              <w:spacing w:after="40" w:before="40"/>
              <w:jc w:val="center"/>
            </w:pPr>
            <w:r>
              <w:rPr>
                <w:b/>
                <w:bCs/>
                <w:i w:val="false"/>
                <w:iCs w:val="false"/>
                <w:color w:val="1E6B3C"/>
                <w:sz w:val="16"/>
                <w:szCs w:val="16"/>
              </w:rPr>
              <w:t xml:space="preserve">Y</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bCs/>
                <w:i w:val="false"/>
                <w:iCs w:val="false"/>
                <w:color w:val="2E75B6"/>
                <w:sz w:val="16"/>
                <w:szCs w:val="16"/>
              </w:rPr>
              <w:t xml:space="preserve">FUND-ARA-III-DOM-B</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000000"/>
                <w:sz w:val="16"/>
                <w:szCs w:val="16"/>
              </w:rPr>
              <w:t xml:space="preserve">AMC Real Assets III — Dom. Feeder — Class B</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1E6B3C"/>
                <w:sz w:val="16"/>
                <w:szCs w:val="16"/>
              </w:rPr>
              <w:t xml:space="preserve">00827A143</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1E6B3C"/>
                <w:sz w:val="16"/>
                <w:szCs w:val="16"/>
              </w:rPr>
              <w:t xml:space="preserve">US00827A1434</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000000"/>
                <w:sz w:val="16"/>
                <w:szCs w:val="16"/>
              </w:rPr>
              <w:t xml:space="preserve">Y</w:t>
            </w:r>
          </w:p>
        </w:tc>
        <w:tc>
          <w:tcPr>
            <w:tcBorders>
              <w:top w:val="single" w:color="BFBFBF" w:sz="4"/>
              <w:left w:val="single" w:color="BFBFBF" w:sz="4"/>
              <w:bottom w:val="single" w:color="BFBFBF" w:sz="4"/>
              <w:right w:val="single" w:color="BFBFBF" w:sz="4"/>
            </w:tcBorders>
            <w:shd w:fill="D6F0E0" w:color="auto" w:val="clear"/>
            <w:vAlign w:val="center"/>
          </w:tcPr>
          <w:p>
            <w:pPr>
              <w:spacing w:after="40" w:before="40"/>
              <w:jc w:val="center"/>
            </w:pPr>
            <w:r>
              <w:rPr>
                <w:b/>
                <w:bCs/>
                <w:i w:val="false"/>
                <w:iCs w:val="false"/>
                <w:color w:val="1E6B3C"/>
                <w:sz w:val="16"/>
                <w:szCs w:val="16"/>
              </w:rPr>
              <w:t xml:space="preserve">Y</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2E75B6"/>
                <w:sz w:val="16"/>
                <w:szCs w:val="16"/>
              </w:rPr>
              <w:t xml:space="preserve">FUND-ARA-IV-DOM-B</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6"/>
                <w:szCs w:val="16"/>
              </w:rPr>
              <w:t xml:space="preserve">AMC Real Assets IV — Dom. Feeder — Class B</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1E6B3C"/>
                <w:sz w:val="16"/>
                <w:szCs w:val="16"/>
              </w:rPr>
              <w:t xml:space="preserve">00827A154</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1E6B3C"/>
                <w:sz w:val="16"/>
                <w:szCs w:val="16"/>
              </w:rPr>
              <w:t xml:space="preserve">US00827A1546</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000000"/>
                <w:sz w:val="16"/>
                <w:szCs w:val="16"/>
              </w:rPr>
              <w:t xml:space="preserve">Y</w:t>
            </w:r>
          </w:p>
        </w:tc>
        <w:tc>
          <w:tcPr>
            <w:tcBorders>
              <w:top w:val="single" w:color="BFBFBF" w:sz="4"/>
              <w:left w:val="single" w:color="BFBFBF" w:sz="4"/>
              <w:bottom w:val="single" w:color="BFBFBF" w:sz="4"/>
              <w:right w:val="single" w:color="BFBFBF" w:sz="4"/>
            </w:tcBorders>
            <w:shd w:fill="D6F0E0" w:color="auto" w:val="clear"/>
            <w:vAlign w:val="center"/>
          </w:tcPr>
          <w:p>
            <w:pPr>
              <w:spacing w:after="40" w:before="40"/>
              <w:jc w:val="center"/>
            </w:pPr>
            <w:r>
              <w:rPr>
                <w:b/>
                <w:bCs/>
                <w:i w:val="false"/>
                <w:iCs w:val="false"/>
                <w:color w:val="1E6B3C"/>
                <w:sz w:val="16"/>
                <w:szCs w:val="16"/>
              </w:rPr>
              <w:t xml:space="preserve">Y</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bCs/>
                <w:i w:val="false"/>
                <w:iCs w:val="false"/>
                <w:color w:val="2E75B6"/>
                <w:sz w:val="16"/>
                <w:szCs w:val="16"/>
              </w:rPr>
              <w:t xml:space="preserve">FUND-AIP-II-DOM-B</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000000"/>
                <w:sz w:val="16"/>
                <w:szCs w:val="16"/>
              </w:rPr>
              <w:t xml:space="preserve">AMC Infra Partners II — Dom. Feeder — Class B</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1E6B3C"/>
                <w:sz w:val="16"/>
                <w:szCs w:val="16"/>
              </w:rPr>
              <w:t xml:space="preserve">00827A165</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1E6B3C"/>
                <w:sz w:val="16"/>
                <w:szCs w:val="16"/>
              </w:rPr>
              <w:t xml:space="preserve">US00827A1658</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000000"/>
                <w:sz w:val="16"/>
                <w:szCs w:val="16"/>
              </w:rPr>
              <w:t xml:space="preserve">Y</w:t>
            </w:r>
          </w:p>
        </w:tc>
        <w:tc>
          <w:tcPr>
            <w:tcBorders>
              <w:top w:val="single" w:color="BFBFBF" w:sz="4"/>
              <w:left w:val="single" w:color="BFBFBF" w:sz="4"/>
              <w:bottom w:val="single" w:color="BFBFBF" w:sz="4"/>
              <w:right w:val="single" w:color="BFBFBF" w:sz="4"/>
            </w:tcBorders>
            <w:shd w:fill="D6F0E0" w:color="auto" w:val="clear"/>
            <w:vAlign w:val="center"/>
          </w:tcPr>
          <w:p>
            <w:pPr>
              <w:spacing w:after="40" w:before="40"/>
              <w:jc w:val="center"/>
            </w:pPr>
            <w:r>
              <w:rPr>
                <w:b/>
                <w:bCs/>
                <w:i w:val="false"/>
                <w:iCs w:val="false"/>
                <w:color w:val="1E6B3C"/>
                <w:sz w:val="16"/>
                <w:szCs w:val="16"/>
              </w:rPr>
              <w:t xml:space="preserve">Y</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2E75B6"/>
                <w:sz w:val="16"/>
                <w:szCs w:val="16"/>
              </w:rPr>
              <w:t xml:space="preserve">FUND-AIP-III-DOM-B</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6"/>
                <w:szCs w:val="16"/>
              </w:rPr>
              <w:t xml:space="preserve">AMC Infra Partners III — Dom. Feeder — Class B</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1E6B3C"/>
                <w:sz w:val="16"/>
                <w:szCs w:val="16"/>
              </w:rPr>
              <w:t xml:space="preserve">00827A176</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1E6B3C"/>
                <w:sz w:val="16"/>
                <w:szCs w:val="16"/>
              </w:rPr>
              <w:t xml:space="preserve">US00827A1760</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000000"/>
                <w:sz w:val="16"/>
                <w:szCs w:val="16"/>
              </w:rPr>
              <w:t xml:space="preserve">Y</w:t>
            </w:r>
          </w:p>
        </w:tc>
        <w:tc>
          <w:tcPr>
            <w:tcBorders>
              <w:top w:val="single" w:color="BFBFBF" w:sz="4"/>
              <w:left w:val="single" w:color="BFBFBF" w:sz="4"/>
              <w:bottom w:val="single" w:color="BFBFBF" w:sz="4"/>
              <w:right w:val="single" w:color="BFBFBF" w:sz="4"/>
            </w:tcBorders>
            <w:shd w:fill="D6F0E0" w:color="auto" w:val="clear"/>
            <w:vAlign w:val="center"/>
          </w:tcPr>
          <w:p>
            <w:pPr>
              <w:spacing w:after="40" w:before="40"/>
              <w:jc w:val="center"/>
            </w:pPr>
            <w:r>
              <w:rPr>
                <w:b/>
                <w:bCs/>
                <w:i w:val="false"/>
                <w:iCs w:val="false"/>
                <w:color w:val="1E6B3C"/>
                <w:sz w:val="16"/>
                <w:szCs w:val="16"/>
              </w:rPr>
              <w:t xml:space="preserve">Y</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bCs/>
                <w:i w:val="false"/>
                <w:iCs w:val="false"/>
                <w:color w:val="2E75B6"/>
                <w:sz w:val="16"/>
                <w:szCs w:val="16"/>
              </w:rPr>
              <w:t xml:space="preserve">FUND-AGE-I-DOM-B</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000000"/>
                <w:sz w:val="16"/>
                <w:szCs w:val="16"/>
              </w:rPr>
              <w:t xml:space="preserve">AMC Growth Equity I — Dom. Feeder — Class B</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1E6B3C"/>
                <w:sz w:val="16"/>
                <w:szCs w:val="16"/>
              </w:rPr>
              <w:t xml:space="preserve">00827A187</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1E6B3C"/>
                <w:sz w:val="16"/>
                <w:szCs w:val="16"/>
              </w:rPr>
              <w:t xml:space="preserve">US00827A1872</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000000"/>
                <w:sz w:val="16"/>
                <w:szCs w:val="16"/>
              </w:rPr>
              <w:t xml:space="preserve">Y</w:t>
            </w:r>
          </w:p>
        </w:tc>
        <w:tc>
          <w:tcPr>
            <w:tcBorders>
              <w:top w:val="single" w:color="BFBFBF" w:sz="4"/>
              <w:left w:val="single" w:color="BFBFBF" w:sz="4"/>
              <w:bottom w:val="single" w:color="BFBFBF" w:sz="4"/>
              <w:right w:val="single" w:color="BFBFBF" w:sz="4"/>
            </w:tcBorders>
            <w:shd w:fill="D6F0E0" w:color="auto" w:val="clear"/>
            <w:vAlign w:val="center"/>
          </w:tcPr>
          <w:p>
            <w:pPr>
              <w:spacing w:after="40" w:before="40"/>
              <w:jc w:val="center"/>
            </w:pPr>
            <w:r>
              <w:rPr>
                <w:b/>
                <w:bCs/>
                <w:i w:val="false"/>
                <w:iCs w:val="false"/>
                <w:color w:val="1E6B3C"/>
                <w:sz w:val="16"/>
                <w:szCs w:val="16"/>
              </w:rPr>
              <w:t xml:space="preserve">Y</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2E75B6"/>
                <w:sz w:val="16"/>
                <w:szCs w:val="16"/>
              </w:rPr>
              <w:t xml:space="preserve">FUND-AGE-II-DOM-B</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6"/>
                <w:szCs w:val="16"/>
              </w:rPr>
              <w:t xml:space="preserve">AMC Growth Equity II — Dom. Feeder — Class B</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1E6B3C"/>
                <w:sz w:val="16"/>
                <w:szCs w:val="16"/>
              </w:rPr>
              <w:t xml:space="preserve">00827A198</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1E6B3C"/>
                <w:sz w:val="16"/>
                <w:szCs w:val="16"/>
              </w:rPr>
              <w:t xml:space="preserve">US00827A1984</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000000"/>
                <w:sz w:val="16"/>
                <w:szCs w:val="16"/>
              </w:rPr>
              <w:t xml:space="preserve">Y</w:t>
            </w:r>
          </w:p>
        </w:tc>
        <w:tc>
          <w:tcPr>
            <w:tcBorders>
              <w:top w:val="single" w:color="BFBFBF" w:sz="4"/>
              <w:left w:val="single" w:color="BFBFBF" w:sz="4"/>
              <w:bottom w:val="single" w:color="BFBFBF" w:sz="4"/>
              <w:right w:val="single" w:color="BFBFBF" w:sz="4"/>
            </w:tcBorders>
            <w:shd w:fill="D6F0E0" w:color="auto" w:val="clear"/>
            <w:vAlign w:val="center"/>
          </w:tcPr>
          <w:p>
            <w:pPr>
              <w:spacing w:after="40" w:before="40"/>
              <w:jc w:val="center"/>
            </w:pPr>
            <w:r>
              <w:rPr>
                <w:b/>
                <w:bCs/>
                <w:i w:val="false"/>
                <w:iCs w:val="false"/>
                <w:color w:val="1E6B3C"/>
                <w:sz w:val="16"/>
                <w:szCs w:val="16"/>
              </w:rPr>
              <w:t xml:space="preserve">Y</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bCs/>
                <w:i w:val="false"/>
                <w:iCs w:val="false"/>
                <w:color w:val="2E75B6"/>
                <w:sz w:val="16"/>
                <w:szCs w:val="16"/>
              </w:rPr>
              <w:t xml:space="preserve">FUND-ABF-IX-OFF-A</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000000"/>
                <w:sz w:val="16"/>
                <w:szCs w:val="16"/>
              </w:rPr>
              <w:t xml:space="preserve">AMC Buyout Fund IX — Offshore Feeder — Class A</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iCs/>
                <w:color w:val="888888"/>
                <w:sz w:val="16"/>
                <w:szCs w:val="16"/>
              </w:rPr>
              <w:t xml:space="preserve">—</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7B4F00"/>
                <w:sz w:val="16"/>
                <w:szCs w:val="16"/>
              </w:rPr>
              <w:t xml:space="preserve">KYG0041A00308</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000000"/>
                <w:sz w:val="16"/>
                <w:szCs w:val="16"/>
              </w:rPr>
              <w:t xml:space="preserve">N</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000000"/>
                <w:sz w:val="16"/>
                <w:szCs w:val="16"/>
              </w:rPr>
              <w:t xml:space="preserve">N</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2E75B6"/>
                <w:sz w:val="16"/>
                <w:szCs w:val="16"/>
              </w:rPr>
              <w:t xml:space="preserve">FUND-ABF-IX-OFF-B</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6"/>
                <w:szCs w:val="16"/>
              </w:rPr>
              <w:t xml:space="preserve">AMC Buyout Fund IX — Offshore Feeder — Class B</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iCs/>
                <w:color w:val="888888"/>
                <w:sz w:val="16"/>
                <w:szCs w:val="16"/>
              </w:rPr>
              <w:t xml:space="preserve">—</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7B4F00"/>
                <w:sz w:val="16"/>
                <w:szCs w:val="16"/>
              </w:rPr>
              <w:t xml:space="preserve">KYG0041A00319</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000000"/>
                <w:sz w:val="16"/>
                <w:szCs w:val="16"/>
              </w:rPr>
              <w:t xml:space="preserve">N</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000000"/>
                <w:sz w:val="16"/>
                <w:szCs w:val="16"/>
              </w:rPr>
              <w:t xml:space="preserve">N</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bCs/>
                <w:i w:val="false"/>
                <w:iCs w:val="false"/>
                <w:color w:val="2E75B6"/>
                <w:sz w:val="16"/>
                <w:szCs w:val="16"/>
              </w:rPr>
              <w:t xml:space="preserve">FUND-ACO-IV-OFF-A</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000000"/>
                <w:sz w:val="16"/>
                <w:szCs w:val="16"/>
              </w:rPr>
              <w:t xml:space="preserve">AMC Credit Opps IV — Offshore Feeder — Class A</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iCs/>
                <w:color w:val="888888"/>
                <w:sz w:val="16"/>
                <w:szCs w:val="16"/>
              </w:rPr>
              <w:t xml:space="preserve">—</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7B4F00"/>
                <w:sz w:val="16"/>
                <w:szCs w:val="16"/>
              </w:rPr>
              <w:t xml:space="preserve">KYG0041A00320</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000000"/>
                <w:sz w:val="16"/>
                <w:szCs w:val="16"/>
              </w:rPr>
              <w:t xml:space="preserve">N</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000000"/>
                <w:sz w:val="16"/>
                <w:szCs w:val="16"/>
              </w:rPr>
              <w:t xml:space="preserve">N</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2E75B6"/>
                <w:sz w:val="16"/>
                <w:szCs w:val="16"/>
              </w:rPr>
              <w:t xml:space="preserve">FUND-ACO-IV-OFF-B</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6"/>
                <w:szCs w:val="16"/>
              </w:rPr>
              <w:t xml:space="preserve">AMC Credit Opps IV — Offshore Feeder — Class B</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iCs/>
                <w:color w:val="888888"/>
                <w:sz w:val="16"/>
                <w:szCs w:val="16"/>
              </w:rPr>
              <w:t xml:space="preserve">—</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7B4F00"/>
                <w:sz w:val="16"/>
                <w:szCs w:val="16"/>
              </w:rPr>
              <w:t xml:space="preserve">KYG0041A00331</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000000"/>
                <w:sz w:val="16"/>
                <w:szCs w:val="16"/>
              </w:rPr>
              <w:t xml:space="preserve">N</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000000"/>
                <w:sz w:val="16"/>
                <w:szCs w:val="16"/>
              </w:rPr>
              <w:t xml:space="preserve">N</w:t>
            </w:r>
          </w:p>
        </w:tc>
      </w:tr>
    </w:tbl>
    <w:p>
      <w:pPr>
        <w:spacing w:after="0" w:before="80"/>
      </w:pPr>
      <w:r>
        <w:rPr>
          <w:sz w:val="20"/>
          <w:szCs w:val="20"/>
        </w:rPr>
        <w:t xml:space="preserve"/>
      </w:r>
    </w:p>
    <w:p>
      <w:pPr>
        <w:pStyle w:val="Heading3"/>
        <w:spacing w:after="80" w:before="220"/>
      </w:pPr>
      <w:r>
        <w:rPr>
          <w:b/>
          <w:bCs/>
          <w:color w:val="1F3864"/>
          <w:sz w:val="22"/>
          <w:szCs w:val="22"/>
        </w:rPr>
        <w:t xml:space="preserve">L.4  How CUSIP Flows Through NSCC AIP to DST</w:t>
      </w:r>
    </w:p>
    <w:p>
      <w:pPr>
        <w:spacing w:after="60" w:before="60"/>
      </w:pPr>
      <w:r>
        <w:rPr>
          <w:b w:val="false"/>
          <w:bCs w:val="false"/>
          <w:i w:val="false"/>
          <w:iCs w:val="false"/>
          <w:color w:val="000000"/>
          <w:sz w:val="20"/>
          <w:szCs w:val="20"/>
        </w:rPr>
        <w:t xml:space="preserve">When a wirehouse or platform submits a subscription for an NSCC-eligible offering, the CUSIP is the key that ties the trade record across all systems:</w:t>
      </w:r>
    </w:p>
    <w:p>
      <w:pPr>
        <w:spacing w:after="0" w:before="80"/>
      </w:pPr>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Step</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System</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Field</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Value Example</w:t>
            </w:r>
          </w:p>
        </w:tc>
      </w:tr>
      <w:tr>
        <w:tc>
          <w:tcPr>
            <w:tcW w:type="dxa" w:w="600"/>
            <w:tcBorders>
              <w:top w:val="single" w:color="BFBFBF" w:sz="4"/>
              <w:left w:val="single" w:color="BFBFBF" w:sz="4"/>
              <w:bottom w:val="single" w:color="BFBFBF" w:sz="4"/>
              <w:right w:val="single" w:color="BFBFBF" w:sz="4"/>
            </w:tcBorders>
            <w:shd w:fill="D6E4F0" w:color="auto" w:val="clear"/>
            <w:vAlign w:val="center"/>
          </w:tcPr>
          <w:p>
            <w:pPr>
              <w:spacing w:after="40" w:before="40"/>
              <w:jc w:val="center"/>
            </w:pPr>
            <w:r>
              <w:rPr>
                <w:b/>
                <w:bCs/>
                <w:i w:val="false"/>
                <w:iCs w:val="false"/>
                <w:color w:val="000000"/>
                <w:sz w:val="18"/>
                <w:szCs w:val="18"/>
              </w:rPr>
              <w:t xml:space="preserve">1</w:t>
            </w:r>
          </w:p>
        </w:tc>
        <w:tc>
          <w:tcPr>
            <w:tcW w:type="dxa" w:w="2000"/>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Wirehouse OMS</w:t>
            </w:r>
          </w:p>
        </w:tc>
        <w:tc>
          <w:tcPr>
            <w:tcW w:type="dxa" w:w="2000"/>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Security ID</w:t>
            </w:r>
          </w:p>
        </w:tc>
        <w:tc>
          <w:tcPr>
            <w:tcW w:type="dxa" w:w="4600"/>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1E6B3C"/>
                <w:sz w:val="18"/>
                <w:szCs w:val="18"/>
              </w:rPr>
              <w:t xml:space="preserve">00827A109</w:t>
            </w:r>
          </w:p>
        </w:tc>
      </w:tr>
      <w:tr>
        <w:tc>
          <w:tcPr>
            <w:tcBorders>
              <w:top w:val="single" w:color="BFBFBF" w:sz="4"/>
              <w:left w:val="single" w:color="BFBFBF" w:sz="4"/>
              <w:bottom w:val="single" w:color="BFBFBF" w:sz="4"/>
              <w:right w:val="single" w:color="BFBFBF" w:sz="4"/>
            </w:tcBorders>
            <w:shd w:fill="D6E4F0" w:color="auto" w:val="clear"/>
            <w:vAlign w:val="center"/>
          </w:tcPr>
          <w:p>
            <w:pPr>
              <w:spacing w:after="40" w:before="40"/>
              <w:jc w:val="center"/>
            </w:pPr>
            <w:r>
              <w:rPr>
                <w:b/>
                <w:bCs/>
                <w:i w:val="false"/>
                <w:iCs w:val="false"/>
                <w:color w:val="000000"/>
                <w:sz w:val="18"/>
                <w:szCs w:val="18"/>
              </w:rPr>
              <w:t xml:space="preserve">2</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NSCC AIP</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CUSIP</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00827A109</w:t>
            </w:r>
          </w:p>
        </w:tc>
      </w:tr>
      <w:tr>
        <w:tc>
          <w:tcPr>
            <w:tcBorders>
              <w:top w:val="single" w:color="BFBFBF" w:sz="4"/>
              <w:left w:val="single" w:color="BFBFBF" w:sz="4"/>
              <w:bottom w:val="single" w:color="BFBFBF" w:sz="4"/>
              <w:right w:val="single" w:color="BFBFBF" w:sz="4"/>
            </w:tcBorders>
            <w:shd w:fill="D6E4F0" w:color="auto" w:val="clear"/>
            <w:vAlign w:val="center"/>
          </w:tcPr>
          <w:p>
            <w:pPr>
              <w:spacing w:after="40" w:before="40"/>
              <w:jc w:val="center"/>
            </w:pPr>
            <w:r>
              <w:rPr>
                <w:b/>
                <w:bCs/>
                <w:i w:val="false"/>
                <w:iCs w:val="false"/>
                <w:color w:val="000000"/>
                <w:sz w:val="18"/>
                <w:szCs w:val="18"/>
              </w:rPr>
              <w:t xml:space="preserve">3</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DST Systems</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CUSIP_NBR</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00827A109</w:t>
            </w:r>
          </w:p>
        </w:tc>
      </w:tr>
      <w:tr>
        <w:tc>
          <w:tcPr>
            <w:tcBorders>
              <w:top w:val="single" w:color="BFBFBF" w:sz="4"/>
              <w:left w:val="single" w:color="BFBFBF" w:sz="4"/>
              <w:bottom w:val="single" w:color="BFBFBF" w:sz="4"/>
              <w:right w:val="single" w:color="BFBFBF" w:sz="4"/>
            </w:tcBorders>
            <w:shd w:fill="D6E4F0" w:color="auto" w:val="clear"/>
            <w:vAlign w:val="center"/>
          </w:tcPr>
          <w:p>
            <w:pPr>
              <w:spacing w:after="40" w:before="40"/>
              <w:jc w:val="center"/>
            </w:pPr>
            <w:r>
              <w:rPr>
                <w:b/>
                <w:bCs/>
                <w:i w:val="false"/>
                <w:iCs w:val="false"/>
                <w:color w:val="000000"/>
                <w:sz w:val="18"/>
                <w:szCs w:val="18"/>
              </w:rPr>
              <w:t xml:space="preserve">4</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DST / SS&amp;C</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ISIN</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US00827A1096</w:t>
            </w:r>
          </w:p>
        </w:tc>
      </w:tr>
      <w:tr>
        <w:tc>
          <w:tcPr>
            <w:tcBorders>
              <w:top w:val="single" w:color="BFBFBF" w:sz="4"/>
              <w:left w:val="single" w:color="BFBFBF" w:sz="4"/>
              <w:bottom w:val="single" w:color="BFBFBF" w:sz="4"/>
              <w:right w:val="single" w:color="BFBFBF" w:sz="4"/>
            </w:tcBorders>
            <w:shd w:fill="D6E4F0" w:color="auto" w:val="clear"/>
            <w:vAlign w:val="center"/>
          </w:tcPr>
          <w:p>
            <w:pPr>
              <w:spacing w:after="40" w:before="40"/>
              <w:jc w:val="center"/>
            </w:pPr>
            <w:r>
              <w:rPr>
                <w:b/>
                <w:bCs/>
                <w:i w:val="false"/>
                <w:iCs w:val="false"/>
                <w:color w:val="000000"/>
                <w:sz w:val="18"/>
                <w:szCs w:val="18"/>
              </w:rPr>
              <w:t xml:space="preserve">5</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iCapital/CAIS</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PLATFORM_CODE + CUSIP</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ICAP + 00827A109</w:t>
            </w:r>
          </w:p>
        </w:tc>
      </w:tr>
      <w:tr>
        <w:tc>
          <w:tcPr>
            <w:tcBorders>
              <w:top w:val="single" w:color="BFBFBF" w:sz="4"/>
              <w:left w:val="single" w:color="BFBFBF" w:sz="4"/>
              <w:bottom w:val="single" w:color="BFBFBF" w:sz="4"/>
              <w:right w:val="single" w:color="BFBFBF" w:sz="4"/>
            </w:tcBorders>
            <w:shd w:fill="D6E4F0" w:color="auto" w:val="clear"/>
            <w:vAlign w:val="center"/>
          </w:tcPr>
          <w:p>
            <w:pPr>
              <w:spacing w:after="40" w:before="40"/>
              <w:jc w:val="center"/>
            </w:pPr>
            <w:r>
              <w:rPr>
                <w:b/>
                <w:bCs/>
                <w:i w:val="false"/>
                <w:iCs w:val="false"/>
                <w:color w:val="000000"/>
                <w:sz w:val="18"/>
                <w:szCs w:val="18"/>
              </w:rPr>
              <w:t xml:space="preserve">6</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AMC Transfer Agent</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offering_id lookup</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FUND-ABF-IX-DOM-B</w:t>
            </w:r>
          </w:p>
        </w:tc>
      </w:tr>
      <w:tr>
        <w:tc>
          <w:tcPr>
            <w:tcBorders>
              <w:top w:val="single" w:color="BFBFBF" w:sz="4"/>
              <w:left w:val="single" w:color="BFBFBF" w:sz="4"/>
              <w:bottom w:val="single" w:color="BFBFBF" w:sz="4"/>
              <w:right w:val="single" w:color="BFBFBF" w:sz="4"/>
            </w:tcBorders>
            <w:shd w:fill="D6E4F0" w:color="auto" w:val="clear"/>
            <w:vAlign w:val="center"/>
          </w:tcPr>
          <w:p>
            <w:pPr>
              <w:spacing w:after="40" w:before="40"/>
              <w:jc w:val="center"/>
            </w:pPr>
            <w:r>
              <w:rPr>
                <w:b/>
                <w:bCs/>
                <w:i w:val="false"/>
                <w:iCs w:val="false"/>
                <w:color w:val="000000"/>
                <w:sz w:val="18"/>
                <w:szCs w:val="18"/>
              </w:rPr>
              <w:t xml:space="preserve">7</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AMC GL / Investran</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commitment created</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07_commitments.csv</w:t>
            </w:r>
          </w:p>
        </w:tc>
      </w:tr>
    </w:tbl>
    <w:p>
      <w:pPr>
        <w:spacing w:after="0" w:before="80"/>
      </w:pPr>
      <w:r>
        <w:rPr>
          <w:sz w:val="20"/>
          <w:szCs w:val="20"/>
        </w:rPr>
        <w:t xml:space="preserve"/>
      </w:r>
    </w:p>
    <w:p>
      <w:pPr>
        <w:spacing w:after="60" w:before="60"/>
      </w:pPr>
      <w:r>
        <w:rPr>
          <w:b w:val="false"/>
          <w:bCs w:val="false"/>
          <w:i/>
          <w:iCs/>
          <w:color w:val="000000"/>
          <w:sz w:val="20"/>
          <w:szCs w:val="20"/>
        </w:rPr>
        <w:t xml:space="preserve">The transfer agent uses the CUSIP to map an inbound DST trade record back to the correct offering_id in the AMC data model. Without this mapping, a TRAN_CODE 001 record from LPL cannot be matched to a capital commitment.</w:t>
      </w:r>
    </w:p>
    <w:p>
      <w:pPr>
        <w:spacing w:after="0" w:before="80"/>
      </w:pPr>
      <w:r>
        <w:rPr>
          <w:sz w:val="20"/>
          <w:szCs w:val="20"/>
        </w:rPr>
        <w:t xml:space="preserve"/>
      </w:r>
    </w:p>
    <w:p>
      <w:pPr>
        <w:pStyle w:val="Heading3"/>
        <w:spacing w:after="80" w:before="220"/>
      </w:pPr>
      <w:r>
        <w:rPr>
          <w:b/>
          <w:bCs/>
          <w:color w:val="1F3864"/>
          <w:sz w:val="22"/>
          <w:szCs w:val="22"/>
        </w:rPr>
        <w:t xml:space="preserve">L.5  Regulatory Exemptions: Reg D vs Reg S vs 40 Act</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Exemption</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Applies To</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Requirement</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CUSIP?</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ISIN?</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8"/>
                <w:szCs w:val="18"/>
              </w:rPr>
              <w:t xml:space="preserve">Reg D 506(b)</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Domestic LP interests sold to accredited investors (no general solicitation)</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Form D filing within 15 days of first sale</w:t>
            </w:r>
          </w:p>
        </w:tc>
        <w:tc>
          <w:tcPr>
            <w:tcBorders>
              <w:top w:val="single" w:color="BFBFBF" w:sz="4"/>
              <w:left w:val="single" w:color="BFBFBF" w:sz="4"/>
              <w:bottom w:val="single" w:color="BFBFBF" w:sz="4"/>
              <w:right w:val="single" w:color="BFBFBF" w:sz="4"/>
            </w:tcBorders>
            <w:vAlign w:val="center"/>
          </w:tcPr>
          <w:p>
            <w:pPr>
              <w:spacing w:after="40" w:before="40"/>
              <w:jc w:val="center"/>
            </w:pPr>
            <w:r>
              <w:rPr>
                <w:b w:val="false"/>
                <w:bCs w:val="false"/>
                <w:i w:val="false"/>
                <w:iCs w:val="false"/>
                <w:color w:val="000000"/>
                <w:sz w:val="18"/>
                <w:szCs w:val="18"/>
              </w:rPr>
              <w:t xml:space="preserve">No</w:t>
            </w:r>
          </w:p>
        </w:tc>
        <w:tc>
          <w:tcPr>
            <w:tcBorders>
              <w:top w:val="single" w:color="BFBFBF" w:sz="4"/>
              <w:left w:val="single" w:color="BFBFBF" w:sz="4"/>
              <w:bottom w:val="single" w:color="BFBFBF" w:sz="4"/>
              <w:right w:val="single" w:color="BFBFBF" w:sz="4"/>
            </w:tcBorders>
            <w:vAlign w:val="center"/>
          </w:tcPr>
          <w:p>
            <w:pPr>
              <w:spacing w:after="40" w:before="40"/>
              <w:jc w:val="center"/>
            </w:pPr>
            <w:r>
              <w:rPr>
                <w:b w:val="false"/>
                <w:bCs w:val="false"/>
                <w:i w:val="false"/>
                <w:iCs w:val="false"/>
                <w:color w:val="000000"/>
                <w:sz w:val="18"/>
                <w:szCs w:val="18"/>
              </w:rPr>
              <w:t xml:space="preserve">No</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8"/>
                <w:szCs w:val="18"/>
              </w:rPr>
              <w:t xml:space="preserve">Reg D 506(c)</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Domestic LP interests with general solicitation (verified accredited investors only)</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Form D + verification of investor status</w:t>
            </w:r>
          </w:p>
        </w:tc>
        <w:tc>
          <w:tcPr>
            <w:tcBorders>
              <w:top w:val="single" w:color="BFBFBF" w:sz="4"/>
              <w:left w:val="single" w:color="BFBFBF" w:sz="4"/>
              <w:bottom w:val="single" w:color="BFBFBF" w:sz="4"/>
              <w:right w:val="single" w:color="BFBFBF" w:sz="4"/>
            </w:tcBorders>
            <w:vAlign w:val="center"/>
          </w:tcPr>
          <w:p>
            <w:pPr>
              <w:spacing w:after="40" w:before="40"/>
              <w:jc w:val="center"/>
            </w:pPr>
            <w:r>
              <w:rPr>
                <w:b w:val="false"/>
                <w:bCs w:val="false"/>
                <w:i w:val="false"/>
                <w:iCs w:val="false"/>
                <w:color w:val="000000"/>
                <w:sz w:val="18"/>
                <w:szCs w:val="18"/>
              </w:rPr>
              <w:t xml:space="preserve">No</w:t>
            </w:r>
          </w:p>
        </w:tc>
        <w:tc>
          <w:tcPr>
            <w:tcBorders>
              <w:top w:val="single" w:color="BFBFBF" w:sz="4"/>
              <w:left w:val="single" w:color="BFBFBF" w:sz="4"/>
              <w:bottom w:val="single" w:color="BFBFBF" w:sz="4"/>
              <w:right w:val="single" w:color="BFBFBF" w:sz="4"/>
            </w:tcBorders>
            <w:vAlign w:val="center"/>
          </w:tcPr>
          <w:p>
            <w:pPr>
              <w:spacing w:after="40" w:before="40"/>
              <w:jc w:val="center"/>
            </w:pPr>
            <w:r>
              <w:rPr>
                <w:b w:val="false"/>
                <w:bCs w:val="false"/>
                <w:i w:val="false"/>
                <w:iCs w:val="false"/>
                <w:color w:val="000000"/>
                <w:sz w:val="18"/>
                <w:szCs w:val="18"/>
              </w:rPr>
              <w:t xml:space="preserve">No</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8"/>
                <w:szCs w:val="18"/>
              </w:rPr>
              <w:t xml:space="preserve">Reg S</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Offshore (non-US) LP interests in Cayman feeder</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No SEC filing; offshore distribution only</w:t>
            </w:r>
          </w:p>
        </w:tc>
        <w:tc>
          <w:tcPr>
            <w:tcBorders>
              <w:top w:val="single" w:color="BFBFBF" w:sz="4"/>
              <w:left w:val="single" w:color="BFBFBF" w:sz="4"/>
              <w:bottom w:val="single" w:color="BFBFBF" w:sz="4"/>
              <w:right w:val="single" w:color="BFBFBF" w:sz="4"/>
            </w:tcBorders>
            <w:vAlign w:val="center"/>
          </w:tcPr>
          <w:p>
            <w:pPr>
              <w:spacing w:after="40" w:before="40"/>
              <w:jc w:val="center"/>
            </w:pPr>
            <w:r>
              <w:rPr>
                <w:b w:val="false"/>
                <w:bCs w:val="false"/>
                <w:i w:val="false"/>
                <w:iCs w:val="false"/>
                <w:color w:val="000000"/>
                <w:sz w:val="18"/>
                <w:szCs w:val="18"/>
              </w:rPr>
              <w:t xml:space="preserve">No</w:t>
            </w:r>
          </w:p>
        </w:tc>
        <w:tc>
          <w:tcPr>
            <w:tcBorders>
              <w:top w:val="single" w:color="BFBFBF" w:sz="4"/>
              <w:left w:val="single" w:color="BFBFBF" w:sz="4"/>
              <w:bottom w:val="single" w:color="BFBFBF" w:sz="4"/>
              <w:right w:val="single" w:color="BFBFBF" w:sz="4"/>
            </w:tcBorders>
            <w:shd w:fill="FFF3CD" w:color="auto" w:val="clear"/>
            <w:vAlign w:val="center"/>
          </w:tcPr>
          <w:p>
            <w:pPr>
              <w:spacing w:after="40" w:before="40"/>
              <w:jc w:val="center"/>
            </w:pPr>
            <w:r>
              <w:rPr>
                <w:b w:val="false"/>
                <w:bCs w:val="false"/>
                <w:i w:val="false"/>
                <w:iCs w:val="false"/>
                <w:color w:val="7B4F00"/>
                <w:sz w:val="18"/>
                <w:szCs w:val="18"/>
              </w:rPr>
              <w:t xml:space="preserve">KY/IE</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8"/>
                <w:szCs w:val="18"/>
              </w:rPr>
              <w:t xml:space="preserve">40 Act / Reg A+</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Registered feeder fund (interval fund, tender offer fund) layered on PE master</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S-1 or N-2 registration statement; SEC review</w:t>
            </w:r>
          </w:p>
        </w:tc>
        <w:tc>
          <w:tcPr>
            <w:tcBorders>
              <w:top w:val="single" w:color="BFBFBF" w:sz="4"/>
              <w:left w:val="single" w:color="BFBFBF" w:sz="4"/>
              <w:bottom w:val="single" w:color="BFBFBF" w:sz="4"/>
              <w:right w:val="single" w:color="BFBFBF" w:sz="4"/>
            </w:tcBorders>
            <w:shd w:fill="D6F0E0" w:color="auto" w:val="clear"/>
            <w:vAlign w:val="center"/>
          </w:tcPr>
          <w:p>
            <w:pPr>
              <w:spacing w:after="40" w:before="40"/>
              <w:jc w:val="center"/>
            </w:pPr>
            <w:r>
              <w:rPr>
                <w:b/>
                <w:bCs/>
                <w:i w:val="false"/>
                <w:iCs w:val="false"/>
                <w:color w:val="1E6B3C"/>
                <w:sz w:val="18"/>
                <w:szCs w:val="18"/>
              </w:rPr>
              <w:t xml:space="preserve">Yes</w:t>
            </w:r>
          </w:p>
        </w:tc>
        <w:tc>
          <w:tcPr>
            <w:tcBorders>
              <w:top w:val="single" w:color="BFBFBF" w:sz="4"/>
              <w:left w:val="single" w:color="BFBFBF" w:sz="4"/>
              <w:bottom w:val="single" w:color="BFBFBF" w:sz="4"/>
              <w:right w:val="single" w:color="BFBFBF" w:sz="4"/>
            </w:tcBorders>
            <w:shd w:fill="D6F0E0" w:color="auto" w:val="clear"/>
            <w:vAlign w:val="center"/>
          </w:tcPr>
          <w:p>
            <w:pPr>
              <w:spacing w:after="40" w:before="40"/>
              <w:jc w:val="center"/>
            </w:pPr>
            <w:r>
              <w:rPr>
                <w:b w:val="false"/>
                <w:bCs w:val="false"/>
                <w:i w:val="false"/>
                <w:iCs w:val="false"/>
                <w:color w:val="1E6B3C"/>
                <w:sz w:val="18"/>
                <w:szCs w:val="18"/>
              </w:rPr>
              <w:t xml:space="preserve">US</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8"/>
                <w:szCs w:val="18"/>
              </w:rPr>
              <w:t xml:space="preserve">NSCC AIP wrapper</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iCapital/CAIS SPV or feeder sold through wirehouse network</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CUSIP registration with CGS; NSCC membership or sponsorship</w:t>
            </w:r>
          </w:p>
        </w:tc>
        <w:tc>
          <w:tcPr>
            <w:tcBorders>
              <w:top w:val="single" w:color="BFBFBF" w:sz="4"/>
              <w:left w:val="single" w:color="BFBFBF" w:sz="4"/>
              <w:bottom w:val="single" w:color="BFBFBF" w:sz="4"/>
              <w:right w:val="single" w:color="BFBFBF" w:sz="4"/>
            </w:tcBorders>
            <w:shd w:fill="D6F0E0" w:color="auto" w:val="clear"/>
            <w:vAlign w:val="center"/>
          </w:tcPr>
          <w:p>
            <w:pPr>
              <w:spacing w:after="40" w:before="40"/>
              <w:jc w:val="center"/>
            </w:pPr>
            <w:r>
              <w:rPr>
                <w:b/>
                <w:bCs/>
                <w:i w:val="false"/>
                <w:iCs w:val="false"/>
                <w:color w:val="1E6B3C"/>
                <w:sz w:val="18"/>
                <w:szCs w:val="18"/>
              </w:rPr>
              <w:t xml:space="preserve">Yes</w:t>
            </w:r>
          </w:p>
        </w:tc>
        <w:tc>
          <w:tcPr>
            <w:tcBorders>
              <w:top w:val="single" w:color="BFBFBF" w:sz="4"/>
              <w:left w:val="single" w:color="BFBFBF" w:sz="4"/>
              <w:bottom w:val="single" w:color="BFBFBF" w:sz="4"/>
              <w:right w:val="single" w:color="BFBFBF" w:sz="4"/>
            </w:tcBorders>
            <w:shd w:fill="D6F0E0" w:color="auto" w:val="clear"/>
            <w:vAlign w:val="center"/>
          </w:tcPr>
          <w:p>
            <w:pPr>
              <w:spacing w:after="40" w:before="40"/>
              <w:jc w:val="center"/>
            </w:pPr>
            <w:r>
              <w:rPr>
                <w:b w:val="false"/>
                <w:bCs w:val="false"/>
                <w:i w:val="false"/>
                <w:iCs w:val="false"/>
                <w:color w:val="1E6B3C"/>
                <w:sz w:val="18"/>
                <w:szCs w:val="18"/>
              </w:rPr>
              <w:t xml:space="preserve">US</w:t>
            </w:r>
          </w:p>
        </w:tc>
      </w:tr>
    </w:tbl>
    <w:p>
      <w:pPr>
        <w:spacing w:after="0" w:before="80"/>
      </w:pPr>
      <w:r>
        <w:rPr>
          <w:sz w:val="20"/>
          <w:szCs w:val="20"/>
        </w:rPr>
        <w:t xml:space="preserve"/>
      </w:r>
    </w:p>
    <w:p>
      <w:pPr>
        <w:pStyle w:val="Heading3"/>
        <w:spacing w:after="80" w:before="220"/>
      </w:pPr>
      <w:r>
        <w:rPr>
          <w:b/>
          <w:bCs/>
          <w:color w:val="1F3864"/>
          <w:sz w:val="22"/>
          <w:szCs w:val="22"/>
        </w:rPr>
        <w:t xml:space="preserve">L.6  Data Model Impact Summary</w:t>
      </w:r>
    </w:p>
    <w:p>
      <w:pPr>
        <w:spacing w:after="60" w:before="60"/>
      </w:pPr>
      <w:r>
        <w:rPr>
          <w:b/>
          <w:bCs/>
          <w:i w:val="false"/>
          <w:iCs w:val="false"/>
          <w:color w:val="000000"/>
          <w:sz w:val="20"/>
          <w:szCs w:val="20"/>
        </w:rPr>
        <w:t xml:space="preserve">The four new fields in 04_offerings.csv propagate downstream to several dependent tables:</w:t>
      </w:r>
    </w:p>
    <w:p>
      <w:pPr>
        <w:spacing w:after="0" w:before="80"/>
      </w:pPr>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Table</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Field to Add</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Populated When</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Purpose</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8"/>
                <w:szCs w:val="18"/>
              </w:rPr>
              <w:t xml:space="preserve">07_commitments.csv</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cusip</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Offering is NSCC-eligible</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Links commitment to a DST CUSIP_NBR record</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8"/>
                <w:szCs w:val="18"/>
              </w:rPr>
              <w:t xml:space="preserve">09_capital_call_notices.csv</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nscc_settlement</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nscc_eligible = Y</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Y/N flag — notice will settle via NSCC vs direct wire</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8"/>
                <w:szCs w:val="18"/>
              </w:rPr>
              <w:t xml:space="preserve">10_wires.csv</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nscc_ref</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NSCC settlement</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NSCC settlement batch reference number</w:t>
            </w:r>
          </w:p>
        </w:tc>
      </w:tr>
      <w:tr>
        <w:tc>
          <w:tcPr>
            <w:tcBorders>
              <w:top w:val="single" w:color="BFBFBF" w:sz="4"/>
              <w:left w:val="single" w:color="BFBFBF" w:sz="4"/>
              <w:bottom w:val="single" w:color="BFBFBF" w:sz="4"/>
              <w:right w:val="single" w:color="BFBFBF" w:sz="4"/>
            </w:tcBorders>
            <w:shd w:fill="D6E4F0" w:color="auto" w:val="clear"/>
            <w:vAlign w:val="center"/>
          </w:tcPr>
          <w:p>
            <w:pPr>
              <w:spacing w:after="40" w:before="40"/>
              <w:jc w:val="left"/>
            </w:pPr>
            <w:r>
              <w:rPr>
                <w:b/>
                <w:bCs/>
                <w:i w:val="false"/>
                <w:iCs w:val="false"/>
                <w:color w:val="000000"/>
                <w:sz w:val="18"/>
                <w:szCs w:val="18"/>
              </w:rPr>
              <w:t xml:space="preserve">DST feed (inbound)</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CUSIP_NBR</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Always present for NSCC records</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Primary key for TA lookup into 04_offerings.csv</w:t>
            </w:r>
          </w:p>
        </w:tc>
      </w:tr>
    </w:tbl>
    <w:p>
      <w:pPr>
        <w:spacing w:after="0" w:before="80"/>
      </w:pPr>
      <w:r>
        <w:rPr>
          <w:sz w:val="20"/>
          <w:szCs w:val="20"/>
        </w:rPr>
        <w:t xml:space="preserve"/>
      </w:r>
    </w:p>
    <w:p>
      <w:pPr>
        <w:pStyle w:val="Heading2"/>
        <w:spacing w:after="80" w:before="240"/>
      </w:pPr>
      <w:r>
        <w:rPr>
          <w:b/>
          <w:bCs/>
          <w:color w:val="1F3864"/>
          <w:sz w:val="26"/>
          <w:szCs w:val="26"/>
        </w:rPr>
        <w:t xml:space="preserve">DST SHARES Field — Closed-End Fund Constraint</w:t>
      </w:r>
    </w:p>
    <w:p>
      <w:pPr>
        <w:spacing w:after="60" w:before="60"/>
      </w:pPr>
      <w:r>
        <w:rPr>
          <w:b w:val="false"/>
          <w:bCs w:val="false"/>
          <w:i w:val="false"/>
          <w:iCs w:val="false"/>
          <w:color w:val="000000"/>
          <w:sz w:val="20"/>
          <w:szCs w:val="20"/>
        </w:rPr>
        <w:t xml:space="preserve">A common source of confusion when ingesting SS&amp;C DST records for closed-end PE funds is that the SHARES (quantity) field is always populated, even though PE LP interests are not share-based instruments. This is a structural constraint of NSCC clearing, not a fund attribute.</w:t>
      </w:r>
    </w:p>
    <w:p>
      <w:pPr>
        <w:spacing w:after="0" w:before="100"/>
      </w:pPr>
      <w:r>
        <w:rPr>
          <w:sz w:val="20"/>
          <w:szCs w:val="20"/>
        </w:rPr>
        <w:t xml:space="preserve"/>
      </w:r>
    </w:p>
    <w:p>
      <w:pPr>
        <w:pStyle w:val="Heading3"/>
        <w:spacing w:after="80" w:before="240"/>
      </w:pPr>
      <w:r>
        <w:rPr>
          <w:b/>
          <w:bCs/>
          <w:color w:val="1F3864"/>
          <w:sz w:val="22"/>
          <w:szCs w:val="22"/>
        </w:rPr>
        <w:t xml:space="preserve">Why SHARES Is Populated</w:t>
      </w:r>
    </w:p>
    <w:p>
      <w:pPr>
        <w:spacing w:after="60" w:before="60"/>
      </w:pPr>
      <w:r>
        <w:rPr>
          <w:b w:val="false"/>
          <w:bCs w:val="false"/>
          <w:i w:val="false"/>
          <w:iCs w:val="false"/>
          <w:color w:val="000000"/>
          <w:sz w:val="20"/>
          <w:szCs w:val="20"/>
        </w:rPr>
        <w:t xml:space="preserve">NSCC AIP (Alternative Investment Product) settlement requires every trade record to express settlement as:</w:t>
      </w:r>
    </w:p>
    <w:p>
      <w:pPr>
        <w:spacing w:after="0" w:before="100"/>
      </w:pPr>
      <w:r>
        <w:rPr>
          <w:sz w:val="20"/>
          <w:szCs w:val="20"/>
        </w:rPr>
        <w:t xml:space="preserve"/>
      </w:r>
    </w:p>
    <w:p>
      <w:pPr>
        <w:spacing w:after="40" w:before="40"/>
      </w:pPr>
      <w:r>
        <w:rPr>
          <w:b/>
          <w:bCs/>
          <w:color w:val="2E75B6"/>
          <w:sz w:val="22"/>
          <w:szCs w:val="22"/>
        </w:rPr>
        <w:t xml:space="preserve">QUANTITY  ×  PRICE  =  GROSS_AMOUNT</w:t>
      </w:r>
    </w:p>
    <w:p>
      <w:pPr>
        <w:spacing w:after="0" w:before="100"/>
      </w:pPr>
      <w:r>
        <w:rPr>
          <w:sz w:val="20"/>
          <w:szCs w:val="20"/>
        </w:rPr>
        <w:t xml:space="preserve"/>
      </w:r>
    </w:p>
    <w:p>
      <w:pPr>
        <w:spacing w:after="60" w:before="60"/>
      </w:pPr>
      <w:r>
        <w:rPr>
          <w:b w:val="false"/>
          <w:bCs w:val="false"/>
          <w:i w:val="false"/>
          <w:iCs w:val="false"/>
          <w:color w:val="000000"/>
          <w:sz w:val="20"/>
          <w:szCs w:val="20"/>
        </w:rPr>
        <w:t xml:space="preserve">There is no "commitment" concept in NSCC's clearing schema. Every instrument — fund share, LP unit, or PE interest — must clear as quantity × price. DST populates SHARES as the quantity field to satisfy this requirement, even when the underlying instrument has no per-share NAV.</w:t>
      </w:r>
    </w:p>
    <w:p>
      <w:pPr>
        <w:spacing w:after="0" w:before="100"/>
      </w:pPr>
      <w:r>
        <w:rPr>
          <w:sz w:val="20"/>
          <w:szCs w:val="20"/>
        </w:rPr>
        <w:t xml:space="preserve"/>
      </w:r>
    </w:p>
    <w:p>
      <w:pPr>
        <w:pStyle w:val="Heading3"/>
        <w:spacing w:after="80" w:before="240"/>
      </w:pPr>
      <w:r>
        <w:rPr>
          <w:b/>
          <w:bCs/>
          <w:color w:val="1F3864"/>
          <w:sz w:val="22"/>
          <w:szCs w:val="22"/>
        </w:rPr>
        <w:t xml:space="preserve">Unit Price Conventions Used by Brokers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Convention</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SHARES (Qty)</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PRICE</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Gross Amount</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Who Uses It</w:t>
            </w:r>
          </w:p>
        </w:tc>
      </w:tr>
      <w:tr>
        <w:tc>
          <w:tcPr>
            <w:tcW w:type="dxa" w:w="1800"/>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8"/>
                <w:szCs w:val="18"/>
              </w:rPr>
              <w:t xml:space="preserve">Dollar-per-unit</w:t>
            </w:r>
          </w:p>
        </w:tc>
        <w:tc>
          <w:tcPr>
            <w:tcW w:type="dxa" w:w="2000"/>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Commitment ÷ $1,000</w:t>
            </w:r>
          </w:p>
        </w:tc>
        <w:tc>
          <w:tcPr>
            <w:tcW w:type="dxa" w:w="1400"/>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$1,000.00</w:t>
            </w:r>
          </w:p>
        </w:tc>
        <w:tc>
          <w:tcPr>
            <w:tcW w:type="dxa" w:w="1600"/>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 Commitment</w:t>
            </w:r>
          </w:p>
        </w:tc>
        <w:tc>
          <w:tcPr>
            <w:tcW w:type="dxa" w:w="2400"/>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iCapital, most NSCC feeders</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8"/>
                <w:szCs w:val="18"/>
              </w:rPr>
              <w:t xml:space="preserve">One unit</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1</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Full commitment $</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 Commitment</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Some SPV structures</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8"/>
                <w:szCs w:val="18"/>
              </w:rPr>
              <w:t xml:space="preserve">Dollar quantity</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Commitment amount</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$1.00</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 Commitment</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Less common</w:t>
            </w:r>
          </w:p>
        </w:tc>
      </w:tr>
    </w:tbl>
    <w:p>
      <w:pPr>
        <w:spacing w:after="0" w:before="100"/>
      </w:pPr>
      <w:r>
        <w:rPr>
          <w:sz w:val="20"/>
          <w:szCs w:val="20"/>
        </w:rPr>
        <w:t xml:space="preserve"/>
      </w:r>
    </w:p>
    <w:p>
      <w:pPr>
        <w:spacing w:after="60" w:before="60"/>
      </w:pPr>
      <w:r>
        <w:rPr>
          <w:b w:val="false"/>
          <w:bCs w:val="false"/>
          <w:i/>
          <w:iCs/>
          <w:color w:val="000000"/>
          <w:sz w:val="20"/>
          <w:szCs w:val="20"/>
        </w:rPr>
        <w:t xml:space="preserve">Example: a $500,000 commitment to FUND-ABF-IX-DOM-B (CUSIP 00827A109) via LPL using the dollar-per-unit convention appears in DST as:</w:t>
      </w:r>
    </w:p>
    <w:p>
      <w:pPr>
        <w:spacing w:after="0" w:before="100"/>
      </w:pPr>
      <w:r>
        <w:rPr>
          <w:sz w:val="20"/>
          <w:szCs w:val="20"/>
        </w:rPr>
        <w:t xml:space="preserve"/>
      </w:r>
    </w:p>
    <w:tbl>
      <w:tblPr>
        <w:tblW w:type="dxa" w:w="5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DST Field</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Value</w:t>
            </w:r>
          </w:p>
        </w:tc>
      </w:tr>
      <w:tr>
        <w:tc>
          <w:tcPr>
            <w:tcW w:type="dxa" w:w="2000"/>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8"/>
                <w:szCs w:val="18"/>
              </w:rPr>
              <w:t xml:space="preserve">CUSIP_NBR</w:t>
            </w:r>
          </w:p>
        </w:tc>
        <w:tc>
          <w:tcPr>
            <w:tcW w:type="dxa" w:w="3000"/>
            <w:tcBorders>
              <w:top w:val="single" w:color="BFBFBF" w:sz="4"/>
              <w:left w:val="single" w:color="BFBFBF" w:sz="4"/>
              <w:bottom w:val="single" w:color="BFBFBF" w:sz="4"/>
              <w:right w:val="single" w:color="BFBFBF" w:sz="4"/>
            </w:tcBorders>
            <w:vAlign w:val="center"/>
          </w:tcPr>
          <w:p>
            <w:pPr>
              <w:spacing w:after="40" w:before="40"/>
              <w:jc w:val="left"/>
            </w:pPr>
            <w:r>
              <w:rPr>
                <w:b/>
                <w:bCs/>
                <w:i w:val="false"/>
                <w:iCs w:val="false"/>
                <w:color w:val="2E75B6"/>
                <w:sz w:val="18"/>
                <w:szCs w:val="18"/>
              </w:rPr>
              <w:t xml:space="preserve">00827A109</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8"/>
                <w:szCs w:val="18"/>
              </w:rPr>
              <w:t xml:space="preserve">SHARES</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500.000</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8"/>
                <w:szCs w:val="18"/>
              </w:rPr>
              <w:t xml:space="preserve">PRICE</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1000.00</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8"/>
                <w:szCs w:val="18"/>
              </w:rPr>
              <w:t xml:space="preserve">AMOUNT</w:t>
            </w:r>
          </w:p>
        </w:tc>
        <w:tc>
          <w:tcPr>
            <w:tcBorders>
              <w:top w:val="single" w:color="BFBFBF" w:sz="4"/>
              <w:left w:val="single" w:color="BFBFBF" w:sz="4"/>
              <w:bottom w:val="single" w:color="BFBFBF" w:sz="4"/>
              <w:right w:val="single" w:color="BFBFBF" w:sz="4"/>
            </w:tcBorders>
            <w:vAlign w:val="center"/>
          </w:tcPr>
          <w:p>
            <w:pPr>
              <w:spacing w:after="40" w:before="40"/>
              <w:jc w:val="left"/>
            </w:pPr>
            <w:r>
              <w:rPr>
                <w:b/>
                <w:bCs/>
                <w:i w:val="false"/>
                <w:iCs w:val="false"/>
                <w:color w:val="1E6B3C"/>
                <w:sz w:val="18"/>
                <w:szCs w:val="18"/>
              </w:rPr>
              <w:t xml:space="preserve">500,000.00</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8"/>
                <w:szCs w:val="18"/>
              </w:rPr>
              <w:t xml:space="preserve">TRAN_CODE</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001  (new subscription)</w:t>
            </w:r>
          </w:p>
        </w:tc>
      </w:tr>
    </w:tbl>
    <w:p>
      <w:pPr>
        <w:spacing w:after="0" w:before="100"/>
      </w:pPr>
      <w:r>
        <w:rPr>
          <w:sz w:val="20"/>
          <w:szCs w:val="20"/>
        </w:rPr>
        <w:t xml:space="preserve"/>
      </w:r>
    </w:p>
    <w:p>
      <w:pPr>
        <w:pStyle w:val="Heading3"/>
        <w:spacing w:after="80" w:before="240"/>
      </w:pPr>
      <w:r>
        <w:rPr>
          <w:b/>
          <w:bCs/>
          <w:color w:val="1F3864"/>
          <w:sz w:val="22"/>
          <w:szCs w:val="22"/>
        </w:rPr>
        <w:t xml:space="preserve">Closed-End vs Open-End: Key Differences</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Attribute</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Open-End Mutual Fund</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Closed-End PE via NSCC</w:t>
            </w:r>
          </w:p>
        </w:tc>
      </w:tr>
      <w:tr>
        <w:tc>
          <w:tcPr>
            <w:tcW w:type="dxa" w:w="2200"/>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8"/>
                <w:szCs w:val="18"/>
              </w:rPr>
              <w:t xml:space="preserve">SHARES meaning</w:t>
            </w:r>
          </w:p>
        </w:tc>
        <w:tc>
          <w:tcPr>
            <w:tcW w:type="dxa" w:w="3500"/>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Real shares priced at daily NAV</w:t>
            </w:r>
          </w:p>
        </w:tc>
        <w:tc>
          <w:tcPr>
            <w:tcW w:type="dxa" w:w="3500"/>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Accounting unit for NSCC clearing only</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8"/>
                <w:szCs w:val="18"/>
              </w:rPr>
              <w:t xml:space="preserve">PRICE meaning</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NAV per share (changes daily)</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Fixed unit value ($1,000 or $1.00) — not a market price</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8"/>
                <w:szCs w:val="18"/>
              </w:rPr>
              <w:t xml:space="preserve">SHARES change after subscription?</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Yes — purchases and redemptions daily</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No — fixed at subscription; represent commitment tranche</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8"/>
                <w:szCs w:val="18"/>
              </w:rPr>
              <w:t xml:space="preserve">Capital calls</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N/A</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TRAN_CODE 051 records reduce unfunded commitment balance</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8"/>
                <w:szCs w:val="18"/>
              </w:rPr>
              <w:t xml:space="preserve">Redemptions</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Daily at NAV (TRAN_CODE 002)</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Tender offer only — TRAN_CODE 065/066; no daily liquidity</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8"/>
                <w:szCs w:val="18"/>
              </w:rPr>
              <w:t xml:space="preserve">UNITS vs SHARES field</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SHARES always used</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Some records use UNITS field to signal commitment-unit (not NAV share)</w:t>
            </w:r>
          </w:p>
        </w:tc>
      </w:tr>
    </w:tbl>
    <w:p>
      <w:pPr>
        <w:spacing w:after="0" w:before="100"/>
      </w:pPr>
      <w:r>
        <w:rPr>
          <w:sz w:val="20"/>
          <w:szCs w:val="20"/>
        </w:rPr>
        <w:t xml:space="preserve"/>
      </w:r>
    </w:p>
    <w:p>
      <w:pPr>
        <w:pStyle w:val="Heading3"/>
        <w:spacing w:after="80" w:before="240"/>
      </w:pPr>
      <w:r>
        <w:rPr>
          <w:b/>
          <w:bCs/>
          <w:color w:val="1F3864"/>
          <w:sz w:val="22"/>
          <w:szCs w:val="22"/>
        </w:rPr>
        <w:t xml:space="preserve">Data Model Constraint: Ingestion Rule</w:t>
      </w:r>
    </w:p>
    <w:p>
      <w:pPr>
        <w:spacing w:after="60" w:before="60"/>
      </w:pPr>
      <w:r>
        <w:rPr>
          <w:b/>
          <w:bCs/>
          <w:i w:val="false"/>
          <w:iCs w:val="false"/>
          <w:color w:val="000000"/>
          <w:sz w:val="20"/>
          <w:szCs w:val="20"/>
        </w:rPr>
        <w:t xml:space="preserve">When consuming DST records for closed-end PE funds, the ingestion pipeline must NOT treat SHARES as a share count in the traditional sense. The correct mapping is:</w:t>
      </w:r>
    </w:p>
    <w:p>
      <w:pPr>
        <w:spacing w:after="0" w:before="100"/>
      </w:pPr>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Step</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Action</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Target Field</w:t>
            </w:r>
          </w:p>
        </w:tc>
      </w:tr>
      <w:tr>
        <w:tc>
          <w:tcPr>
            <w:tcW w:type="dxa" w:w="600"/>
            <w:tcBorders>
              <w:top w:val="single" w:color="BFBFBF" w:sz="4"/>
              <w:left w:val="single" w:color="BFBFBF" w:sz="4"/>
              <w:bottom w:val="single" w:color="BFBFBF" w:sz="4"/>
              <w:right w:val="single" w:color="BFBFBF" w:sz="4"/>
            </w:tcBorders>
            <w:shd w:fill="D6E4F0" w:color="auto" w:val="clear"/>
            <w:vAlign w:val="center"/>
          </w:tcPr>
          <w:p>
            <w:pPr>
              <w:spacing w:after="40" w:before="40"/>
              <w:jc w:val="center"/>
            </w:pPr>
            <w:r>
              <w:rPr>
                <w:b/>
                <w:bCs/>
                <w:i w:val="false"/>
                <w:iCs w:val="false"/>
                <w:color w:val="000000"/>
                <w:sz w:val="18"/>
                <w:szCs w:val="18"/>
              </w:rPr>
              <w:t xml:space="preserve">1</w:t>
            </w:r>
          </w:p>
        </w:tc>
        <w:tc>
          <w:tcPr>
            <w:tcW w:type="dxa" w:w="6200"/>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Look up unit_price_convention from 04_offerings.csv using CUSIP_NBR → offering_id</w:t>
            </w:r>
          </w:p>
        </w:tc>
        <w:tc>
          <w:tcPr>
            <w:tcW w:type="dxa" w:w="2400"/>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offerings.unit_price_convention</w:t>
            </w:r>
          </w:p>
        </w:tc>
      </w:tr>
      <w:tr>
        <w:tc>
          <w:tcPr>
            <w:tcBorders>
              <w:top w:val="single" w:color="BFBFBF" w:sz="4"/>
              <w:left w:val="single" w:color="BFBFBF" w:sz="4"/>
              <w:bottom w:val="single" w:color="BFBFBF" w:sz="4"/>
              <w:right w:val="single" w:color="BFBFBF" w:sz="4"/>
            </w:tcBorders>
            <w:shd w:fill="D6E4F0" w:color="auto" w:val="clear"/>
            <w:vAlign w:val="center"/>
          </w:tcPr>
          <w:p>
            <w:pPr>
              <w:spacing w:after="40" w:before="40"/>
              <w:jc w:val="center"/>
            </w:pPr>
            <w:r>
              <w:rPr>
                <w:b/>
                <w:bCs/>
                <w:i w:val="false"/>
                <w:iCs w:val="false"/>
                <w:color w:val="000000"/>
                <w:sz w:val="18"/>
                <w:szCs w:val="18"/>
              </w:rPr>
              <w:t xml:space="preserve">2</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Compute commitment: SHARES × PRICE = commitment_amount_usd</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commitments.commitment_amount_usd</w:t>
            </w:r>
          </w:p>
        </w:tc>
      </w:tr>
      <w:tr>
        <w:tc>
          <w:tcPr>
            <w:tcBorders>
              <w:top w:val="single" w:color="BFBFBF" w:sz="4"/>
              <w:left w:val="single" w:color="BFBFBF" w:sz="4"/>
              <w:bottom w:val="single" w:color="BFBFBF" w:sz="4"/>
              <w:right w:val="single" w:color="BFBFBF" w:sz="4"/>
            </w:tcBorders>
            <w:shd w:fill="D6E4F0" w:color="auto" w:val="clear"/>
            <w:vAlign w:val="center"/>
          </w:tcPr>
          <w:p>
            <w:pPr>
              <w:spacing w:after="40" w:before="40"/>
              <w:jc w:val="center"/>
            </w:pPr>
            <w:r>
              <w:rPr>
                <w:b/>
                <w:bCs/>
                <w:i w:val="false"/>
                <w:iCs w:val="false"/>
                <w:color w:val="000000"/>
                <w:sz w:val="18"/>
                <w:szCs w:val="18"/>
              </w:rPr>
              <w:t xml:space="preserve">3</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Map CUSIP_NBR → offering_id → vehicle_id → fund_id to locate the correct fund</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commitments.offering_id</w:t>
            </w:r>
          </w:p>
        </w:tc>
      </w:tr>
      <w:tr>
        <w:tc>
          <w:tcPr>
            <w:tcBorders>
              <w:top w:val="single" w:color="BFBFBF" w:sz="4"/>
              <w:left w:val="single" w:color="BFBFBF" w:sz="4"/>
              <w:bottom w:val="single" w:color="BFBFBF" w:sz="4"/>
              <w:right w:val="single" w:color="BFBFBF" w:sz="4"/>
            </w:tcBorders>
            <w:shd w:fill="D6E4F0" w:color="auto" w:val="clear"/>
            <w:vAlign w:val="center"/>
          </w:tcPr>
          <w:p>
            <w:pPr>
              <w:spacing w:after="40" w:before="40"/>
              <w:jc w:val="center"/>
            </w:pPr>
            <w:r>
              <w:rPr>
                <w:b/>
                <w:bCs/>
                <w:i w:val="false"/>
                <w:iCs w:val="false"/>
                <w:color w:val="000000"/>
                <w:sz w:val="18"/>
                <w:szCs w:val="18"/>
              </w:rPr>
              <w:t xml:space="preserve">4</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TRAN_CODE 051 records are capital call drawdowns — reduce unfunded_commitment, do not create a new commitment row</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capital_call_notices.amount_called_usd</w:t>
            </w:r>
          </w:p>
        </w:tc>
      </w:tr>
      <w:tr>
        <w:tc>
          <w:tcPr>
            <w:tcBorders>
              <w:top w:val="single" w:color="BFBFBF" w:sz="4"/>
              <w:left w:val="single" w:color="BFBFBF" w:sz="4"/>
              <w:bottom w:val="single" w:color="BFBFBF" w:sz="4"/>
              <w:right w:val="single" w:color="BFBFBF" w:sz="4"/>
            </w:tcBorders>
            <w:shd w:fill="D6E4F0" w:color="auto" w:val="clear"/>
            <w:vAlign w:val="center"/>
          </w:tcPr>
          <w:p>
            <w:pPr>
              <w:spacing w:after="40" w:before="40"/>
              <w:jc w:val="center"/>
            </w:pPr>
            <w:r>
              <w:rPr>
                <w:b/>
                <w:bCs/>
                <w:i w:val="false"/>
                <w:iCs w:val="false"/>
                <w:color w:val="000000"/>
                <w:sz w:val="18"/>
                <w:szCs w:val="18"/>
              </w:rPr>
              <w:t xml:space="preserve">5</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Add unit_price_convention field to 04_offerings.csv: values DOLLAR_PER_UNIT | ONE_UNIT | DOLLAR_QUANTITY</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04_offerings.csv schema</w:t>
            </w:r>
          </w:p>
        </w:tc>
      </w:tr>
    </w:tbl>
    <w:p>
      <w:pPr>
        <w:spacing w:after="0" w:before="100"/>
      </w:pPr>
      <w:r>
        <w:rPr>
          <w:sz w:val="20"/>
          <w:szCs w:val="20"/>
        </w:rPr>
        <w:t xml:space="preserve"/>
      </w:r>
    </w:p>
    <w:p>
      <w:pPr>
        <w:spacing w:after="60" w:before="60"/>
      </w:pPr>
      <w:r>
        <w:rPr>
          <w:b w:val="false"/>
          <w:bCs w:val="false"/>
          <w:i/>
          <w:iCs/>
          <w:color w:val="7B0000"/>
          <w:sz w:val="20"/>
          <w:szCs w:val="20"/>
        </w:rPr>
        <w:t xml:space="preserve">Failure to apply this mapping results in commitment amounts being booked as share counts, which produces wildly incorrect position records in the GL and investor register.</w:t>
      </w:r>
    </w:p>
    <w:p>
      <w:pPr>
        <w:spacing w:after="0" w:before="100"/>
      </w:pPr>
      <w:r>
        <w:rPr>
          <w:sz w:val="20"/>
          <w:szCs w:val="20"/>
        </w:rPr>
        <w:t xml:space="preserve"/>
      </w:r>
    </w:p>
    <w:p>
      <w:pPr>
        <w:pStyle w:val="Heading1"/>
        <w:spacing w:after="80" w:before="220"/>
      </w:pPr>
      <w:r>
        <w:rPr>
          <w:b/>
          <w:bCs/>
          <w:color w:val="1F3864"/>
          <w:sz w:val="28"/>
          <w:szCs w:val="28"/>
        </w:rPr>
        <w:t xml:space="preserve">Appendix M: Evergreen and Semi-Liquid Fund Data Model</w:t>
      </w:r>
    </w:p>
    <w:p>
      <w:pPr>
        <w:spacing w:after="60" w:before="60"/>
      </w:pPr>
      <w:r>
        <w:rPr>
          <w:b w:val="false"/>
          <w:bCs w:val="false"/>
          <w:i w:val="false"/>
          <w:iCs w:val="false"/>
          <w:color w:val="000000"/>
          <w:sz w:val="20"/>
          <w:szCs w:val="20"/>
        </w:rPr>
        <w:t xml:space="preserve">This appendix documents the AMC Capital evergreen and semi-liquid fund universe, the 12-transaction-type taxonomy applicable to these structures, and the 10,000-row sample dataset (1,000 trades/day × 10 business days). It also provides a direct comparison with the closed-end PE data model documented in Appendices H–L.</w:t>
      </w:r>
    </w:p>
    <w:p>
      <w:pPr>
        <w:spacing w:after="0" w:before="80"/>
      </w:pPr>
      <w:r>
        <w:rPr>
          <w:sz w:val="20"/>
          <w:szCs w:val="20"/>
        </w:rPr>
        <w:t xml:space="preserve"/>
      </w:r>
    </w:p>
    <w:p>
      <w:pPr>
        <w:pStyle w:val="Heading3"/>
        <w:spacing w:after="80" w:before="220"/>
      </w:pPr>
      <w:r>
        <w:rPr>
          <w:b/>
          <w:bCs/>
          <w:color w:val="1F3864"/>
          <w:sz w:val="22"/>
          <w:szCs w:val="22"/>
        </w:rPr>
        <w:t xml:space="preserve">M.1  Overview</w:t>
      </w:r>
    </w:p>
    <w:p>
      <w:pPr>
        <w:spacing w:after="60" w:before="60"/>
      </w:pPr>
      <w:r>
        <w:rPr>
          <w:b w:val="false"/>
          <w:bCs w:val="false"/>
          <w:i w:val="false"/>
          <w:iCs w:val="false"/>
          <w:color w:val="000000"/>
          <w:sz w:val="20"/>
          <w:szCs w:val="20"/>
        </w:rPr>
        <w:t xml:space="preserve">Evergreen and semi-liquid funds are a distinct category of alternative investment products positioned between traditional open-end mutual funds (daily liquidity) and closed-end PE partnerships (10-year lock-up). They offer periodic — not daily — liquidity through structured redemption mechanisms, while continuously accepting new subscriptions.</w:t>
      </w:r>
    </w:p>
    <w:p>
      <w:pPr>
        <w:spacing w:after="0" w:before="80"/>
      </w:pPr>
      <w:r>
        <w:rPr>
          <w:sz w:val="20"/>
          <w:szCs w:val="20"/>
        </w:rPr>
        <w:t xml:space="preserve"/>
      </w:r>
    </w:p>
    <w:p>
      <w:pPr>
        <w:spacing w:after="60" w:before="60"/>
      </w:pPr>
      <w:r>
        <w:rPr>
          <w:b/>
          <w:bCs/>
          <w:i w:val="false"/>
          <w:iCs w:val="false"/>
          <w:color w:val="000000"/>
          <w:sz w:val="20"/>
          <w:szCs w:val="20"/>
        </w:rPr>
        <w:t xml:space="preserve">This appendix documents the AMC Capital evergreen fund universe, the transaction type taxonomy applicable to these structures, and the 10,000-row sample dataset (1,000 trades/day × 10 business days, 2024-01-02 to 2024-01-15) generated to model realistic evergreen fund activity.</w:t>
      </w:r>
    </w:p>
    <w:p>
      <w:pPr>
        <w:spacing w:after="0" w:before="80"/>
      </w:pPr>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Fund Type</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Liquidity Mechanism</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NAV Frequency</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Subscription</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Reg. Status</w:t>
            </w:r>
          </w:p>
        </w:tc>
      </w:tr>
      <w:tr>
        <w:tc>
          <w:tcPr>
            <w:tcBorders>
              <w:top w:val="single" w:color="BFBFBF" w:sz="4"/>
              <w:left w:val="single" w:color="BFBFBF" w:sz="4"/>
              <w:bottom w:val="single" w:color="BFBFBF" w:sz="4"/>
              <w:right w:val="single" w:color="BFBFBF" w:sz="4"/>
            </w:tcBorders>
            <w:shd w:fill="D6E4F0" w:color="auto" w:val="clear"/>
            <w:vAlign w:val="center"/>
          </w:tcPr>
          <w:p>
            <w:pPr>
              <w:spacing w:after="40" w:before="40"/>
              <w:jc w:val="left"/>
            </w:pPr>
            <w:r>
              <w:rPr>
                <w:b/>
                <w:bCs/>
                <w:i w:val="false"/>
                <w:iCs w:val="false"/>
                <w:color w:val="000000"/>
                <w:sz w:val="18"/>
                <w:szCs w:val="18"/>
              </w:rPr>
              <w:t xml:space="preserve">Interval Fund</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Quarterly tender: up to 5% of NAV</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Monthly or quarterly</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Continuous</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1940 Act registered</w:t>
            </w:r>
          </w:p>
        </w:tc>
      </w:tr>
      <w:tr>
        <w:tc>
          <w:tcPr>
            <w:tcBorders>
              <w:top w:val="single" w:color="BFBFBF" w:sz="4"/>
              <w:left w:val="single" w:color="BFBFBF" w:sz="4"/>
              <w:bottom w:val="single" w:color="BFBFBF" w:sz="4"/>
              <w:right w:val="single" w:color="BFBFBF" w:sz="4"/>
            </w:tcBorders>
            <w:shd w:fill="D6E4F0" w:color="auto" w:val="clear"/>
            <w:vAlign w:val="center"/>
          </w:tcPr>
          <w:p>
            <w:pPr>
              <w:spacing w:after="40" w:before="40"/>
              <w:jc w:val="left"/>
            </w:pPr>
            <w:r>
              <w:rPr>
                <w:b/>
                <w:bCs/>
                <w:i w:val="false"/>
                <w:iCs w:val="false"/>
                <w:color w:val="000000"/>
                <w:sz w:val="18"/>
                <w:szCs w:val="18"/>
              </w:rPr>
              <w:t xml:space="preserve">Non-Traded REIT</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Quarterly tender or SRP (share repurchase)</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Monthly</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Continuous</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SEC registered (S-11)</w:t>
            </w:r>
          </w:p>
        </w:tc>
      </w:tr>
      <w:tr>
        <w:tc>
          <w:tcPr>
            <w:tcBorders>
              <w:top w:val="single" w:color="BFBFBF" w:sz="4"/>
              <w:left w:val="single" w:color="BFBFBF" w:sz="4"/>
              <w:bottom w:val="single" w:color="BFBFBF" w:sz="4"/>
              <w:right w:val="single" w:color="BFBFBF" w:sz="4"/>
            </w:tcBorders>
            <w:shd w:fill="D6E4F0" w:color="auto" w:val="clear"/>
            <w:vAlign w:val="center"/>
          </w:tcPr>
          <w:p>
            <w:pPr>
              <w:spacing w:after="40" w:before="40"/>
              <w:jc w:val="left"/>
            </w:pPr>
            <w:r>
              <w:rPr>
                <w:b/>
                <w:bCs/>
                <w:i w:val="false"/>
                <w:iCs w:val="false"/>
                <w:color w:val="000000"/>
                <w:sz w:val="18"/>
                <w:szCs w:val="18"/>
              </w:rPr>
              <w:t xml:space="preserve">Non-Traded BDC</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Quarterly tender / tender offer</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Monthly or quarterly</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Continuous</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1940 Act / SEC registered</w:t>
            </w:r>
          </w:p>
        </w:tc>
      </w:tr>
      <w:tr>
        <w:tc>
          <w:tcPr>
            <w:tcBorders>
              <w:top w:val="single" w:color="BFBFBF" w:sz="4"/>
              <w:left w:val="single" w:color="BFBFBF" w:sz="4"/>
              <w:bottom w:val="single" w:color="BFBFBF" w:sz="4"/>
              <w:right w:val="single" w:color="BFBFBF" w:sz="4"/>
            </w:tcBorders>
            <w:shd w:fill="D6E4F0" w:color="auto" w:val="clear"/>
            <w:vAlign w:val="center"/>
          </w:tcPr>
          <w:p>
            <w:pPr>
              <w:spacing w:after="40" w:before="40"/>
              <w:jc w:val="left"/>
            </w:pPr>
            <w:r>
              <w:rPr>
                <w:b/>
                <w:bCs/>
                <w:i w:val="false"/>
                <w:iCs w:val="false"/>
                <w:color w:val="000000"/>
                <w:sz w:val="18"/>
                <w:szCs w:val="18"/>
              </w:rPr>
              <w:t xml:space="preserve">Tender Offer Fund</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Periodic tender offers (fund discretion)</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Quarterly</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Continuous</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1940 Act or Reg D</w:t>
            </w:r>
          </w:p>
        </w:tc>
      </w:tr>
    </w:tbl>
    <w:p>
      <w:pPr>
        <w:spacing w:after="0" w:before="80"/>
      </w:pPr>
      <w:r>
        <w:rPr>
          <w:sz w:val="20"/>
          <w:szCs w:val="20"/>
        </w:rPr>
        <w:t xml:space="preserve"/>
      </w:r>
    </w:p>
    <w:p>
      <w:pPr>
        <w:pStyle w:val="Heading3"/>
        <w:spacing w:after="80" w:before="220"/>
      </w:pPr>
      <w:r>
        <w:rPr>
          <w:b/>
          <w:bCs/>
          <w:color w:val="1F3864"/>
          <w:sz w:val="22"/>
          <w:szCs w:val="22"/>
        </w:rPr>
        <w:t xml:space="preserve">M.2  AMC Capital Evergreen Fund Universe</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gridCol w:w="100"/>
      </w:tblGrid>
      <w:tr>
        <w:trPr>
          <w:tblHeader/>
        </w:trPr>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Fund ID</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Fund Name</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Type</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CUSIP (A/I/W)</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Product Code</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Dist. Freq.</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Tender Limit</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bCs/>
                <w:i w:val="false"/>
                <w:iCs w:val="false"/>
                <w:color w:val="2E75B6"/>
                <w:sz w:val="17"/>
                <w:szCs w:val="17"/>
              </w:rPr>
              <w:t xml:space="preserve">AMCECF</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000000"/>
                <w:sz w:val="17"/>
                <w:szCs w:val="17"/>
              </w:rPr>
              <w:t xml:space="preserve">AMC Evergreen Credit Fund</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000000"/>
                <w:sz w:val="17"/>
                <w:szCs w:val="17"/>
              </w:rPr>
              <w:t xml:space="preserve">INTERVAL</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000000"/>
                <w:sz w:val="17"/>
                <w:szCs w:val="17"/>
              </w:rPr>
              <w:t xml:space="preserve">00827B101 / 200 / 309</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000000"/>
                <w:sz w:val="17"/>
                <w:szCs w:val="17"/>
              </w:rPr>
              <w:t xml:space="preserve">ADCRE</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000000"/>
                <w:sz w:val="17"/>
                <w:szCs w:val="17"/>
              </w:rPr>
              <w:t xml:space="preserve">Quarterly</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000000"/>
                <w:sz w:val="17"/>
                <w:szCs w:val="17"/>
              </w:rPr>
              <w:t xml:space="preserve">5% / qtr</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2E75B6"/>
                <w:sz w:val="17"/>
                <w:szCs w:val="17"/>
              </w:rPr>
              <w:t xml:space="preserve">AMCRAI</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7"/>
                <w:szCs w:val="17"/>
              </w:rPr>
              <w:t xml:space="preserve">AMC Real Assets Income Fund</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7"/>
                <w:szCs w:val="17"/>
              </w:rPr>
              <w:t xml:space="preserve">NT_REIT</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7"/>
                <w:szCs w:val="17"/>
              </w:rPr>
              <w:t xml:space="preserve">00827C101 / 200 / 309</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7"/>
                <w:szCs w:val="17"/>
              </w:rPr>
              <w:t xml:space="preserve">ADREF</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7"/>
                <w:szCs w:val="17"/>
              </w:rPr>
              <w:t xml:space="preserve">Monthly</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7"/>
                <w:szCs w:val="17"/>
              </w:rPr>
              <w:t xml:space="preserve">5% / qtr</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bCs/>
                <w:i w:val="false"/>
                <w:iCs w:val="false"/>
                <w:color w:val="2E75B6"/>
                <w:sz w:val="17"/>
                <w:szCs w:val="17"/>
              </w:rPr>
              <w:t xml:space="preserve">AMCPCI</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000000"/>
                <w:sz w:val="17"/>
                <w:szCs w:val="17"/>
              </w:rPr>
              <w:t xml:space="preserve">AMC Private Credit Interval Fund</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000000"/>
                <w:sz w:val="17"/>
                <w:szCs w:val="17"/>
              </w:rPr>
              <w:t xml:space="preserve">INTERVAL</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000000"/>
                <w:sz w:val="17"/>
                <w:szCs w:val="17"/>
              </w:rPr>
              <w:t xml:space="preserve">00827D101 / 200 / 309</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000000"/>
                <w:sz w:val="17"/>
                <w:szCs w:val="17"/>
              </w:rPr>
              <w:t xml:space="preserve">ADPEC</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000000"/>
                <w:sz w:val="17"/>
                <w:szCs w:val="17"/>
              </w:rPr>
              <w:t xml:space="preserve">Quarterly</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000000"/>
                <w:sz w:val="17"/>
                <w:szCs w:val="17"/>
              </w:rPr>
              <w:t xml:space="preserve">5% / qtr</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2E75B6"/>
                <w:sz w:val="17"/>
                <w:szCs w:val="17"/>
              </w:rPr>
              <w:t xml:space="preserve">AMCMSA</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7"/>
                <w:szCs w:val="17"/>
              </w:rPr>
              <w:t xml:space="preserve">AMC Multi-Strategy Alts Fund</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7"/>
                <w:szCs w:val="17"/>
              </w:rPr>
              <w:t xml:space="preserve">TENDER_OFFER</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7"/>
                <w:szCs w:val="17"/>
              </w:rPr>
              <w:t xml:space="preserve">00827E101 / 200 / 309</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7"/>
                <w:szCs w:val="17"/>
              </w:rPr>
              <w:t xml:space="preserve">ADPE</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7"/>
                <w:szCs w:val="17"/>
              </w:rPr>
              <w:t xml:space="preserve">Quarterly</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7"/>
                <w:szCs w:val="17"/>
              </w:rPr>
              <w:t xml:space="preserve">5% / qtr</w:t>
            </w:r>
          </w:p>
        </w:tc>
      </w:tr>
    </w:tbl>
    <w:p>
      <w:pPr>
        <w:spacing w:after="0" w:before="80"/>
      </w:pPr>
      <w:r>
        <w:rPr>
          <w:sz w:val="20"/>
          <w:szCs w:val="20"/>
        </w:rPr>
        <w:t xml:space="preserve"/>
      </w:r>
    </w:p>
    <w:p>
      <w:pPr>
        <w:pStyle w:val="Heading3"/>
        <w:spacing w:after="80" w:before="220"/>
      </w:pPr>
      <w:r>
        <w:rPr>
          <w:b/>
          <w:bCs/>
          <w:color w:val="1F3864"/>
          <w:sz w:val="22"/>
          <w:szCs w:val="22"/>
        </w:rPr>
        <w:t xml:space="preserve">Share Classes</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gridCol w:w="100"/>
        <w:gridCol w:w="100"/>
      </w:tblGrid>
      <w:tr>
        <w:trPr>
          <w:tblHeader/>
        </w:trPr>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Share Class</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Min. Investment</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Front Load</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Mgmt Fee</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12b-1 Fee</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Dealer Comm</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Underwriter Comm</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Target Investor</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8"/>
                <w:szCs w:val="18"/>
              </w:rPr>
              <w:t xml:space="preserve">Class A</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$2,500</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5.75%</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1.25%</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0.25%</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5.00%</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0.75%</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Retail / wirehouse</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8"/>
                <w:szCs w:val="18"/>
              </w:rPr>
              <w:t xml:space="preserve">Class I</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$100,000</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None</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1.00%</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None</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None</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None</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Institutional / RIA</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8"/>
                <w:szCs w:val="18"/>
              </w:rPr>
              <w:t xml:space="preserve">Class W</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$25,000</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None</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1.10%</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0.25%</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None</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None</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Wealth management platforms</w:t>
            </w:r>
          </w:p>
        </w:tc>
      </w:tr>
    </w:tbl>
    <w:p>
      <w:pPr>
        <w:spacing w:after="0" w:before="80"/>
      </w:pPr>
      <w:r>
        <w:rPr>
          <w:sz w:val="20"/>
          <w:szCs w:val="20"/>
        </w:rPr>
        <w:t xml:space="preserve"/>
      </w:r>
    </w:p>
    <w:p>
      <w:pPr>
        <w:pStyle w:val="Heading3"/>
        <w:spacing w:after="80" w:before="220"/>
      </w:pPr>
      <w:r>
        <w:rPr>
          <w:b/>
          <w:bCs/>
          <w:color w:val="1F3864"/>
          <w:sz w:val="22"/>
          <w:szCs w:val="22"/>
        </w:rPr>
        <w:t xml:space="preserve">M.3  Transaction Type Taxonomy</w:t>
      </w:r>
    </w:p>
    <w:p>
      <w:pPr>
        <w:spacing w:after="60" w:before="60"/>
      </w:pPr>
      <w:r>
        <w:rPr>
          <w:b w:val="false"/>
          <w:bCs w:val="false"/>
          <w:i w:val="false"/>
          <w:iCs w:val="false"/>
          <w:color w:val="000000"/>
          <w:sz w:val="20"/>
          <w:szCs w:val="20"/>
        </w:rPr>
        <w:t xml:space="preserve">The following 12 transaction types cover the full lifecycle of an evergreen / semi-liquid fund investor account. Each maps to a DST TRAN_CODE and TRAN_SUFFIX pair consistent with the SS&amp;C DST feed format.</w:t>
      </w:r>
    </w:p>
    <w:p>
      <w:pPr>
        <w:spacing w:after="0" w:before="80"/>
      </w:pPr>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gridCol w:w="100"/>
      </w:tblGrid>
      <w:tr>
        <w:trPr>
          <w:tblHeader/>
        </w:trPr>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Tran Type</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Code</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Suffix</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Class</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Description</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When It Fires</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Shares Impact</w:t>
            </w:r>
          </w:p>
        </w:tc>
      </w:tr>
      <w:tr>
        <w:tc>
          <w:tcPr>
            <w:tcW w:type="dxa" w:w="1400"/>
            <w:tcBorders>
              <w:top w:val="single" w:color="BFBFBF" w:sz="4"/>
              <w:left w:val="single" w:color="BFBFBF" w:sz="4"/>
              <w:bottom w:val="single" w:color="BFBFBF" w:sz="4"/>
              <w:right w:val="single" w:color="BFBFBF" w:sz="4"/>
            </w:tcBorders>
            <w:shd w:fill="D6F0E0" w:color="auto" w:val="clear"/>
            <w:vAlign w:val="center"/>
          </w:tcPr>
          <w:p>
            <w:pPr>
              <w:spacing w:after="40" w:before="40"/>
              <w:jc w:val="left"/>
            </w:pPr>
            <w:r>
              <w:rPr>
                <w:b/>
                <w:bCs/>
                <w:i w:val="false"/>
                <w:iCs w:val="false"/>
                <w:color w:val="1E6B3C"/>
                <w:sz w:val="16"/>
                <w:szCs w:val="16"/>
              </w:rPr>
              <w:t xml:space="preserve">PURCH_NEW</w:t>
            </w:r>
          </w:p>
        </w:tc>
        <w:tc>
          <w:tcPr>
            <w:tcW w:type="dxa" w:w="500"/>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000000"/>
                <w:sz w:val="18"/>
                <w:szCs w:val="18"/>
              </w:rPr>
              <w:t xml:space="preserve">001</w:t>
            </w:r>
          </w:p>
        </w:tc>
        <w:tc>
          <w:tcPr>
            <w:tcW w:type="dxa" w:w="500"/>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000000"/>
                <w:sz w:val="18"/>
                <w:szCs w:val="18"/>
              </w:rPr>
              <w:t xml:space="preserve">006</w:t>
            </w:r>
          </w:p>
        </w:tc>
        <w:tc>
          <w:tcPr>
            <w:tcW w:type="dxa" w:w="400"/>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000000"/>
                <w:sz w:val="18"/>
                <w:szCs w:val="18"/>
              </w:rPr>
              <w:t xml:space="preserve">N</w:t>
            </w:r>
          </w:p>
        </w:tc>
        <w:tc>
          <w:tcPr>
            <w:tcW w:type="dxa" w:w="1800"/>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bCs/>
                <w:i w:val="false"/>
                <w:iCs w:val="false"/>
                <w:color w:val="000000"/>
                <w:sz w:val="16"/>
                <w:szCs w:val="16"/>
              </w:rPr>
              <w:t xml:space="preserve">New account purchase</w:t>
            </w:r>
          </w:p>
        </w:tc>
        <w:tc>
          <w:tcPr>
            <w:tcW w:type="dxa" w:w="3200"/>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000000"/>
                <w:sz w:val="15"/>
                <w:szCs w:val="15"/>
              </w:rPr>
              <w:t xml:space="preserve">New investor opening account; initial subscription documents required; triggers KYC/AML check. Amount ≥ share class minimum.</w:t>
            </w:r>
          </w:p>
        </w:tc>
        <w:tc>
          <w:tcPr>
            <w:tcW w:type="dxa" w:w="800"/>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1E6B3C"/>
                <w:sz w:val="15"/>
                <w:szCs w:val="15"/>
              </w:rPr>
              <w:t xml:space="preserve">↑ Increase</w:t>
            </w:r>
          </w:p>
        </w:tc>
      </w:tr>
      <w:tr>
        <w:tc>
          <w:tcPr>
            <w:tcW w:type="dxa" w:w="1400"/>
            <w:tcBorders>
              <w:top w:val="single" w:color="BFBFBF" w:sz="4"/>
              <w:left w:val="single" w:color="BFBFBF" w:sz="4"/>
              <w:bottom w:val="single" w:color="BFBFBF" w:sz="4"/>
              <w:right w:val="single" w:color="BFBFBF" w:sz="4"/>
            </w:tcBorders>
            <w:shd w:fill="D6F0E0" w:color="auto" w:val="clear"/>
            <w:vAlign w:val="center"/>
          </w:tcPr>
          <w:p>
            <w:pPr>
              <w:spacing w:after="40" w:before="40"/>
              <w:jc w:val="left"/>
            </w:pPr>
            <w:r>
              <w:rPr>
                <w:b/>
                <w:bCs/>
                <w:i w:val="false"/>
                <w:iCs w:val="false"/>
                <w:color w:val="1E6B3C"/>
                <w:sz w:val="16"/>
                <w:szCs w:val="16"/>
              </w:rPr>
              <w:t xml:space="preserve">PURCH_ADD</w:t>
            </w:r>
          </w:p>
        </w:tc>
        <w:tc>
          <w:tcPr>
            <w:tcW w:type="dxa" w:w="500"/>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000000"/>
                <w:sz w:val="18"/>
                <w:szCs w:val="18"/>
              </w:rPr>
              <w:t xml:space="preserve">002</w:t>
            </w:r>
          </w:p>
        </w:tc>
        <w:tc>
          <w:tcPr>
            <w:tcW w:type="dxa" w:w="500"/>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000000"/>
                <w:sz w:val="18"/>
                <w:szCs w:val="18"/>
              </w:rPr>
              <w:t xml:space="preserve">006</w:t>
            </w:r>
          </w:p>
        </w:tc>
        <w:tc>
          <w:tcPr>
            <w:tcW w:type="dxa" w:w="400"/>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000000"/>
                <w:sz w:val="18"/>
                <w:szCs w:val="18"/>
              </w:rPr>
              <w:t xml:space="preserve">N</w:t>
            </w:r>
          </w:p>
        </w:tc>
        <w:tc>
          <w:tcPr>
            <w:tcW w:type="dxa" w:w="1800"/>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6"/>
                <w:szCs w:val="16"/>
              </w:rPr>
              <w:t xml:space="preserve">Additional purchase</w:t>
            </w:r>
          </w:p>
        </w:tc>
        <w:tc>
          <w:tcPr>
            <w:tcW w:type="dxa" w:w="3200"/>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5"/>
                <w:szCs w:val="15"/>
              </w:rPr>
              <w:t xml:space="preserve">Existing account adding capital. No new subscription documents needed unless account is stale. Most frequent transaction type (42% of volume).</w:t>
            </w:r>
          </w:p>
        </w:tc>
        <w:tc>
          <w:tcPr>
            <w:tcW w:type="dxa" w:w="800"/>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1E6B3C"/>
                <w:sz w:val="15"/>
                <w:szCs w:val="15"/>
              </w:rPr>
              <w:t xml:space="preserve">↑ Increase</w:t>
            </w:r>
          </w:p>
        </w:tc>
      </w:tr>
      <w:tr>
        <w:tc>
          <w:tcPr>
            <w:tcW w:type="dxa" w:w="1400"/>
            <w:tcBorders>
              <w:top w:val="single" w:color="BFBFBF" w:sz="4"/>
              <w:left w:val="single" w:color="BFBFBF" w:sz="4"/>
              <w:bottom w:val="single" w:color="BFBFBF" w:sz="4"/>
              <w:right w:val="single" w:color="BFBFBF" w:sz="4"/>
            </w:tcBorders>
            <w:shd w:fill="D6E4F0" w:color="auto" w:val="clear"/>
            <w:vAlign w:val="center"/>
          </w:tcPr>
          <w:p>
            <w:pPr>
              <w:spacing w:after="40" w:before="40"/>
              <w:jc w:val="left"/>
            </w:pPr>
            <w:r>
              <w:rPr>
                <w:b/>
                <w:bCs/>
                <w:i w:val="false"/>
                <w:iCs w:val="false"/>
                <w:color w:val="2E75B6"/>
                <w:sz w:val="16"/>
                <w:szCs w:val="16"/>
              </w:rPr>
              <w:t xml:space="preserve">DRIP</w:t>
            </w:r>
          </w:p>
        </w:tc>
        <w:tc>
          <w:tcPr>
            <w:tcW w:type="dxa" w:w="500"/>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000000"/>
                <w:sz w:val="18"/>
                <w:szCs w:val="18"/>
              </w:rPr>
              <w:t xml:space="preserve">071</w:t>
            </w:r>
          </w:p>
        </w:tc>
        <w:tc>
          <w:tcPr>
            <w:tcW w:type="dxa" w:w="500"/>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000000"/>
                <w:sz w:val="18"/>
                <w:szCs w:val="18"/>
              </w:rPr>
              <w:t xml:space="preserve">023</w:t>
            </w:r>
          </w:p>
        </w:tc>
        <w:tc>
          <w:tcPr>
            <w:tcW w:type="dxa" w:w="400"/>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000000"/>
                <w:sz w:val="18"/>
                <w:szCs w:val="18"/>
              </w:rPr>
              <w:t xml:space="preserve">A</w:t>
            </w:r>
          </w:p>
        </w:tc>
        <w:tc>
          <w:tcPr>
            <w:tcW w:type="dxa" w:w="1800"/>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bCs/>
                <w:i w:val="false"/>
                <w:iCs w:val="false"/>
                <w:color w:val="000000"/>
                <w:sz w:val="16"/>
                <w:szCs w:val="16"/>
              </w:rPr>
              <w:t xml:space="preserve">Distribution reinvestment</w:t>
            </w:r>
          </w:p>
        </w:tc>
        <w:tc>
          <w:tcPr>
            <w:tcW w:type="dxa" w:w="3200"/>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000000"/>
                <w:sz w:val="15"/>
                <w:szCs w:val="15"/>
              </w:rPr>
              <w:t xml:space="preserve">Investor elects to reinvest cash distribution into new shares at current NAV. Generates shares = distribution ÷ NAV. 1% trail commission on Class A.</w:t>
            </w:r>
          </w:p>
        </w:tc>
        <w:tc>
          <w:tcPr>
            <w:tcW w:type="dxa" w:w="800"/>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7B4F00"/>
                <w:sz w:val="15"/>
                <w:szCs w:val="15"/>
              </w:rPr>
              <w:t xml:space="preserve">→ No change</w:t>
            </w:r>
          </w:p>
        </w:tc>
      </w:tr>
      <w:tr>
        <w:tc>
          <w:tcPr>
            <w:tcW w:type="dxa" w:w="1400"/>
            <w:tcBorders>
              <w:top w:val="single" w:color="BFBFBF" w:sz="4"/>
              <w:left w:val="single" w:color="BFBFBF" w:sz="4"/>
              <w:bottom w:val="single" w:color="BFBFBF" w:sz="4"/>
              <w:right w:val="single" w:color="BFBFBF" w:sz="4"/>
            </w:tcBorders>
            <w:shd w:fill="D6E4F0" w:color="auto" w:val="clear"/>
            <w:vAlign w:val="center"/>
          </w:tcPr>
          <w:p>
            <w:pPr>
              <w:spacing w:after="40" w:before="40"/>
              <w:jc w:val="left"/>
            </w:pPr>
            <w:r>
              <w:rPr>
                <w:b/>
                <w:bCs/>
                <w:i w:val="false"/>
                <w:iCs w:val="false"/>
                <w:color w:val="2E75B6"/>
                <w:sz w:val="16"/>
                <w:szCs w:val="16"/>
              </w:rPr>
              <w:t xml:space="preserve">DIST_CASH</w:t>
            </w:r>
          </w:p>
        </w:tc>
        <w:tc>
          <w:tcPr>
            <w:tcW w:type="dxa" w:w="500"/>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000000"/>
                <w:sz w:val="18"/>
                <w:szCs w:val="18"/>
              </w:rPr>
              <w:t xml:space="preserve">030</w:t>
            </w:r>
          </w:p>
        </w:tc>
        <w:tc>
          <w:tcPr>
            <w:tcW w:type="dxa" w:w="500"/>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000000"/>
                <w:sz w:val="18"/>
                <w:szCs w:val="18"/>
              </w:rPr>
              <w:t xml:space="preserve">006</w:t>
            </w:r>
          </w:p>
        </w:tc>
        <w:tc>
          <w:tcPr>
            <w:tcW w:type="dxa" w:w="400"/>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000000"/>
                <w:sz w:val="18"/>
                <w:szCs w:val="18"/>
              </w:rPr>
              <w:t xml:space="preserve">A</w:t>
            </w:r>
          </w:p>
        </w:tc>
        <w:tc>
          <w:tcPr>
            <w:tcW w:type="dxa" w:w="1800"/>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6"/>
                <w:szCs w:val="16"/>
              </w:rPr>
              <w:t xml:space="preserve">Cash distribution</w:t>
            </w:r>
          </w:p>
        </w:tc>
        <w:tc>
          <w:tcPr>
            <w:tcW w:type="dxa" w:w="3200"/>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5"/>
                <w:szCs w:val="15"/>
              </w:rPr>
              <w:t xml:space="preserve">Cash distribution payment to investor who opted out of DRIP. No new shares created. Reduces fund distributable income.</w:t>
            </w:r>
          </w:p>
        </w:tc>
        <w:tc>
          <w:tcPr>
            <w:tcW w:type="dxa" w:w="800"/>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7B4F00"/>
                <w:sz w:val="15"/>
                <w:szCs w:val="15"/>
              </w:rPr>
              <w:t xml:space="preserve">→ No change</w:t>
            </w:r>
          </w:p>
        </w:tc>
      </w:tr>
      <w:tr>
        <w:tc>
          <w:tcPr>
            <w:tcW w:type="dxa" w:w="1400"/>
            <w:tcBorders>
              <w:top w:val="single" w:color="BFBFBF" w:sz="4"/>
              <w:left w:val="single" w:color="BFBFBF" w:sz="4"/>
              <w:bottom w:val="single" w:color="BFBFBF" w:sz="4"/>
              <w:right w:val="single" w:color="BFBFBF" w:sz="4"/>
            </w:tcBorders>
            <w:shd w:fill="FFF3CD" w:color="auto" w:val="clear"/>
            <w:vAlign w:val="center"/>
          </w:tcPr>
          <w:p>
            <w:pPr>
              <w:spacing w:after="40" w:before="40"/>
              <w:jc w:val="left"/>
            </w:pPr>
            <w:r>
              <w:rPr>
                <w:b/>
                <w:bCs/>
                <w:i w:val="false"/>
                <w:iCs w:val="false"/>
                <w:color w:val="7B4F00"/>
                <w:sz w:val="16"/>
                <w:szCs w:val="16"/>
              </w:rPr>
              <w:t xml:space="preserve">REDM_TENDER</w:t>
            </w:r>
          </w:p>
        </w:tc>
        <w:tc>
          <w:tcPr>
            <w:tcW w:type="dxa" w:w="500"/>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000000"/>
                <w:sz w:val="18"/>
                <w:szCs w:val="18"/>
              </w:rPr>
              <w:t xml:space="preserve">003</w:t>
            </w:r>
          </w:p>
        </w:tc>
        <w:tc>
          <w:tcPr>
            <w:tcW w:type="dxa" w:w="500"/>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000000"/>
                <w:sz w:val="18"/>
                <w:szCs w:val="18"/>
              </w:rPr>
              <w:t xml:space="preserve">023</w:t>
            </w:r>
          </w:p>
        </w:tc>
        <w:tc>
          <w:tcPr>
            <w:tcW w:type="dxa" w:w="400"/>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000000"/>
                <w:sz w:val="18"/>
                <w:szCs w:val="18"/>
              </w:rPr>
              <w:t xml:space="preserve">R</w:t>
            </w:r>
          </w:p>
        </w:tc>
        <w:tc>
          <w:tcPr>
            <w:tcW w:type="dxa" w:w="1800"/>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bCs/>
                <w:i w:val="false"/>
                <w:iCs w:val="false"/>
                <w:color w:val="000000"/>
                <w:sz w:val="16"/>
                <w:szCs w:val="16"/>
              </w:rPr>
              <w:t xml:space="preserve">Tender offer redemption</w:t>
            </w:r>
          </w:p>
        </w:tc>
        <w:tc>
          <w:tcPr>
            <w:tcW w:type="dxa" w:w="3200"/>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000000"/>
                <w:sz w:val="15"/>
                <w:szCs w:val="15"/>
              </w:rPr>
              <w:t xml:space="preserve">Redemption during quarterly tender window (INTERVAL / TENDER_OFFER funds only). Subject to 5% fund-level pro-ration if tender exceeds limit.</w:t>
            </w:r>
          </w:p>
        </w:tc>
        <w:tc>
          <w:tcPr>
            <w:tcW w:type="dxa" w:w="800"/>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CC0000"/>
                <w:sz w:val="15"/>
                <w:szCs w:val="15"/>
              </w:rPr>
              <w:t xml:space="preserve">↓ Decrease</w:t>
            </w:r>
          </w:p>
        </w:tc>
      </w:tr>
      <w:tr>
        <w:tc>
          <w:tcPr>
            <w:tcW w:type="dxa" w:w="1400"/>
            <w:tcBorders>
              <w:top w:val="single" w:color="BFBFBF" w:sz="4"/>
              <w:left w:val="single" w:color="BFBFBF" w:sz="4"/>
              <w:bottom w:val="single" w:color="BFBFBF" w:sz="4"/>
              <w:right w:val="single" w:color="BFBFBF" w:sz="4"/>
            </w:tcBorders>
            <w:shd w:fill="FFF3CD" w:color="auto" w:val="clear"/>
            <w:vAlign w:val="center"/>
          </w:tcPr>
          <w:p>
            <w:pPr>
              <w:spacing w:after="40" w:before="40"/>
              <w:jc w:val="left"/>
            </w:pPr>
            <w:r>
              <w:rPr>
                <w:b/>
                <w:bCs/>
                <w:i w:val="false"/>
                <w:iCs w:val="false"/>
                <w:color w:val="7B4F00"/>
                <w:sz w:val="16"/>
                <w:szCs w:val="16"/>
              </w:rPr>
              <w:t xml:space="preserve">REDM_DEATH</w:t>
            </w:r>
          </w:p>
        </w:tc>
        <w:tc>
          <w:tcPr>
            <w:tcW w:type="dxa" w:w="500"/>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000000"/>
                <w:sz w:val="18"/>
                <w:szCs w:val="18"/>
              </w:rPr>
              <w:t xml:space="preserve">003</w:t>
            </w:r>
          </w:p>
        </w:tc>
        <w:tc>
          <w:tcPr>
            <w:tcW w:type="dxa" w:w="500"/>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000000"/>
                <w:sz w:val="18"/>
                <w:szCs w:val="18"/>
              </w:rPr>
              <w:t xml:space="preserve">006</w:t>
            </w:r>
          </w:p>
        </w:tc>
        <w:tc>
          <w:tcPr>
            <w:tcW w:type="dxa" w:w="400"/>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000000"/>
                <w:sz w:val="18"/>
                <w:szCs w:val="18"/>
              </w:rPr>
              <w:t xml:space="preserve">R</w:t>
            </w:r>
          </w:p>
        </w:tc>
        <w:tc>
          <w:tcPr>
            <w:tcW w:type="dxa" w:w="1800"/>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6"/>
                <w:szCs w:val="16"/>
              </w:rPr>
              <w:t xml:space="preserve">Death / hardship redemption</w:t>
            </w:r>
          </w:p>
        </w:tc>
        <w:tc>
          <w:tcPr>
            <w:tcW w:type="dxa" w:w="3200"/>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5"/>
                <w:szCs w:val="15"/>
              </w:rPr>
              <w:t xml:space="preserve">Early redemption outside tender window due to death, disability, or other qualifying hardship. Fund discretion; no pro-ration.</w:t>
            </w:r>
          </w:p>
        </w:tc>
        <w:tc>
          <w:tcPr>
            <w:tcW w:type="dxa" w:w="800"/>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CC0000"/>
                <w:sz w:val="15"/>
                <w:szCs w:val="15"/>
              </w:rPr>
              <w:t xml:space="preserve">↓ Decrease</w:t>
            </w:r>
          </w:p>
        </w:tc>
      </w:tr>
      <w:tr>
        <w:tc>
          <w:tcPr>
            <w:tcW w:type="dxa" w:w="1400"/>
            <w:tcBorders>
              <w:top w:val="single" w:color="BFBFBF" w:sz="4"/>
              <w:left w:val="single" w:color="BFBFBF" w:sz="4"/>
              <w:bottom w:val="single" w:color="BFBFBF" w:sz="4"/>
              <w:right w:val="single" w:color="BFBFBF" w:sz="4"/>
            </w:tcBorders>
            <w:shd w:fill="FFF3CD" w:color="auto" w:val="clear"/>
            <w:vAlign w:val="center"/>
          </w:tcPr>
          <w:p>
            <w:pPr>
              <w:spacing w:after="40" w:before="40"/>
              <w:jc w:val="left"/>
            </w:pPr>
            <w:r>
              <w:rPr>
                <w:b/>
                <w:bCs/>
                <w:i w:val="false"/>
                <w:iCs w:val="false"/>
                <w:color w:val="7B4F00"/>
                <w:sz w:val="16"/>
                <w:szCs w:val="16"/>
              </w:rPr>
              <w:t xml:space="preserve">REDM_SYSTEMATIC</w:t>
            </w:r>
          </w:p>
        </w:tc>
        <w:tc>
          <w:tcPr>
            <w:tcW w:type="dxa" w:w="500"/>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000000"/>
                <w:sz w:val="18"/>
                <w:szCs w:val="18"/>
              </w:rPr>
              <w:t xml:space="preserve">003</w:t>
            </w:r>
          </w:p>
        </w:tc>
        <w:tc>
          <w:tcPr>
            <w:tcW w:type="dxa" w:w="500"/>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000000"/>
                <w:sz w:val="18"/>
                <w:szCs w:val="18"/>
              </w:rPr>
              <w:t xml:space="preserve">023</w:t>
            </w:r>
          </w:p>
        </w:tc>
        <w:tc>
          <w:tcPr>
            <w:tcW w:type="dxa" w:w="400"/>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000000"/>
                <w:sz w:val="18"/>
                <w:szCs w:val="18"/>
              </w:rPr>
              <w:t xml:space="preserve">R</w:t>
            </w:r>
          </w:p>
        </w:tc>
        <w:tc>
          <w:tcPr>
            <w:tcW w:type="dxa" w:w="1800"/>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bCs/>
                <w:i w:val="false"/>
                <w:iCs w:val="false"/>
                <w:color w:val="000000"/>
                <w:sz w:val="16"/>
                <w:szCs w:val="16"/>
              </w:rPr>
              <w:t xml:space="preserve">Systematic withdrawal</w:t>
            </w:r>
          </w:p>
        </w:tc>
        <w:tc>
          <w:tcPr>
            <w:tcW w:type="dxa" w:w="3200"/>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000000"/>
                <w:sz w:val="15"/>
                <w:szCs w:val="15"/>
              </w:rPr>
              <w:t xml:space="preserve">Regular periodic redemption via Systematic Withdrawal Plan (SWP). NT-REIT and NT-BDC only. Subject to tender window availability.</w:t>
            </w:r>
          </w:p>
        </w:tc>
        <w:tc>
          <w:tcPr>
            <w:tcW w:type="dxa" w:w="800"/>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CC0000"/>
                <w:sz w:val="15"/>
                <w:szCs w:val="15"/>
              </w:rPr>
              <w:t xml:space="preserve">↓ Decrease</w:t>
            </w:r>
          </w:p>
        </w:tc>
      </w:tr>
      <w:tr>
        <w:tc>
          <w:tcPr>
            <w:tcW w:type="dxa" w:w="1400"/>
            <w:tcBorders>
              <w:top w:val="single" w:color="BFBFBF" w:sz="4"/>
              <w:left w:val="single" w:color="BFBFBF" w:sz="4"/>
              <w:bottom w:val="single" w:color="BFBFBF" w:sz="4"/>
              <w:right w:val="single" w:color="BFBFBF" w:sz="4"/>
            </w:tcBorders>
            <w:shd w:fill="EDE7F6" w:color="auto" w:val="clear"/>
            <w:vAlign w:val="center"/>
          </w:tcPr>
          <w:p>
            <w:pPr>
              <w:spacing w:after="40" w:before="40"/>
              <w:jc w:val="left"/>
            </w:pPr>
            <w:r>
              <w:rPr>
                <w:b/>
                <w:bCs/>
                <w:i w:val="false"/>
                <w:iCs w:val="false"/>
                <w:color w:val="4B0082"/>
                <w:sz w:val="16"/>
                <w:szCs w:val="16"/>
              </w:rPr>
              <w:t xml:space="preserve">EXCH_IN</w:t>
            </w:r>
          </w:p>
        </w:tc>
        <w:tc>
          <w:tcPr>
            <w:tcW w:type="dxa" w:w="500"/>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000000"/>
                <w:sz w:val="18"/>
                <w:szCs w:val="18"/>
              </w:rPr>
              <w:t xml:space="preserve">004</w:t>
            </w:r>
          </w:p>
        </w:tc>
        <w:tc>
          <w:tcPr>
            <w:tcW w:type="dxa" w:w="500"/>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000000"/>
                <w:sz w:val="18"/>
                <w:szCs w:val="18"/>
              </w:rPr>
              <w:t xml:space="preserve">006</w:t>
            </w:r>
          </w:p>
        </w:tc>
        <w:tc>
          <w:tcPr>
            <w:tcW w:type="dxa" w:w="400"/>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000000"/>
                <w:sz w:val="18"/>
                <w:szCs w:val="18"/>
              </w:rPr>
              <w:t xml:space="preserve">N</w:t>
            </w:r>
          </w:p>
        </w:tc>
        <w:tc>
          <w:tcPr>
            <w:tcW w:type="dxa" w:w="1800"/>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6"/>
                <w:szCs w:val="16"/>
              </w:rPr>
              <w:t xml:space="preserve">Exchange in</w:t>
            </w:r>
          </w:p>
        </w:tc>
        <w:tc>
          <w:tcPr>
            <w:tcW w:type="dxa" w:w="3200"/>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5"/>
                <w:szCs w:val="15"/>
              </w:rPr>
              <w:t xml:space="preserve">Investor exchanging from another fund or share class into this offering. Gross amount = market value of surrendered shares. No sales load on same-family exchange.</w:t>
            </w:r>
          </w:p>
        </w:tc>
        <w:tc>
          <w:tcPr>
            <w:tcW w:type="dxa" w:w="800"/>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1E6B3C"/>
                <w:sz w:val="15"/>
                <w:szCs w:val="15"/>
              </w:rPr>
              <w:t xml:space="preserve">↑ Increase</w:t>
            </w:r>
          </w:p>
        </w:tc>
      </w:tr>
      <w:tr>
        <w:tc>
          <w:tcPr>
            <w:tcW w:type="dxa" w:w="1400"/>
            <w:tcBorders>
              <w:top w:val="single" w:color="BFBFBF" w:sz="4"/>
              <w:left w:val="single" w:color="BFBFBF" w:sz="4"/>
              <w:bottom w:val="single" w:color="BFBFBF" w:sz="4"/>
              <w:right w:val="single" w:color="BFBFBF" w:sz="4"/>
            </w:tcBorders>
            <w:shd w:fill="EDE7F6" w:color="auto" w:val="clear"/>
            <w:vAlign w:val="center"/>
          </w:tcPr>
          <w:p>
            <w:pPr>
              <w:spacing w:after="40" w:before="40"/>
              <w:jc w:val="left"/>
            </w:pPr>
            <w:r>
              <w:rPr>
                <w:b/>
                <w:bCs/>
                <w:i w:val="false"/>
                <w:iCs w:val="false"/>
                <w:color w:val="4B0082"/>
                <w:sz w:val="16"/>
                <w:szCs w:val="16"/>
              </w:rPr>
              <w:t xml:space="preserve">EXCH_OUT</w:t>
            </w:r>
          </w:p>
        </w:tc>
        <w:tc>
          <w:tcPr>
            <w:tcW w:type="dxa" w:w="500"/>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000000"/>
                <w:sz w:val="18"/>
                <w:szCs w:val="18"/>
              </w:rPr>
              <w:t xml:space="preserve">005</w:t>
            </w:r>
          </w:p>
        </w:tc>
        <w:tc>
          <w:tcPr>
            <w:tcW w:type="dxa" w:w="500"/>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000000"/>
                <w:sz w:val="18"/>
                <w:szCs w:val="18"/>
              </w:rPr>
              <w:t xml:space="preserve">006</w:t>
            </w:r>
          </w:p>
        </w:tc>
        <w:tc>
          <w:tcPr>
            <w:tcW w:type="dxa" w:w="400"/>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000000"/>
                <w:sz w:val="18"/>
                <w:szCs w:val="18"/>
              </w:rPr>
              <w:t xml:space="preserve">R</w:t>
            </w:r>
          </w:p>
        </w:tc>
        <w:tc>
          <w:tcPr>
            <w:tcW w:type="dxa" w:w="1800"/>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bCs/>
                <w:i w:val="false"/>
                <w:iCs w:val="false"/>
                <w:color w:val="000000"/>
                <w:sz w:val="16"/>
                <w:szCs w:val="16"/>
              </w:rPr>
              <w:t xml:space="preserve">Exchange out</w:t>
            </w:r>
          </w:p>
        </w:tc>
        <w:tc>
          <w:tcPr>
            <w:tcW w:type="dxa" w:w="3200"/>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000000"/>
                <w:sz w:val="15"/>
                <w:szCs w:val="15"/>
              </w:rPr>
              <w:t xml:space="preserve">Mirror of EXCH_IN. Share class upgrade (A→I) is modeled as EXCH_OUT + SC_UPGRADE pair.</w:t>
            </w:r>
          </w:p>
        </w:tc>
        <w:tc>
          <w:tcPr>
            <w:tcW w:type="dxa" w:w="800"/>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CC0000"/>
                <w:sz w:val="15"/>
                <w:szCs w:val="15"/>
              </w:rPr>
              <w:t xml:space="preserve">↓ Decrease</w:t>
            </w:r>
          </w:p>
        </w:tc>
      </w:tr>
      <w:tr>
        <w:tc>
          <w:tcPr>
            <w:tcW w:type="dxa" w:w="1400"/>
            <w:tcBorders>
              <w:top w:val="single" w:color="BFBFBF" w:sz="4"/>
              <w:left w:val="single" w:color="BFBFBF" w:sz="4"/>
              <w:bottom w:val="single" w:color="BFBFBF" w:sz="4"/>
              <w:right w:val="single" w:color="BFBFBF" w:sz="4"/>
            </w:tcBorders>
            <w:shd w:fill="EDE7F6" w:color="auto" w:val="clear"/>
            <w:vAlign w:val="center"/>
          </w:tcPr>
          <w:p>
            <w:pPr>
              <w:spacing w:after="40" w:before="40"/>
              <w:jc w:val="left"/>
            </w:pPr>
            <w:r>
              <w:rPr>
                <w:b/>
                <w:bCs/>
                <w:i w:val="false"/>
                <w:iCs w:val="false"/>
                <w:color w:val="4B0082"/>
                <w:sz w:val="16"/>
                <w:szCs w:val="16"/>
              </w:rPr>
              <w:t xml:space="preserve">XFER_IN</w:t>
            </w:r>
          </w:p>
        </w:tc>
        <w:tc>
          <w:tcPr>
            <w:tcW w:type="dxa" w:w="500"/>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000000"/>
                <w:sz w:val="18"/>
                <w:szCs w:val="18"/>
              </w:rPr>
              <w:t xml:space="preserve">006</w:t>
            </w:r>
          </w:p>
        </w:tc>
        <w:tc>
          <w:tcPr>
            <w:tcW w:type="dxa" w:w="500"/>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000000"/>
                <w:sz w:val="18"/>
                <w:szCs w:val="18"/>
              </w:rPr>
              <w:t xml:space="preserve">006</w:t>
            </w:r>
          </w:p>
        </w:tc>
        <w:tc>
          <w:tcPr>
            <w:tcW w:type="dxa" w:w="400"/>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000000"/>
                <w:sz w:val="18"/>
                <w:szCs w:val="18"/>
              </w:rPr>
              <w:t xml:space="preserve">N</w:t>
            </w:r>
          </w:p>
        </w:tc>
        <w:tc>
          <w:tcPr>
            <w:tcW w:type="dxa" w:w="1800"/>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6"/>
                <w:szCs w:val="16"/>
              </w:rPr>
              <w:t xml:space="preserve">Transfer in (ACATS)</w:t>
            </w:r>
          </w:p>
        </w:tc>
        <w:tc>
          <w:tcPr>
            <w:tcW w:type="dxa" w:w="3200"/>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5"/>
                <w:szCs w:val="15"/>
              </w:rPr>
              <w:t xml:space="preserve">Account transferred in from another broker. Shares move at current NAV. No cash settlement — position transfer only.</w:t>
            </w:r>
          </w:p>
        </w:tc>
        <w:tc>
          <w:tcPr>
            <w:tcW w:type="dxa" w:w="800"/>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1E6B3C"/>
                <w:sz w:val="15"/>
                <w:szCs w:val="15"/>
              </w:rPr>
              <w:t xml:space="preserve">↑ Increase</w:t>
            </w:r>
          </w:p>
        </w:tc>
      </w:tr>
      <w:tr>
        <w:tc>
          <w:tcPr>
            <w:tcW w:type="dxa" w:w="1400"/>
            <w:tcBorders>
              <w:top w:val="single" w:color="BFBFBF" w:sz="4"/>
              <w:left w:val="single" w:color="BFBFBF" w:sz="4"/>
              <w:bottom w:val="single" w:color="BFBFBF" w:sz="4"/>
              <w:right w:val="single" w:color="BFBFBF" w:sz="4"/>
            </w:tcBorders>
            <w:shd w:fill="EDE7F6" w:color="auto" w:val="clear"/>
            <w:vAlign w:val="center"/>
          </w:tcPr>
          <w:p>
            <w:pPr>
              <w:spacing w:after="40" w:before="40"/>
              <w:jc w:val="left"/>
            </w:pPr>
            <w:r>
              <w:rPr>
                <w:b/>
                <w:bCs/>
                <w:i w:val="false"/>
                <w:iCs w:val="false"/>
                <w:color w:val="4B0082"/>
                <w:sz w:val="16"/>
                <w:szCs w:val="16"/>
              </w:rPr>
              <w:t xml:space="preserve">XFER_OUT</w:t>
            </w:r>
          </w:p>
        </w:tc>
        <w:tc>
          <w:tcPr>
            <w:tcW w:type="dxa" w:w="500"/>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000000"/>
                <w:sz w:val="18"/>
                <w:szCs w:val="18"/>
              </w:rPr>
              <w:t xml:space="preserve">007</w:t>
            </w:r>
          </w:p>
        </w:tc>
        <w:tc>
          <w:tcPr>
            <w:tcW w:type="dxa" w:w="500"/>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000000"/>
                <w:sz w:val="18"/>
                <w:szCs w:val="18"/>
              </w:rPr>
              <w:t xml:space="preserve">006</w:t>
            </w:r>
          </w:p>
        </w:tc>
        <w:tc>
          <w:tcPr>
            <w:tcW w:type="dxa" w:w="400"/>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000000"/>
                <w:sz w:val="18"/>
                <w:szCs w:val="18"/>
              </w:rPr>
              <w:t xml:space="preserve">R</w:t>
            </w:r>
          </w:p>
        </w:tc>
        <w:tc>
          <w:tcPr>
            <w:tcW w:type="dxa" w:w="1800"/>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bCs/>
                <w:i w:val="false"/>
                <w:iCs w:val="false"/>
                <w:color w:val="000000"/>
                <w:sz w:val="16"/>
                <w:szCs w:val="16"/>
              </w:rPr>
              <w:t xml:space="preserve">Transfer out (ACATS)</w:t>
            </w:r>
          </w:p>
        </w:tc>
        <w:tc>
          <w:tcPr>
            <w:tcW w:type="dxa" w:w="3200"/>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000000"/>
                <w:sz w:val="15"/>
                <w:szCs w:val="15"/>
              </w:rPr>
              <w:t xml:space="preserve">Mirror of XFER_IN.</w:t>
            </w:r>
          </w:p>
        </w:tc>
        <w:tc>
          <w:tcPr>
            <w:tcW w:type="dxa" w:w="800"/>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CC0000"/>
                <w:sz w:val="15"/>
                <w:szCs w:val="15"/>
              </w:rPr>
              <w:t xml:space="preserve">↓ Decrease</w:t>
            </w:r>
          </w:p>
        </w:tc>
      </w:tr>
      <w:tr>
        <w:tc>
          <w:tcPr>
            <w:tcW w:type="dxa" w:w="1400"/>
            <w:tcBorders>
              <w:top w:val="single" w:color="BFBFBF" w:sz="4"/>
              <w:left w:val="single" w:color="BFBFBF" w:sz="4"/>
              <w:bottom w:val="single" w:color="BFBFBF" w:sz="4"/>
              <w:right w:val="single" w:color="BFBFBF" w:sz="4"/>
            </w:tcBorders>
            <w:shd w:fill="D6E4F0" w:color="auto" w:val="clear"/>
            <w:vAlign w:val="center"/>
          </w:tcPr>
          <w:p>
            <w:pPr>
              <w:spacing w:after="40" w:before="40"/>
              <w:jc w:val="left"/>
            </w:pPr>
            <w:r>
              <w:rPr>
                <w:b/>
                <w:bCs/>
                <w:i w:val="false"/>
                <w:iCs w:val="false"/>
                <w:color w:val="1F3864"/>
                <w:sz w:val="16"/>
                <w:szCs w:val="16"/>
              </w:rPr>
              <w:t xml:space="preserve">SC_UPGRADE</w:t>
            </w:r>
          </w:p>
        </w:tc>
        <w:tc>
          <w:tcPr>
            <w:tcW w:type="dxa" w:w="500"/>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000000"/>
                <w:sz w:val="18"/>
                <w:szCs w:val="18"/>
              </w:rPr>
              <w:t xml:space="preserve">027</w:t>
            </w:r>
          </w:p>
        </w:tc>
        <w:tc>
          <w:tcPr>
            <w:tcW w:type="dxa" w:w="500"/>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000000"/>
                <w:sz w:val="18"/>
                <w:szCs w:val="18"/>
              </w:rPr>
              <w:t xml:space="preserve">023</w:t>
            </w:r>
          </w:p>
        </w:tc>
        <w:tc>
          <w:tcPr>
            <w:tcW w:type="dxa" w:w="400"/>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000000"/>
                <w:sz w:val="18"/>
                <w:szCs w:val="18"/>
              </w:rPr>
              <w:t xml:space="preserve">A</w:t>
            </w:r>
          </w:p>
        </w:tc>
        <w:tc>
          <w:tcPr>
            <w:tcW w:type="dxa" w:w="1800"/>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6"/>
                <w:szCs w:val="16"/>
              </w:rPr>
              <w:t xml:space="preserve">Share class upgrade</w:t>
            </w:r>
          </w:p>
        </w:tc>
        <w:tc>
          <w:tcPr>
            <w:tcW w:type="dxa" w:w="3200"/>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5"/>
                <w:szCs w:val="15"/>
              </w:rPr>
              <w:t xml:space="preserve">Automatic upgrade from Class A to Class I when cumulative investment exceeds threshold. Re-prices shares at I-class NAV; excess load rebated.</w:t>
            </w:r>
          </w:p>
        </w:tc>
        <w:tc>
          <w:tcPr>
            <w:tcW w:type="dxa" w:w="800"/>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7B4F00"/>
                <w:sz w:val="15"/>
                <w:szCs w:val="15"/>
              </w:rPr>
              <w:t xml:space="preserve">→ No change</w:t>
            </w:r>
          </w:p>
        </w:tc>
      </w:tr>
    </w:tbl>
    <w:p>
      <w:pPr>
        <w:spacing w:after="0" w:before="80"/>
      </w:pPr>
      <w:r>
        <w:rPr>
          <w:sz w:val="20"/>
          <w:szCs w:val="20"/>
        </w:rPr>
        <w:t xml:space="preserve"/>
      </w:r>
    </w:p>
    <w:p>
      <w:pPr>
        <w:pStyle w:val="Heading3"/>
        <w:spacing w:after="80" w:before="220"/>
      </w:pPr>
      <w:r>
        <w:rPr>
          <w:b/>
          <w:bCs/>
          <w:color w:val="1F3864"/>
          <w:sz w:val="22"/>
          <w:szCs w:val="22"/>
        </w:rPr>
        <w:t xml:space="preserve">M.4  Evergreen Data Model — CSV File Structure</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File</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Rows</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Key Fields</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Purpose</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2E75B6"/>
                <w:sz w:val="18"/>
                <w:szCs w:val="18"/>
              </w:rPr>
              <w:t xml:space="preserve">01_ev_funds.csv</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12</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fund_id, share_class, cusip, product_code</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Fund and share class reference; fee schedule; tender parameters</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2E75B6"/>
                <w:sz w:val="18"/>
                <w:szCs w:val="18"/>
              </w:rPr>
              <w:t xml:space="preserve">02_ev_nav_history.csv</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120</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nav_date, fund_id, share_class, nav_per_share</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10 days × 4 funds × 3 share classes; daily NAV for share calculation</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2E75B6"/>
                <w:sz w:val="18"/>
                <w:szCs w:val="18"/>
              </w:rPr>
              <w:t xml:space="preserve">03_ev_accounts.csv</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500</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account_id, broker_id, platform_code, drip_election</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500 investor accounts across 15 brokers/platforms; DRIP election flag</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2E75B6"/>
                <w:sz w:val="18"/>
                <w:szCs w:val="18"/>
              </w:rPr>
              <w:t xml:space="preserve">04_ev_brokers.csv</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15</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broker_id, firm_id, settlement_method, platform_code</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15 broker-dealers: LPL, Merrill, UBS, iCapital, CAIS, etc.</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2E75B6"/>
                <w:sz w:val="18"/>
                <w:szCs w:val="18"/>
              </w:rPr>
              <w:t xml:space="preserve">05_ev_transactions.csv</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10,000</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transaction_id, tran_type, tran_code, gross_amount, total_shares, nav_per_share</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Full trade file: 1,000 trades/day × 10 business days; all 12 tran types</w:t>
            </w:r>
          </w:p>
        </w:tc>
      </w:tr>
    </w:tbl>
    <w:p>
      <w:pPr>
        <w:spacing w:after="0" w:before="80"/>
      </w:pPr>
      <w:r>
        <w:rPr>
          <w:sz w:val="20"/>
          <w:szCs w:val="20"/>
        </w:rPr>
        <w:t xml:space="preserve"/>
      </w:r>
    </w:p>
    <w:p>
      <w:pPr>
        <w:pStyle w:val="Heading3"/>
        <w:spacing w:after="80" w:before="220"/>
      </w:pPr>
      <w:r>
        <w:rPr>
          <w:b/>
          <w:bCs/>
          <w:color w:val="1F3864"/>
          <w:sz w:val="22"/>
          <w:szCs w:val="22"/>
        </w:rPr>
        <w:t xml:space="preserve">Key Transaction Fields</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Field</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Type</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Description</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7"/>
                <w:szCs w:val="17"/>
              </w:rPr>
              <w:t xml:space="preserve">transaction_id</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iCs/>
                <w:color w:val="555555"/>
                <w:sz w:val="16"/>
                <w:szCs w:val="16"/>
              </w:rPr>
              <w:t xml:space="preserve">VARCHAR(20)</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000000"/>
                <w:sz w:val="17"/>
                <w:szCs w:val="17"/>
              </w:rPr>
              <w:t xml:space="preserve">Unique trade identifier (sequential + random component)</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7"/>
                <w:szCs w:val="17"/>
              </w:rPr>
              <w:t xml:space="preserve">trade_date</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iCs/>
                <w:color w:val="555555"/>
                <w:sz w:val="16"/>
                <w:szCs w:val="16"/>
              </w:rPr>
              <w:t xml:space="preserve">DATE</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7"/>
                <w:szCs w:val="17"/>
              </w:rPr>
              <w:t xml:space="preserve">Date investor initiated the transaction</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7"/>
                <w:szCs w:val="17"/>
              </w:rPr>
              <w:t xml:space="preserve">settle_date</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iCs/>
                <w:color w:val="555555"/>
                <w:sz w:val="16"/>
                <w:szCs w:val="16"/>
              </w:rPr>
              <w:t xml:space="preserve">DATE</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000000"/>
                <w:sz w:val="17"/>
                <w:szCs w:val="17"/>
              </w:rPr>
              <w:t xml:space="preserve">Settlement: T+1 for NSCC; T+3 for direct/platform</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7"/>
                <w:szCs w:val="17"/>
              </w:rPr>
              <w:t xml:space="preserve">tran_type</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iCs/>
                <w:color w:val="555555"/>
                <w:sz w:val="16"/>
                <w:szCs w:val="16"/>
              </w:rPr>
              <w:t xml:space="preserve">VARCHAR(20)</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7"/>
                <w:szCs w:val="17"/>
              </w:rPr>
              <w:t xml:space="preserve">Semantic type: PURCH_NEW, DRIP, REDM_TENDER, etc.</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7"/>
                <w:szCs w:val="17"/>
              </w:rPr>
              <w:t xml:space="preserve">tran_code</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iCs/>
                <w:color w:val="555555"/>
                <w:sz w:val="16"/>
                <w:szCs w:val="16"/>
              </w:rPr>
              <w:t xml:space="preserve">CHAR(3)</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000000"/>
                <w:sz w:val="17"/>
                <w:szCs w:val="17"/>
              </w:rPr>
              <w:t xml:space="preserve">DST TRAN_CODE: 001=purchase, 003=redemption, 071=DRIP</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7"/>
                <w:szCs w:val="17"/>
              </w:rPr>
              <w:t xml:space="preserve">tran_suffix</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iCs/>
                <w:color w:val="555555"/>
                <w:sz w:val="16"/>
                <w:szCs w:val="16"/>
              </w:rPr>
              <w:t xml:space="preserve">CHAR(3)</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7"/>
                <w:szCs w:val="17"/>
              </w:rPr>
              <w:t xml:space="preserve">DST sub-type: 006=standard, 023=systematic/special</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7"/>
                <w:szCs w:val="17"/>
              </w:rPr>
              <w:t xml:space="preserve">gross_amount</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iCs/>
                <w:color w:val="555555"/>
                <w:sz w:val="16"/>
                <w:szCs w:val="16"/>
              </w:rPr>
              <w:t xml:space="preserve">DECIMAL(15,2)</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000000"/>
                <w:sz w:val="17"/>
                <w:szCs w:val="17"/>
              </w:rPr>
              <w:t xml:space="preserve">Investor gross amount (before commissions)</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7"/>
                <w:szCs w:val="17"/>
              </w:rPr>
              <w:t xml:space="preserve">net_amount</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iCs/>
                <w:color w:val="555555"/>
                <w:sz w:val="16"/>
                <w:szCs w:val="16"/>
              </w:rPr>
              <w:t xml:space="preserve">DECIMAL(15,2)</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7"/>
                <w:szCs w:val="17"/>
              </w:rPr>
              <w:t xml:space="preserve">gross_amount minus dealer_comm and under_comm</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7"/>
                <w:szCs w:val="17"/>
              </w:rPr>
              <w:t xml:space="preserve">total_shares</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iCs/>
                <w:color w:val="555555"/>
                <w:sz w:val="16"/>
                <w:szCs w:val="16"/>
              </w:rPr>
              <w:t xml:space="preserve">DECIMAL(15,4)</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000000"/>
                <w:sz w:val="17"/>
                <w:szCs w:val="17"/>
              </w:rPr>
              <w:t xml:space="preserve">Shares = gross_amount ÷ nav_per_share</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7"/>
                <w:szCs w:val="17"/>
              </w:rPr>
              <w:t xml:space="preserve">nav_per_share</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iCs/>
                <w:color w:val="555555"/>
                <w:sz w:val="16"/>
                <w:szCs w:val="16"/>
              </w:rPr>
              <w:t xml:space="preserve">DECIMAL(10,4)</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7"/>
                <w:szCs w:val="17"/>
              </w:rPr>
              <w:t xml:space="preserve">NAV on trade date; varies by fund/class/date</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7"/>
                <w:szCs w:val="17"/>
              </w:rPr>
              <w:t xml:space="preserve">dealer_comm_amount</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iCs/>
                <w:color w:val="555555"/>
                <w:sz w:val="16"/>
                <w:szCs w:val="16"/>
              </w:rPr>
              <w:t xml:space="preserve">DECIMAL(10,2)</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000000"/>
                <w:sz w:val="17"/>
                <w:szCs w:val="17"/>
              </w:rPr>
              <w:t xml:space="preserve">Front-end commission paid to broker (Class A only)</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7"/>
                <w:szCs w:val="17"/>
              </w:rPr>
              <w:t xml:space="preserve">under_comm_amount</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iCs/>
                <w:color w:val="555555"/>
                <w:sz w:val="16"/>
                <w:szCs w:val="16"/>
              </w:rPr>
              <w:t xml:space="preserve">DECIMAL(10,2)</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7"/>
                <w:szCs w:val="17"/>
              </w:rPr>
              <w:t xml:space="preserve">Underwriter concession (Class A new purchases only)</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7"/>
                <w:szCs w:val="17"/>
              </w:rPr>
              <w:t xml:space="preserve">drip_election</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iCs/>
                <w:color w:val="555555"/>
                <w:sz w:val="16"/>
                <w:szCs w:val="16"/>
              </w:rPr>
              <w:t xml:space="preserve">CHAR(1)</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000000"/>
                <w:sz w:val="17"/>
                <w:szCs w:val="17"/>
              </w:rPr>
              <w:t xml:space="preserve">Y = investor reinvests distributions; N = cash</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7"/>
                <w:szCs w:val="17"/>
              </w:rPr>
              <w:t xml:space="preserve">tender_window_flag</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iCs/>
                <w:color w:val="555555"/>
                <w:sz w:val="16"/>
                <w:szCs w:val="16"/>
              </w:rPr>
              <w:t xml:space="preserve">CHAR(1)</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7"/>
                <w:szCs w:val="17"/>
              </w:rPr>
              <w:t xml:space="preserve">Y = redemption submitted during tender window</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7"/>
                <w:szCs w:val="17"/>
              </w:rPr>
              <w:t xml:space="preserve">nscc_control_nbr</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iCs/>
                <w:color w:val="555555"/>
                <w:sz w:val="16"/>
                <w:szCs w:val="16"/>
              </w:rPr>
              <w:t xml:space="preserve">VARCHAR(12)</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000000"/>
                <w:sz w:val="17"/>
                <w:szCs w:val="17"/>
              </w:rPr>
              <w:t xml:space="preserve">NSCC clearing reference; blank for direct-settled trades</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7"/>
                <w:szCs w:val="17"/>
              </w:rPr>
              <w:t xml:space="preserve">platform_code</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iCs/>
                <w:color w:val="555555"/>
                <w:sz w:val="16"/>
                <w:szCs w:val="16"/>
              </w:rPr>
              <w:t xml:space="preserve">VARCHAR(5)</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7"/>
                <w:szCs w:val="17"/>
              </w:rPr>
              <w:t xml:space="preserve">LPLF, MLCO, ICAP, CAIS, etc.</w:t>
            </w:r>
          </w:p>
        </w:tc>
      </w:tr>
    </w:tbl>
    <w:p>
      <w:pPr>
        <w:spacing w:after="0" w:before="80"/>
      </w:pPr>
      <w:r>
        <w:rPr>
          <w:sz w:val="20"/>
          <w:szCs w:val="20"/>
        </w:rPr>
        <w:t xml:space="preserve"/>
      </w:r>
    </w:p>
    <w:p>
      <w:pPr>
        <w:pStyle w:val="Heading3"/>
        <w:spacing w:after="80" w:before="220"/>
      </w:pPr>
      <w:r>
        <w:rPr>
          <w:b/>
          <w:bCs/>
          <w:color w:val="1F3864"/>
          <w:sz w:val="22"/>
          <w:szCs w:val="22"/>
        </w:rPr>
        <w:t xml:space="preserve">M.5  Sample Dataset Summary</w:t>
      </w:r>
    </w:p>
    <w:tbl>
      <w:tblPr>
        <w:tblW w:type="dxa" w:w="5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Metric</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Value</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8"/>
                <w:szCs w:val="18"/>
              </w:rPr>
              <w:t xml:space="preserve">Total transactions</w:t>
            </w:r>
          </w:p>
        </w:tc>
        <w:tc>
          <w:tcPr>
            <w:tcBorders>
              <w:top w:val="single" w:color="BFBFBF" w:sz="4"/>
              <w:left w:val="single" w:color="BFBFBF" w:sz="4"/>
              <w:bottom w:val="single" w:color="BFBFBF" w:sz="4"/>
              <w:right w:val="single" w:color="BFBFBF" w:sz="4"/>
            </w:tcBorders>
            <w:vAlign w:val="center"/>
          </w:tcPr>
          <w:p>
            <w:pPr>
              <w:spacing w:after="40" w:before="40"/>
              <w:jc w:val="left"/>
            </w:pPr>
            <w:r>
              <w:rPr>
                <w:b/>
                <w:bCs/>
                <w:i w:val="false"/>
                <w:iCs w:val="false"/>
                <w:color w:val="2E75B6"/>
                <w:sz w:val="18"/>
                <w:szCs w:val="18"/>
              </w:rPr>
              <w:t xml:space="preserve">10,000  (1,000 / day × 10 business days)</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8"/>
                <w:szCs w:val="18"/>
              </w:rPr>
              <w:t xml:space="preserve">Date range</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2024-01-02 to 2024-01-15</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8"/>
                <w:szCs w:val="18"/>
              </w:rPr>
              <w:t xml:space="preserve">Total gross volume</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~$979.6M</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8"/>
                <w:szCs w:val="18"/>
              </w:rPr>
              <w:t xml:space="preserve">Funds</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4 (AMCECF, AMCRAI, AMCPCI, AMCMSA)</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8"/>
                <w:szCs w:val="18"/>
              </w:rPr>
              <w:t xml:space="preserve">Share classes</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3 per fund (A / I / W)</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8"/>
                <w:szCs w:val="18"/>
              </w:rPr>
              <w:t xml:space="preserve">Investor accounts</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500</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8"/>
                <w:szCs w:val="18"/>
              </w:rPr>
              <w:t xml:space="preserve">Broker-dealers / platforms</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15 (LPL, Merrill, MS, UBS, iCapital, CAIS, Schwab …)</w:t>
            </w:r>
          </w:p>
        </w:tc>
      </w:tr>
    </w:tbl>
    <w:p>
      <w:pPr>
        <w:spacing w:after="0" w:before="80"/>
      </w:pPr>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Transaction Type</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Count</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 of Volume</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Trigger</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bCs/>
                <w:i w:val="false"/>
                <w:iCs w:val="false"/>
                <w:color w:val="2E75B6"/>
                <w:sz w:val="17"/>
                <w:szCs w:val="17"/>
              </w:rPr>
              <w:t xml:space="preserve">PURCH_ADD</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000000"/>
                <w:sz w:val="17"/>
                <w:szCs w:val="17"/>
              </w:rPr>
              <w:t xml:space="preserve">4,200</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000000"/>
                <w:sz w:val="17"/>
                <w:szCs w:val="17"/>
              </w:rPr>
              <w:t xml:space="preserve">42.0%</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000000"/>
                <w:sz w:val="17"/>
                <w:szCs w:val="17"/>
              </w:rPr>
              <w:t xml:space="preserve">Existing account additional investment — daily</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2E75B6"/>
                <w:sz w:val="17"/>
                <w:szCs w:val="17"/>
              </w:rPr>
              <w:t xml:space="preserve">PURCH_NEW</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000000"/>
                <w:sz w:val="17"/>
                <w:szCs w:val="17"/>
              </w:rPr>
              <w:t xml:space="preserve">1,530</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000000"/>
                <w:sz w:val="17"/>
                <w:szCs w:val="17"/>
              </w:rPr>
              <w:t xml:space="preserve">15.3%</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7"/>
                <w:szCs w:val="17"/>
              </w:rPr>
              <w:t xml:space="preserve">New account opening — daily</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bCs/>
                <w:i w:val="false"/>
                <w:iCs w:val="false"/>
                <w:color w:val="2E75B6"/>
                <w:sz w:val="17"/>
                <w:szCs w:val="17"/>
              </w:rPr>
              <w:t xml:space="preserve">DRIP</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000000"/>
                <w:sz w:val="17"/>
                <w:szCs w:val="17"/>
              </w:rPr>
              <w:t xml:space="preserve">700</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000000"/>
                <w:sz w:val="17"/>
                <w:szCs w:val="17"/>
              </w:rPr>
              <w:t xml:space="preserve">7.0%</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000000"/>
                <w:sz w:val="17"/>
                <w:szCs w:val="17"/>
              </w:rPr>
              <w:t xml:space="preserve">Distribution reinvestment — Day 3 (processing day)</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2E75B6"/>
                <w:sz w:val="17"/>
                <w:szCs w:val="17"/>
              </w:rPr>
              <w:t xml:space="preserve">REDM_TENDER</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000000"/>
                <w:sz w:val="17"/>
                <w:szCs w:val="17"/>
              </w:rPr>
              <w:t xml:space="preserve">700</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000000"/>
                <w:sz w:val="17"/>
                <w:szCs w:val="17"/>
              </w:rPr>
              <w:t xml:space="preserve">7.0%</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7"/>
                <w:szCs w:val="17"/>
              </w:rPr>
              <w:t xml:space="preserve">Quarterly tender window — Days 5 &amp; 6</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bCs/>
                <w:i w:val="false"/>
                <w:iCs w:val="false"/>
                <w:color w:val="2E75B6"/>
                <w:sz w:val="17"/>
                <w:szCs w:val="17"/>
              </w:rPr>
              <w:t xml:space="preserve">XFER_IN</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000000"/>
                <w:sz w:val="17"/>
                <w:szCs w:val="17"/>
              </w:rPr>
              <w:t xml:space="preserve">630</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000000"/>
                <w:sz w:val="17"/>
                <w:szCs w:val="17"/>
              </w:rPr>
              <w:t xml:space="preserve">6.3%</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000000"/>
                <w:sz w:val="17"/>
                <w:szCs w:val="17"/>
              </w:rPr>
              <w:t xml:space="preserve">Account transfer in — daily</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2E75B6"/>
                <w:sz w:val="17"/>
                <w:szCs w:val="17"/>
              </w:rPr>
              <w:t xml:space="preserve">XFER_OUT</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000000"/>
                <w:sz w:val="17"/>
                <w:szCs w:val="17"/>
              </w:rPr>
              <w:t xml:space="preserve">620</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000000"/>
                <w:sz w:val="17"/>
                <w:szCs w:val="17"/>
              </w:rPr>
              <w:t xml:space="preserve">6.2%</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7"/>
                <w:szCs w:val="17"/>
              </w:rPr>
              <w:t xml:space="preserve">Account transfer out — daily</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bCs/>
                <w:i w:val="false"/>
                <w:iCs w:val="false"/>
                <w:color w:val="2E75B6"/>
                <w:sz w:val="17"/>
                <w:szCs w:val="17"/>
              </w:rPr>
              <w:t xml:space="preserve">EXCH_IN</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000000"/>
                <w:sz w:val="17"/>
                <w:szCs w:val="17"/>
              </w:rPr>
              <w:t xml:space="preserve">480</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000000"/>
                <w:sz w:val="17"/>
                <w:szCs w:val="17"/>
              </w:rPr>
              <w:t xml:space="preserve">4.8%</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000000"/>
                <w:sz w:val="17"/>
                <w:szCs w:val="17"/>
              </w:rPr>
              <w:t xml:space="preserve">Fund/class exchange — daily</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2E75B6"/>
                <w:sz w:val="17"/>
                <w:szCs w:val="17"/>
              </w:rPr>
              <w:t xml:space="preserve">EXCH_OUT</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000000"/>
                <w:sz w:val="17"/>
                <w:szCs w:val="17"/>
              </w:rPr>
              <w:t xml:space="preserve">480</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000000"/>
                <w:sz w:val="17"/>
                <w:szCs w:val="17"/>
              </w:rPr>
              <w:t xml:space="preserve">4.8%</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7"/>
                <w:szCs w:val="17"/>
              </w:rPr>
              <w:t xml:space="preserve">Fund/class exchange — daily</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bCs/>
                <w:i w:val="false"/>
                <w:iCs w:val="false"/>
                <w:color w:val="2E75B6"/>
                <w:sz w:val="17"/>
                <w:szCs w:val="17"/>
              </w:rPr>
              <w:t xml:space="preserve">DIST_CASH</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000000"/>
                <w:sz w:val="17"/>
                <w:szCs w:val="17"/>
              </w:rPr>
              <w:t xml:space="preserve">280</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000000"/>
                <w:sz w:val="17"/>
                <w:szCs w:val="17"/>
              </w:rPr>
              <w:t xml:space="preserve">2.8%</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000000"/>
                <w:sz w:val="17"/>
                <w:szCs w:val="17"/>
              </w:rPr>
              <w:t xml:space="preserve">Cash distribution payment — Days 3 &amp; 10</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2E75B6"/>
                <w:sz w:val="17"/>
                <w:szCs w:val="17"/>
              </w:rPr>
              <w:t xml:space="preserve">REDM_DEATH</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000000"/>
                <w:sz w:val="17"/>
                <w:szCs w:val="17"/>
              </w:rPr>
              <w:t xml:space="preserve">160</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000000"/>
                <w:sz w:val="17"/>
                <w:szCs w:val="17"/>
              </w:rPr>
              <w:t xml:space="preserve">1.6%</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7"/>
                <w:szCs w:val="17"/>
              </w:rPr>
              <w:t xml:space="preserve">Death/hardship — daily at low rate</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bCs/>
                <w:i w:val="false"/>
                <w:iCs w:val="false"/>
                <w:color w:val="2E75B6"/>
                <w:sz w:val="17"/>
                <w:szCs w:val="17"/>
              </w:rPr>
              <w:t xml:space="preserve">SC_UPGRADE</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000000"/>
                <w:sz w:val="17"/>
                <w:szCs w:val="17"/>
              </w:rPr>
              <w:t xml:space="preserve">120</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000000"/>
                <w:sz w:val="17"/>
                <w:szCs w:val="17"/>
              </w:rPr>
              <w:t xml:space="preserve">1.2%</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000000"/>
                <w:sz w:val="17"/>
                <w:szCs w:val="17"/>
              </w:rPr>
              <w:t xml:space="preserve">Class A→I upgrade — Days 3, 5, 10</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2E75B6"/>
                <w:sz w:val="17"/>
                <w:szCs w:val="17"/>
              </w:rPr>
              <w:t xml:space="preserve">REDM_SYSTEMATIC</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000000"/>
                <w:sz w:val="17"/>
                <w:szCs w:val="17"/>
              </w:rPr>
              <w:t xml:space="preserve">100</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000000"/>
                <w:sz w:val="17"/>
                <w:szCs w:val="17"/>
              </w:rPr>
              <w:t xml:space="preserve">1.0%</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7"/>
                <w:szCs w:val="17"/>
              </w:rPr>
              <w:t xml:space="preserve">Systematic withdrawal — Day 10 (month-end)</w:t>
            </w:r>
          </w:p>
        </w:tc>
      </w:tr>
    </w:tbl>
    <w:p>
      <w:pPr>
        <w:spacing w:after="0" w:before="80"/>
      </w:pPr>
      <w:r>
        <w:rPr>
          <w:sz w:val="20"/>
          <w:szCs w:val="20"/>
        </w:rPr>
        <w:t xml:space="preserve"/>
      </w:r>
    </w:p>
    <w:p>
      <w:pPr>
        <w:pStyle w:val="Heading3"/>
        <w:spacing w:after="80" w:before="220"/>
      </w:pPr>
      <w:r>
        <w:rPr>
          <w:b/>
          <w:bCs/>
          <w:color w:val="1F3864"/>
          <w:sz w:val="22"/>
          <w:szCs w:val="22"/>
        </w:rPr>
        <w:t xml:space="preserve">M.6  Closed-End vs Evergreen: Data Model Comparison</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Dimension</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Closed-End PE (AMC LBO Funds)</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Evergreen / Semi-Liquid (AMC EV Funds)</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8"/>
                <w:szCs w:val="18"/>
              </w:rPr>
              <w:t xml:space="preserve">Subscription</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At fund close only (Fund Close dates)</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Continuous — any business day</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8"/>
                <w:szCs w:val="18"/>
              </w:rPr>
              <w:t xml:space="preserve">TRAN_CODE (purchase)</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050 (initial close), 051 (additional close)</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001 (new), 002 (additional)</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8"/>
                <w:szCs w:val="18"/>
              </w:rPr>
              <w:t xml:space="preserve">Unit price</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Fixed peg ($1,000 or $1.00) — not NAV-based</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Daily / monthly NAV per share (varies by date)</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8"/>
                <w:szCs w:val="18"/>
              </w:rPr>
              <w:t xml:space="preserve">Redemption</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None (10-year lock-up); secondary market only</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Quarterly tender window (max 5% of NAV)</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8"/>
                <w:szCs w:val="18"/>
              </w:rPr>
              <w:t xml:space="preserve">TRAN_CODE (redemption)</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065/066 (tender offer, rare)</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003 (REDM_TENDER, REDM_DEATH, REDM_SYSTEMATIC)</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8"/>
                <w:szCs w:val="18"/>
              </w:rPr>
              <w:t xml:space="preserve">Distributions</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Capital return / realized gain after exit</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Regular income distributions (monthly/quarterly); DRIP elected per account</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8"/>
                <w:szCs w:val="18"/>
              </w:rPr>
              <w:t xml:space="preserve">DRIP</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Rare; reinvestment at unit price</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Standard feature; TRAN_CODE 071; new shares at NAV</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8"/>
                <w:szCs w:val="18"/>
              </w:rPr>
              <w:t xml:space="preserve">Commitment model</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Funded over time via capital calls</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Fully funded at subscription; no capital calls</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8"/>
                <w:szCs w:val="18"/>
              </w:rPr>
              <w:t xml:space="preserve">NSCC settlement</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Direct wire only (no NSCC for LP interests)</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NSCC AIP for wirehouse-distributed share classes</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8"/>
                <w:szCs w:val="18"/>
              </w:rPr>
              <w:t xml:space="preserve">Share classes</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LP Interest (Class A / Class B fee tiers)</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A (load), I (institutional), W (wealth platform)</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8"/>
                <w:szCs w:val="18"/>
              </w:rPr>
              <w:t xml:space="preserve">Commission structure</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No front-end load; placement fees at fund level</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Up to 5.75% front load (Class A); 1% trail on DRIP</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8"/>
                <w:szCs w:val="18"/>
              </w:rPr>
              <w:t xml:space="preserve">Key identifier</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Commitment ID → Capital Call → Wire</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Account Number + CUSIP + Trade Date → NAV calculation</w:t>
            </w:r>
          </w:p>
        </w:tc>
      </w:tr>
    </w:tbl>
    <w:p>
      <w:pPr>
        <w:spacing w:after="0" w:before="80"/>
      </w:pPr>
      <w:r>
        <w:rPr>
          <w:sz w:val="20"/>
          <w:szCs w:val="20"/>
        </w:rPr>
        <w:t xml:space="preserve"/>
      </w:r>
    </w:p>
    <w:p>
      <w:pPr>
        <w:pStyle w:val="Heading1"/>
        <w:spacing w:after="80" w:before="220"/>
      </w:pPr>
      <w:r>
        <w:rPr>
          <w:b/>
          <w:bCs/>
          <w:color w:val="1F3864"/>
          <w:sz w:val="28"/>
          <w:szCs w:val="28"/>
        </w:rPr>
        <w:t xml:space="preserve">Appendix N: AMC Capital Logical Data Model</w:t>
      </w:r>
    </w:p>
    <w:p>
      <w:pPr>
        <w:spacing w:after="60" w:before="60"/>
      </w:pPr>
      <w:r>
        <w:rPr>
          <w:b w:val="false"/>
          <w:bCs w:val="false"/>
          <w:i w:val="false"/>
          <w:iCs w:val="false"/>
          <w:color w:val="000000"/>
          <w:sz w:val="20"/>
          <w:szCs w:val="20"/>
        </w:rPr>
        <w:t xml:space="preserve">This appendix provides the full Logical Data Model for the AMC Capital data architecture — 25 entities, 32 relationships, and 5 domains spanning the closed-end PE fund lifecycle, portfolio investments, fund accounting, and the evergreen/semi-liquid fund model.</w:t>
      </w:r>
    </w:p>
    <w:p>
      <w:pPr>
        <w:spacing w:after="0" w:before="80"/>
      </w:pPr>
      <w:r>
        <w:rPr>
          <w:sz w:val="20"/>
          <w:szCs w:val="20"/>
        </w:rPr>
        <w:t xml:space="preserve"/>
      </w:r>
    </w:p>
    <w:p>
      <w:pPr>
        <w:pStyle w:val="Heading3"/>
        <w:spacing w:after="80" w:before="220"/>
      </w:pPr>
      <w:r>
        <w:rPr>
          <w:b/>
          <w:bCs/>
          <w:color w:val="1F3864"/>
          <w:sz w:val="22"/>
          <w:szCs w:val="22"/>
        </w:rPr>
        <w:t xml:space="preserve">N.1  Overview</w:t>
      </w:r>
    </w:p>
    <w:p>
      <w:pPr>
        <w:spacing w:after="60" w:before="60"/>
      </w:pPr>
      <w:r>
        <w:rPr>
          <w:b w:val="false"/>
          <w:bCs w:val="false"/>
          <w:i w:val="false"/>
          <w:iCs w:val="false"/>
          <w:color w:val="000000"/>
          <w:sz w:val="20"/>
          <w:szCs w:val="20"/>
        </w:rPr>
        <w:t xml:space="preserve">The AMC Capital Logical Data Model (LDM) spans 25 entities across five domains. The diagram below shows all entities and their relationships. This section provides the full entity catalogue with field definitions and a complete relationship matrix.</w:t>
      </w:r>
    </w:p>
    <w:p>
      <w:pPr>
        <w:spacing w:after="0" w:before="80"/>
      </w:pPr>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Domain</w:t>
            </w:r>
          </w:p>
        </w:tc>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Entities</w:t>
            </w:r>
          </w:p>
        </w:tc>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Source Files</w:t>
            </w:r>
          </w:p>
        </w:tc>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Description</w:t>
            </w:r>
          </w:p>
        </w:tc>
      </w:tr>
      <w:tr>
        <w:tc>
          <w:tcPr>
            <w:tcBorders>
              <w:top w:val="single" w:color="BFBFBF" w:sz="4"/>
              <w:left w:val="single" w:color="BFBFBF" w:sz="4"/>
              <w:bottom w:val="single" w:color="BFBFBF" w:sz="4"/>
              <w:right w:val="single" w:color="BFBFBF" w:sz="4"/>
            </w:tcBorders>
            <w:shd w:fill="D6E4F0" w:color="auto" w:val="clear"/>
            <w:vAlign w:val="center"/>
          </w:tcPr>
          <w:p>
            <w:pPr>
              <w:spacing w:after="36" w:before="36"/>
              <w:jc w:val="left"/>
            </w:pPr>
            <w:r>
              <w:rPr>
                <w:b/>
                <w:bCs/>
                <w:i w:val="false"/>
                <w:iCs w:val="false"/>
                <w:color w:val="1F3864"/>
                <w:sz w:val="18"/>
                <w:szCs w:val="18"/>
              </w:rPr>
              <w:t xml:space="preserve">Fund Structure</w:t>
            </w:r>
          </w:p>
        </w:tc>
        <w:tc>
          <w:tcPr>
            <w:tcBorders>
              <w:top w:val="single" w:color="BFBFBF" w:sz="4"/>
              <w:left w:val="single" w:color="BFBFBF" w:sz="4"/>
              <w:bottom w:val="single" w:color="BFBFBF" w:sz="4"/>
              <w:right w:val="single" w:color="BFBFBF" w:sz="4"/>
            </w:tcBorders>
            <w:vAlign w:val="center"/>
          </w:tcPr>
          <w:p>
            <w:pPr>
              <w:spacing w:after="36" w:before="36"/>
              <w:jc w:val="left"/>
            </w:pPr>
            <w:r>
              <w:rPr>
                <w:b w:val="false"/>
                <w:bCs w:val="false"/>
                <w:i w:val="false"/>
                <w:iCs w:val="false"/>
                <w:color w:val="000000"/>
                <w:sz w:val="18"/>
                <w:szCs w:val="18"/>
              </w:rPr>
              <w:t xml:space="preserve">Product, Fund, Vehicle, Offering, FundClose, Investor, Commitment, CapitalCall, CCNotice, Wire, GLTransaction</w:t>
            </w:r>
          </w:p>
        </w:tc>
        <w:tc>
          <w:tcPr>
            <w:tcBorders>
              <w:top w:val="single" w:color="BFBFBF" w:sz="4"/>
              <w:left w:val="single" w:color="BFBFBF" w:sz="4"/>
              <w:bottom w:val="single" w:color="BFBFBF" w:sz="4"/>
              <w:right w:val="single" w:color="BFBFBF" w:sz="4"/>
            </w:tcBorders>
            <w:vAlign w:val="center"/>
          </w:tcPr>
          <w:p>
            <w:pPr>
              <w:spacing w:after="36" w:before="36"/>
              <w:jc w:val="left"/>
            </w:pPr>
            <w:r>
              <w:rPr>
                <w:b w:val="false"/>
                <w:bCs w:val="false"/>
                <w:i w:val="false"/>
                <w:iCs w:val="false"/>
                <w:color w:val="000000"/>
                <w:sz w:val="18"/>
                <w:szCs w:val="18"/>
              </w:rPr>
              <w:t xml:space="preserve">01–11 (PE)</w:t>
            </w:r>
          </w:p>
        </w:tc>
        <w:tc>
          <w:tcPr>
            <w:tcBorders>
              <w:top w:val="single" w:color="BFBFBF" w:sz="4"/>
              <w:left w:val="single" w:color="BFBFBF" w:sz="4"/>
              <w:bottom w:val="single" w:color="BFBFBF" w:sz="4"/>
              <w:right w:val="single" w:color="BFBFBF" w:sz="4"/>
            </w:tcBorders>
            <w:vAlign w:val="center"/>
          </w:tcPr>
          <w:p>
            <w:pPr>
              <w:spacing w:after="36" w:before="36"/>
              <w:jc w:val="left"/>
            </w:pPr>
            <w:r>
              <w:rPr>
                <w:b w:val="false"/>
                <w:bCs w:val="false"/>
                <w:i w:val="false"/>
                <w:iCs w:val="false"/>
                <w:color w:val="000000"/>
                <w:sz w:val="18"/>
                <w:szCs w:val="18"/>
              </w:rPr>
              <w:t xml:space="preserve">Full closed-end PE fund lifecycle from GP product through capital call settlement</w:t>
            </w:r>
          </w:p>
        </w:tc>
      </w:tr>
      <w:tr>
        <w:tc>
          <w:tcPr>
            <w:tcBorders>
              <w:top w:val="single" w:color="BFBFBF" w:sz="4"/>
              <w:left w:val="single" w:color="BFBFBF" w:sz="4"/>
              <w:bottom w:val="single" w:color="BFBFBF" w:sz="4"/>
              <w:right w:val="single" w:color="BFBFBF" w:sz="4"/>
            </w:tcBorders>
            <w:shd w:fill="D6F0E0" w:color="auto" w:val="clear"/>
            <w:vAlign w:val="center"/>
          </w:tcPr>
          <w:p>
            <w:pPr>
              <w:spacing w:after="36" w:before="36"/>
              <w:jc w:val="left"/>
            </w:pPr>
            <w:r>
              <w:rPr>
                <w:b/>
                <w:bCs/>
                <w:i w:val="false"/>
                <w:iCs w:val="false"/>
                <w:color w:val="1E6B3C"/>
                <w:sz w:val="18"/>
                <w:szCs w:val="18"/>
              </w:rPr>
              <w:t xml:space="preserve">Portfolio</w:t>
            </w:r>
          </w:p>
        </w:tc>
        <w:tc>
          <w:tcPr>
            <w:tcBorders>
              <w:top w:val="single" w:color="BFBFBF" w:sz="4"/>
              <w:left w:val="single" w:color="BFBFBF" w:sz="4"/>
              <w:bottom w:val="single" w:color="BFBFBF" w:sz="4"/>
              <w:right w:val="single" w:color="BFBFBF" w:sz="4"/>
            </w:tcBorders>
            <w:vAlign w:val="center"/>
          </w:tcPr>
          <w:p>
            <w:pPr>
              <w:spacing w:after="36" w:before="36"/>
              <w:jc w:val="left"/>
            </w:pPr>
            <w:r>
              <w:rPr>
                <w:b w:val="false"/>
                <w:bCs w:val="false"/>
                <w:i w:val="false"/>
                <w:iCs w:val="false"/>
                <w:color w:val="000000"/>
                <w:sz w:val="18"/>
                <w:szCs w:val="18"/>
              </w:rPr>
              <w:t xml:space="preserve">PortfolioCompany, PortfolioInvestment, PortfolioTransaction</w:t>
            </w:r>
          </w:p>
        </w:tc>
        <w:tc>
          <w:tcPr>
            <w:tcBorders>
              <w:top w:val="single" w:color="BFBFBF" w:sz="4"/>
              <w:left w:val="single" w:color="BFBFBF" w:sz="4"/>
              <w:bottom w:val="single" w:color="BFBFBF" w:sz="4"/>
              <w:right w:val="single" w:color="BFBFBF" w:sz="4"/>
            </w:tcBorders>
            <w:vAlign w:val="center"/>
          </w:tcPr>
          <w:p>
            <w:pPr>
              <w:spacing w:after="36" w:before="36"/>
              <w:jc w:val="left"/>
            </w:pPr>
            <w:r>
              <w:rPr>
                <w:b w:val="false"/>
                <w:bCs w:val="false"/>
                <w:i w:val="false"/>
                <w:iCs w:val="false"/>
                <w:color w:val="000000"/>
                <w:sz w:val="18"/>
                <w:szCs w:val="18"/>
              </w:rPr>
              <w:t xml:space="preserve">13–15 (PE)</w:t>
            </w:r>
          </w:p>
        </w:tc>
        <w:tc>
          <w:tcPr>
            <w:tcBorders>
              <w:top w:val="single" w:color="BFBFBF" w:sz="4"/>
              <w:left w:val="single" w:color="BFBFBF" w:sz="4"/>
              <w:bottom w:val="single" w:color="BFBFBF" w:sz="4"/>
              <w:right w:val="single" w:color="BFBFBF" w:sz="4"/>
            </w:tcBorders>
            <w:vAlign w:val="center"/>
          </w:tcPr>
          <w:p>
            <w:pPr>
              <w:spacing w:after="36" w:before="36"/>
              <w:jc w:val="left"/>
            </w:pPr>
            <w:r>
              <w:rPr>
                <w:b w:val="false"/>
                <w:bCs w:val="false"/>
                <w:i w:val="false"/>
                <w:iCs w:val="false"/>
                <w:color w:val="000000"/>
                <w:sz w:val="18"/>
                <w:szCs w:val="18"/>
              </w:rPr>
              <w:t xml:space="preserve">Portfolio company holdings, quarterly fair value marks, deployment/exit events</w:t>
            </w:r>
          </w:p>
        </w:tc>
      </w:tr>
      <w:tr>
        <w:tc>
          <w:tcPr>
            <w:tcBorders>
              <w:top w:val="single" w:color="BFBFBF" w:sz="4"/>
              <w:left w:val="single" w:color="BFBFBF" w:sz="4"/>
              <w:bottom w:val="single" w:color="BFBFBF" w:sz="4"/>
              <w:right w:val="single" w:color="BFBFBF" w:sz="4"/>
            </w:tcBorders>
            <w:shd w:fill="FFF3CD" w:color="auto" w:val="clear"/>
            <w:vAlign w:val="center"/>
          </w:tcPr>
          <w:p>
            <w:pPr>
              <w:spacing w:after="36" w:before="36"/>
              <w:jc w:val="left"/>
            </w:pPr>
            <w:r>
              <w:rPr>
                <w:b/>
                <w:bCs/>
                <w:i w:val="false"/>
                <w:iCs w:val="false"/>
                <w:color w:val="7B4F00"/>
                <w:sz w:val="18"/>
                <w:szCs w:val="18"/>
              </w:rPr>
              <w:t xml:space="preserve">Fund Accounting</w:t>
            </w:r>
          </w:p>
        </w:tc>
        <w:tc>
          <w:tcPr>
            <w:tcBorders>
              <w:top w:val="single" w:color="BFBFBF" w:sz="4"/>
              <w:left w:val="single" w:color="BFBFBF" w:sz="4"/>
              <w:bottom w:val="single" w:color="BFBFBF" w:sz="4"/>
              <w:right w:val="single" w:color="BFBFBF" w:sz="4"/>
            </w:tcBorders>
            <w:vAlign w:val="center"/>
          </w:tcPr>
          <w:p>
            <w:pPr>
              <w:spacing w:after="36" w:before="36"/>
              <w:jc w:val="left"/>
            </w:pPr>
            <w:r>
              <w:rPr>
                <w:b w:val="false"/>
                <w:bCs w:val="false"/>
                <w:i w:val="false"/>
                <w:iCs w:val="false"/>
                <w:color w:val="000000"/>
                <w:sz w:val="18"/>
                <w:szCs w:val="18"/>
              </w:rPr>
              <w:t xml:space="preserve">ChartOfAccounts, ManagementFee, Distribution, DistributionNotice, LPCapAcct, CarriedInterest</w:t>
            </w:r>
          </w:p>
        </w:tc>
        <w:tc>
          <w:tcPr>
            <w:tcBorders>
              <w:top w:val="single" w:color="BFBFBF" w:sz="4"/>
              <w:left w:val="single" w:color="BFBFBF" w:sz="4"/>
              <w:bottom w:val="single" w:color="BFBFBF" w:sz="4"/>
              <w:right w:val="single" w:color="BFBFBF" w:sz="4"/>
            </w:tcBorders>
            <w:vAlign w:val="center"/>
          </w:tcPr>
          <w:p>
            <w:pPr>
              <w:spacing w:after="36" w:before="36"/>
              <w:jc w:val="left"/>
            </w:pPr>
            <w:r>
              <w:rPr>
                <w:b w:val="false"/>
                <w:bCs w:val="false"/>
                <w:i w:val="false"/>
                <w:iCs w:val="false"/>
                <w:color w:val="000000"/>
                <w:sz w:val="18"/>
                <w:szCs w:val="18"/>
              </w:rPr>
              <w:t xml:space="preserve">12, 16–20 (PE)</w:t>
            </w:r>
          </w:p>
        </w:tc>
        <w:tc>
          <w:tcPr>
            <w:tcBorders>
              <w:top w:val="single" w:color="BFBFBF" w:sz="4"/>
              <w:left w:val="single" w:color="BFBFBF" w:sz="4"/>
              <w:bottom w:val="single" w:color="BFBFBF" w:sz="4"/>
              <w:right w:val="single" w:color="BFBFBF" w:sz="4"/>
            </w:tcBorders>
            <w:vAlign w:val="center"/>
          </w:tcPr>
          <w:p>
            <w:pPr>
              <w:spacing w:after="36" w:before="36"/>
              <w:jc w:val="left"/>
            </w:pPr>
            <w:r>
              <w:rPr>
                <w:b w:val="false"/>
                <w:bCs w:val="false"/>
                <w:i w:val="false"/>
                <w:iCs w:val="false"/>
                <w:color w:val="000000"/>
                <w:sz w:val="18"/>
                <w:szCs w:val="18"/>
              </w:rPr>
              <w:t xml:space="preserve">GL structure, fee accruals, distributions, LP capital account roll-forward, carried interest waterfall</w:t>
            </w:r>
          </w:p>
        </w:tc>
      </w:tr>
      <w:tr>
        <w:tc>
          <w:tcPr>
            <w:tcBorders>
              <w:top w:val="single" w:color="BFBFBF" w:sz="4"/>
              <w:left w:val="single" w:color="BFBFBF" w:sz="4"/>
              <w:bottom w:val="single" w:color="BFBFBF" w:sz="4"/>
              <w:right w:val="single" w:color="BFBFBF" w:sz="4"/>
            </w:tcBorders>
            <w:shd w:fill="EDE7F6" w:color="auto" w:val="clear"/>
            <w:vAlign w:val="center"/>
          </w:tcPr>
          <w:p>
            <w:pPr>
              <w:spacing w:after="36" w:before="36"/>
              <w:jc w:val="left"/>
            </w:pPr>
            <w:r>
              <w:rPr>
                <w:b/>
                <w:bCs/>
                <w:i w:val="false"/>
                <w:iCs w:val="false"/>
                <w:color w:val="4B0082"/>
                <w:sz w:val="18"/>
                <w:szCs w:val="18"/>
              </w:rPr>
              <w:t xml:space="preserve">Evergreen</w:t>
            </w:r>
          </w:p>
        </w:tc>
        <w:tc>
          <w:tcPr>
            <w:tcBorders>
              <w:top w:val="single" w:color="BFBFBF" w:sz="4"/>
              <w:left w:val="single" w:color="BFBFBF" w:sz="4"/>
              <w:bottom w:val="single" w:color="BFBFBF" w:sz="4"/>
              <w:right w:val="single" w:color="BFBFBF" w:sz="4"/>
            </w:tcBorders>
            <w:vAlign w:val="center"/>
          </w:tcPr>
          <w:p>
            <w:pPr>
              <w:spacing w:after="36" w:before="36"/>
              <w:jc w:val="left"/>
            </w:pPr>
            <w:r>
              <w:rPr>
                <w:b w:val="false"/>
                <w:bCs w:val="false"/>
                <w:i w:val="false"/>
                <w:iCs w:val="false"/>
                <w:color w:val="000000"/>
                <w:sz w:val="18"/>
                <w:szCs w:val="18"/>
              </w:rPr>
              <w:t xml:space="preserve">EvFund, NAVHistory, EvAccount, EvTransaction</w:t>
            </w:r>
          </w:p>
        </w:tc>
        <w:tc>
          <w:tcPr>
            <w:tcBorders>
              <w:top w:val="single" w:color="BFBFBF" w:sz="4"/>
              <w:left w:val="single" w:color="BFBFBF" w:sz="4"/>
              <w:bottom w:val="single" w:color="BFBFBF" w:sz="4"/>
              <w:right w:val="single" w:color="BFBFBF" w:sz="4"/>
            </w:tcBorders>
            <w:vAlign w:val="center"/>
          </w:tcPr>
          <w:p>
            <w:pPr>
              <w:spacing w:after="36" w:before="36"/>
              <w:jc w:val="left"/>
            </w:pPr>
            <w:r>
              <w:rPr>
                <w:b w:val="false"/>
                <w:bCs w:val="false"/>
                <w:i w:val="false"/>
                <w:iCs w:val="false"/>
                <w:color w:val="000000"/>
                <w:sz w:val="18"/>
                <w:szCs w:val="18"/>
              </w:rPr>
              <w:t xml:space="preserve">01–05 (EV)</w:t>
            </w:r>
          </w:p>
        </w:tc>
        <w:tc>
          <w:tcPr>
            <w:tcBorders>
              <w:top w:val="single" w:color="BFBFBF" w:sz="4"/>
              <w:left w:val="single" w:color="BFBFBF" w:sz="4"/>
              <w:bottom w:val="single" w:color="BFBFBF" w:sz="4"/>
              <w:right w:val="single" w:color="BFBFBF" w:sz="4"/>
            </w:tcBorders>
            <w:vAlign w:val="center"/>
          </w:tcPr>
          <w:p>
            <w:pPr>
              <w:spacing w:after="36" w:before="36"/>
              <w:jc w:val="left"/>
            </w:pPr>
            <w:r>
              <w:rPr>
                <w:b w:val="false"/>
                <w:bCs w:val="false"/>
                <w:i w:val="false"/>
                <w:iCs w:val="false"/>
                <w:color w:val="000000"/>
                <w:sz w:val="18"/>
                <w:szCs w:val="18"/>
              </w:rPr>
              <w:t xml:space="preserve">Semi-liquid fund universe: NAV pricing, investor accounts, 10,000 trade records across 12 transaction types</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bCs/>
                <w:i w:val="false"/>
                <w:iCs w:val="false"/>
                <w:color w:val="000000"/>
                <w:sz w:val="18"/>
                <w:szCs w:val="18"/>
              </w:rPr>
              <w:t xml:space="preserve">Shared Reference</w:t>
            </w:r>
          </w:p>
        </w:tc>
        <w:tc>
          <w:tcPr>
            <w:tcBorders>
              <w:top w:val="single" w:color="BFBFBF" w:sz="4"/>
              <w:left w:val="single" w:color="BFBFBF" w:sz="4"/>
              <w:bottom w:val="single" w:color="BFBFBF" w:sz="4"/>
              <w:right w:val="single" w:color="BFBFBF" w:sz="4"/>
            </w:tcBorders>
            <w:vAlign w:val="center"/>
          </w:tcPr>
          <w:p>
            <w:pPr>
              <w:spacing w:after="36" w:before="36"/>
              <w:jc w:val="left"/>
            </w:pPr>
            <w:r>
              <w:rPr>
                <w:b w:val="false"/>
                <w:bCs w:val="false"/>
                <w:i w:val="false"/>
                <w:iCs w:val="false"/>
                <w:color w:val="000000"/>
                <w:sz w:val="18"/>
                <w:szCs w:val="18"/>
              </w:rPr>
              <w:t xml:space="preserve">Investor, Broker</w:t>
            </w:r>
          </w:p>
        </w:tc>
        <w:tc>
          <w:tcPr>
            <w:tcBorders>
              <w:top w:val="single" w:color="BFBFBF" w:sz="4"/>
              <w:left w:val="single" w:color="BFBFBF" w:sz="4"/>
              <w:bottom w:val="single" w:color="BFBFBF" w:sz="4"/>
              <w:right w:val="single" w:color="BFBFBF" w:sz="4"/>
            </w:tcBorders>
            <w:vAlign w:val="center"/>
          </w:tcPr>
          <w:p>
            <w:pPr>
              <w:spacing w:after="36" w:before="36"/>
              <w:jc w:val="left"/>
            </w:pPr>
            <w:r>
              <w:rPr>
                <w:b w:val="false"/>
                <w:bCs w:val="false"/>
                <w:i w:val="false"/>
                <w:iCs w:val="false"/>
                <w:color w:val="000000"/>
                <w:sz w:val="18"/>
                <w:szCs w:val="18"/>
              </w:rPr>
              <w:t xml:space="preserve">05 (PE), 04 (EV)</w:t>
            </w:r>
          </w:p>
        </w:tc>
        <w:tc>
          <w:tcPr>
            <w:tcBorders>
              <w:top w:val="single" w:color="BFBFBF" w:sz="4"/>
              <w:left w:val="single" w:color="BFBFBF" w:sz="4"/>
              <w:bottom w:val="single" w:color="BFBFBF" w:sz="4"/>
              <w:right w:val="single" w:color="BFBFBF" w:sz="4"/>
            </w:tcBorders>
            <w:vAlign w:val="center"/>
          </w:tcPr>
          <w:p>
            <w:pPr>
              <w:spacing w:after="36" w:before="36"/>
              <w:jc w:val="left"/>
            </w:pPr>
            <w:r>
              <w:rPr>
                <w:b w:val="false"/>
                <w:bCs w:val="false"/>
                <w:i w:val="false"/>
                <w:iCs w:val="false"/>
                <w:color w:val="000000"/>
                <w:sz w:val="18"/>
                <w:szCs w:val="18"/>
              </w:rPr>
              <w:t xml:space="preserve">Entities shared between the PE and evergreen sub-models</w:t>
            </w:r>
          </w:p>
        </w:tc>
      </w:tr>
    </w:tbl>
    <w:p>
      <w:pPr>
        <w:spacing w:after="0" w:before="80"/>
      </w:pPr>
      <w:r>
        <w:rPr>
          <w:sz w:val="20"/>
          <w:szCs w:val="20"/>
        </w:rPr>
        <w:t xml:space="preserve"/>
      </w:r>
    </w:p>
    <w:p>
      <w:pPr>
        <w:pStyle w:val="Heading3"/>
        <w:spacing w:after="80" w:before="220"/>
      </w:pPr>
      <w:r>
        <w:rPr>
          <w:b/>
          <w:bCs/>
          <w:color w:val="1F3864"/>
          <w:sz w:val="22"/>
          <w:szCs w:val="22"/>
        </w:rPr>
        <w:t xml:space="preserve">N.2  Entity Catalogue</w:t>
      </w:r>
    </w:p>
    <w:p>
      <w:pPr>
        <w:spacing w:after="60" w:before="60"/>
      </w:pPr>
      <w:r>
        <w:rPr>
          <w:b w:val="false"/>
          <w:bCs w:val="false"/>
          <w:i w:val="false"/>
          <w:iCs w:val="false"/>
          <w:color w:val="000000"/>
          <w:sz w:val="20"/>
          <w:szCs w:val="20"/>
        </w:rPr>
        <w:t xml:space="preserve">Each entity is described with its primary key, source file, field list, and business description.</w:t>
      </w:r>
    </w:p>
    <w:p>
      <w:pPr>
        <w:spacing w:after="0" w:before="80"/>
      </w:pPr>
      <w:r>
        <w:rPr>
          <w:sz w:val="20"/>
          <w:szCs w:val="20"/>
        </w:rPr>
        <w:t xml:space="preserve"/>
      </w:r>
    </w:p>
    <w:p>
      <w:pPr>
        <w:pStyle w:val="Heading3"/>
        <w:spacing w:after="80" w:before="220"/>
      </w:pPr>
      <w:r>
        <w:rPr>
          <w:b/>
          <w:bCs/>
          <w:color w:val="1F3864"/>
          <w:sz w:val="22"/>
          <w:szCs w:val="22"/>
        </w:rPr>
        <w:t xml:space="preserve">Fund Structure</w:t>
      </w:r>
    </w:p>
    <w:p>
      <w:pPr>
        <w:spacing w:after="40" w:before="120"/>
      </w:pPr>
      <w:r>
        <w:rPr>
          <w:b/>
          <w:bCs/>
          <w:color w:val="1F3864"/>
          <w:sz w:val="22"/>
          <w:szCs w:val="22"/>
        </w:rPr>
        <w:t xml:space="preserve">Product</w:t>
      </w:r>
      <w:r>
        <w:rPr>
          <w:i/>
          <w:iCs/>
          <w:color w:val="888888"/>
          <w:sz w:val="18"/>
          <w:szCs w:val="18"/>
        </w:rPr>
        <w:t xml:space="preserve">  —  01_products.csv</w:t>
      </w:r>
    </w:p>
    <w:p>
      <w:pPr>
        <w:spacing w:after="60" w:before="60"/>
      </w:pPr>
      <w:r>
        <w:rPr>
          <w:b w:val="false"/>
          <w:bCs w:val="false"/>
          <w:i/>
          <w:iCs/>
          <w:color w:val="444444"/>
          <w:sz w:val="20"/>
          <w:szCs w:val="20"/>
        </w:rPr>
        <w:t xml:space="preserve">Top-level GP product line. Each product (Buyout, Credit, Real Assets, Infra, Growth) is the parent of one or more funds.</w:t>
      </w:r>
    </w:p>
    <w:p>
      <w:pPr>
        <w:spacing w:after="0" w:before="80"/>
      </w:pPr>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Field</w:t>
            </w:r>
          </w:p>
        </w:tc>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Key / FK</w:t>
            </w:r>
          </w:p>
        </w:tc>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Type</w:t>
            </w:r>
          </w:p>
        </w:tc>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Notes</w:t>
            </w:r>
          </w:p>
        </w:tc>
      </w:tr>
      <w:tr>
        <w:tc>
          <w:tcPr>
            <w:tcBorders>
              <w:top w:val="single" w:color="BFBFBF" w:sz="4"/>
              <w:left w:val="single" w:color="BFBFBF" w:sz="4"/>
              <w:bottom w:val="single" w:color="BFBFBF" w:sz="4"/>
              <w:right w:val="single" w:color="BFBFBF" w:sz="4"/>
            </w:tcBorders>
            <w:shd w:fill="D6E4F0" w:color="auto" w:val="clear"/>
            <w:vAlign w:val="center"/>
          </w:tcPr>
          <w:p>
            <w:pPr>
              <w:spacing w:after="36" w:before="36"/>
              <w:jc w:val="left"/>
            </w:pPr>
            <w:r>
              <w:rPr>
                <w:b/>
                <w:bCs/>
                <w:i w:val="false"/>
                <w:iCs w:val="false"/>
                <w:color w:val="1F3864"/>
                <w:sz w:val="17"/>
                <w:szCs w:val="17"/>
              </w:rPr>
              <w:t xml:space="preserve">product_id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PK</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VARCHAR(20)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Primary key</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product_name</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VARCHAR(100)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strategy</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VARCHAR(50)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gp_entity</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VARCHAR(100)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product_type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VARCHAR(30)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bl>
    <w:p>
      <w:pPr>
        <w:spacing w:after="0" w:before="80"/>
      </w:pPr>
      <w:r>
        <w:rPr>
          <w:sz w:val="20"/>
          <w:szCs w:val="20"/>
        </w:rPr>
        <w:t xml:space="preserve"/>
      </w:r>
    </w:p>
    <w:p>
      <w:pPr>
        <w:spacing w:after="40" w:before="120"/>
      </w:pPr>
      <w:r>
        <w:rPr>
          <w:b/>
          <w:bCs/>
          <w:color w:val="1F3864"/>
          <w:sz w:val="22"/>
          <w:szCs w:val="22"/>
        </w:rPr>
        <w:t xml:space="preserve">Fund</w:t>
      </w:r>
      <w:r>
        <w:rPr>
          <w:i/>
          <w:iCs/>
          <w:color w:val="888888"/>
          <w:sz w:val="18"/>
          <w:szCs w:val="18"/>
        </w:rPr>
        <w:t xml:space="preserve">  —  02_funds.csv</w:t>
      </w:r>
    </w:p>
    <w:p>
      <w:pPr>
        <w:spacing w:after="60" w:before="60"/>
      </w:pPr>
      <w:r>
        <w:rPr>
          <w:b w:val="false"/>
          <w:bCs w:val="false"/>
          <w:i/>
          <w:iCs/>
          <w:color w:val="444444"/>
          <w:sz w:val="20"/>
          <w:szCs w:val="20"/>
        </w:rPr>
        <w:t xml:space="preserve">Individual closed-end PE fund. Each fund belongs to a product and has a target size, vintage year, and lifecycle status.</w:t>
      </w:r>
    </w:p>
    <w:p>
      <w:pPr>
        <w:spacing w:after="0" w:before="80"/>
      </w:pPr>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Field</w:t>
            </w:r>
          </w:p>
        </w:tc>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Key / FK</w:t>
            </w:r>
          </w:p>
        </w:tc>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Type</w:t>
            </w:r>
          </w:p>
        </w:tc>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Notes</w:t>
            </w:r>
          </w:p>
        </w:tc>
      </w:tr>
      <w:tr>
        <w:tc>
          <w:tcPr>
            <w:tcBorders>
              <w:top w:val="single" w:color="BFBFBF" w:sz="4"/>
              <w:left w:val="single" w:color="BFBFBF" w:sz="4"/>
              <w:bottom w:val="single" w:color="BFBFBF" w:sz="4"/>
              <w:right w:val="single" w:color="BFBFBF" w:sz="4"/>
            </w:tcBorders>
            <w:shd w:fill="D6E4F0" w:color="auto" w:val="clear"/>
            <w:vAlign w:val="center"/>
          </w:tcPr>
          <w:p>
            <w:pPr>
              <w:spacing w:after="36" w:before="36"/>
              <w:jc w:val="left"/>
            </w:pPr>
            <w:r>
              <w:rPr>
                <w:b/>
                <w:bCs/>
                <w:i w:val="false"/>
                <w:iCs w:val="false"/>
                <w:color w:val="1F3864"/>
                <w:sz w:val="17"/>
                <w:szCs w:val="17"/>
              </w:rPr>
              <w:t xml:space="preserve">fund_id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PK</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VARCHAR(20)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Primary key</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product_id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555555"/>
                <w:sz w:val="16"/>
                <w:szCs w:val="16"/>
              </w:rPr>
              <w:t xml:space="preserve">FK→Product</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VARCHAR(20)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Foreign key → Product</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fund_name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VARCHAR(100)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vintage_year</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INT</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target_size_usdm</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DECIMAL(10,2)</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fund_status</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VARCHAR(20)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bl>
    <w:p>
      <w:pPr>
        <w:spacing w:after="0" w:before="80"/>
      </w:pPr>
      <w:r>
        <w:rPr>
          <w:sz w:val="20"/>
          <w:szCs w:val="20"/>
        </w:rPr>
        <w:t xml:space="preserve"/>
      </w:r>
    </w:p>
    <w:p>
      <w:pPr>
        <w:spacing w:after="40" w:before="120"/>
      </w:pPr>
      <w:r>
        <w:rPr>
          <w:b/>
          <w:bCs/>
          <w:color w:val="1F3864"/>
          <w:sz w:val="22"/>
          <w:szCs w:val="22"/>
        </w:rPr>
        <w:t xml:space="preserve">Vehicle</w:t>
      </w:r>
      <w:r>
        <w:rPr>
          <w:i/>
          <w:iCs/>
          <w:color w:val="888888"/>
          <w:sz w:val="18"/>
          <w:szCs w:val="18"/>
        </w:rPr>
        <w:t xml:space="preserve">  —  03_vehicles.csv</w:t>
      </w:r>
    </w:p>
    <w:p>
      <w:pPr>
        <w:spacing w:after="60" w:before="60"/>
      </w:pPr>
      <w:r>
        <w:rPr>
          <w:b w:val="false"/>
          <w:bCs w:val="false"/>
          <w:i/>
          <w:iCs/>
          <w:color w:val="444444"/>
          <w:sz w:val="20"/>
          <w:szCs w:val="20"/>
        </w:rPr>
        <w:t xml:space="preserve">Legal entity through which investors hold fund interests — Master Fund, Domestic Feeder LP, or Offshore Cayman Feeder.</w:t>
      </w:r>
    </w:p>
    <w:p>
      <w:pPr>
        <w:spacing w:after="0" w:before="80"/>
      </w:pPr>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Field</w:t>
            </w:r>
          </w:p>
        </w:tc>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Key / FK</w:t>
            </w:r>
          </w:p>
        </w:tc>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Type</w:t>
            </w:r>
          </w:p>
        </w:tc>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Notes</w:t>
            </w:r>
          </w:p>
        </w:tc>
      </w:tr>
      <w:tr>
        <w:tc>
          <w:tcPr>
            <w:tcBorders>
              <w:top w:val="single" w:color="BFBFBF" w:sz="4"/>
              <w:left w:val="single" w:color="BFBFBF" w:sz="4"/>
              <w:bottom w:val="single" w:color="BFBFBF" w:sz="4"/>
              <w:right w:val="single" w:color="BFBFBF" w:sz="4"/>
            </w:tcBorders>
            <w:shd w:fill="D6E4F0" w:color="auto" w:val="clear"/>
            <w:vAlign w:val="center"/>
          </w:tcPr>
          <w:p>
            <w:pPr>
              <w:spacing w:after="36" w:before="36"/>
              <w:jc w:val="left"/>
            </w:pPr>
            <w:r>
              <w:rPr>
                <w:b/>
                <w:bCs/>
                <w:i w:val="false"/>
                <w:iCs w:val="false"/>
                <w:color w:val="1F3864"/>
                <w:sz w:val="17"/>
                <w:szCs w:val="17"/>
              </w:rPr>
              <w:t xml:space="preserve">vehicle_id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PK</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VARCHAR(30)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Primary key</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fund_id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555555"/>
                <w:sz w:val="16"/>
                <w:szCs w:val="16"/>
              </w:rPr>
              <w:t xml:space="preserve">FK→Fund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VARCHAR(20)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Foreign key → Fund</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vehicle_name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VARCHAR(100)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vehicle_type</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VARCHAR(30)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jurisdiction</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VARCHAR(50)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is_master_fund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CHAR(1)</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bl>
    <w:p>
      <w:pPr>
        <w:spacing w:after="0" w:before="80"/>
      </w:pPr>
      <w:r>
        <w:rPr>
          <w:sz w:val="20"/>
          <w:szCs w:val="20"/>
        </w:rPr>
        <w:t xml:space="preserve"/>
      </w:r>
    </w:p>
    <w:p>
      <w:pPr>
        <w:spacing w:after="40" w:before="120"/>
      </w:pPr>
      <w:r>
        <w:rPr>
          <w:b/>
          <w:bCs/>
          <w:color w:val="1F3864"/>
          <w:sz w:val="22"/>
          <w:szCs w:val="22"/>
        </w:rPr>
        <w:t xml:space="preserve">Offering</w:t>
      </w:r>
      <w:r>
        <w:rPr>
          <w:i/>
          <w:iCs/>
          <w:color w:val="888888"/>
          <w:sz w:val="18"/>
          <w:szCs w:val="18"/>
        </w:rPr>
        <w:t xml:space="preserve">  —  04_offerings.csv</w:t>
      </w:r>
    </w:p>
    <w:p>
      <w:pPr>
        <w:spacing w:after="60" w:before="60"/>
      </w:pPr>
      <w:r>
        <w:rPr>
          <w:b w:val="false"/>
          <w:bCs w:val="false"/>
          <w:i/>
          <w:iCs/>
          <w:color w:val="444444"/>
          <w:sz w:val="20"/>
          <w:szCs w:val="20"/>
        </w:rPr>
        <w:t xml:space="preserve">Share class or tranche of a vehicle. Carries CUSIP/ISIN for NSCC-eligible classes. Contains fee schedule and unit price convention.</w:t>
      </w:r>
    </w:p>
    <w:p>
      <w:pPr>
        <w:spacing w:after="0" w:before="80"/>
      </w:pPr>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Field</w:t>
            </w:r>
          </w:p>
        </w:tc>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Key / FK</w:t>
            </w:r>
          </w:p>
        </w:tc>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Type</w:t>
            </w:r>
          </w:p>
        </w:tc>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Notes</w:t>
            </w:r>
          </w:p>
        </w:tc>
      </w:tr>
      <w:tr>
        <w:tc>
          <w:tcPr>
            <w:tcBorders>
              <w:top w:val="single" w:color="BFBFBF" w:sz="4"/>
              <w:left w:val="single" w:color="BFBFBF" w:sz="4"/>
              <w:bottom w:val="single" w:color="BFBFBF" w:sz="4"/>
              <w:right w:val="single" w:color="BFBFBF" w:sz="4"/>
            </w:tcBorders>
            <w:shd w:fill="D6E4F0" w:color="auto" w:val="clear"/>
            <w:vAlign w:val="center"/>
          </w:tcPr>
          <w:p>
            <w:pPr>
              <w:spacing w:after="36" w:before="36"/>
              <w:jc w:val="left"/>
            </w:pPr>
            <w:r>
              <w:rPr>
                <w:b/>
                <w:bCs/>
                <w:i w:val="false"/>
                <w:iCs w:val="false"/>
                <w:color w:val="1F3864"/>
                <w:sz w:val="17"/>
                <w:szCs w:val="17"/>
              </w:rPr>
              <w:t xml:space="preserve">offering_id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PK</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VARCHAR(40)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Primary key</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vehicle_id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555555"/>
                <w:sz w:val="16"/>
                <w:szCs w:val="16"/>
              </w:rPr>
              <w:t xml:space="preserve">FK→Vehicle</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VARCHAR(30)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Foreign key → Vehicle</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fund_id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555555"/>
                <w:sz w:val="16"/>
                <w:szCs w:val="16"/>
              </w:rPr>
              <w:t xml:space="preserve">FK→Fund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VARCHAR(20)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Foreign key → Fund</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share_class</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CHAR(1)</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cusip</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CHAR(9)</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isin</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CHAR(12)</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nscc_eligible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CHAR(1)</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unit_price_convention</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VARCHAR(20)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management_fee_pct</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DECIMAL(5,2)</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carried_interest_pct</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DECIMAL(5,2)</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bl>
    <w:p>
      <w:pPr>
        <w:spacing w:after="0" w:before="80"/>
      </w:pPr>
      <w:r>
        <w:rPr>
          <w:sz w:val="20"/>
          <w:szCs w:val="20"/>
        </w:rPr>
        <w:t xml:space="preserve"/>
      </w:r>
    </w:p>
    <w:p>
      <w:pPr>
        <w:spacing w:after="40" w:before="120"/>
      </w:pPr>
      <w:r>
        <w:rPr>
          <w:b/>
          <w:bCs/>
          <w:color w:val="1F3864"/>
          <w:sz w:val="22"/>
          <w:szCs w:val="22"/>
        </w:rPr>
        <w:t xml:space="preserve">FundClose</w:t>
      </w:r>
      <w:r>
        <w:rPr>
          <w:i/>
          <w:iCs/>
          <w:color w:val="888888"/>
          <w:sz w:val="18"/>
          <w:szCs w:val="18"/>
        </w:rPr>
        <w:t xml:space="preserve">  —  06_fund_closes.csv</w:t>
      </w:r>
    </w:p>
    <w:p>
      <w:pPr>
        <w:spacing w:after="60" w:before="60"/>
      </w:pPr>
      <w:r>
        <w:rPr>
          <w:b w:val="false"/>
          <w:bCs w:val="false"/>
          <w:i/>
          <w:iCs/>
          <w:color w:val="444444"/>
          <w:sz w:val="20"/>
          <w:szCs w:val="20"/>
        </w:rPr>
        <w:t xml:space="preserve">Admission date at which investors were admitted. Each fund has 2+ closes at different pricing points.</w:t>
      </w:r>
    </w:p>
    <w:p>
      <w:pPr>
        <w:spacing w:after="0" w:before="80"/>
      </w:pPr>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Field</w:t>
            </w:r>
          </w:p>
        </w:tc>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Key / FK</w:t>
            </w:r>
          </w:p>
        </w:tc>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Type</w:t>
            </w:r>
          </w:p>
        </w:tc>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Notes</w:t>
            </w:r>
          </w:p>
        </w:tc>
      </w:tr>
      <w:tr>
        <w:tc>
          <w:tcPr>
            <w:tcBorders>
              <w:top w:val="single" w:color="BFBFBF" w:sz="4"/>
              <w:left w:val="single" w:color="BFBFBF" w:sz="4"/>
              <w:bottom w:val="single" w:color="BFBFBF" w:sz="4"/>
              <w:right w:val="single" w:color="BFBFBF" w:sz="4"/>
            </w:tcBorders>
            <w:shd w:fill="D6E4F0" w:color="auto" w:val="clear"/>
            <w:vAlign w:val="center"/>
          </w:tcPr>
          <w:p>
            <w:pPr>
              <w:spacing w:after="36" w:before="36"/>
              <w:jc w:val="left"/>
            </w:pPr>
            <w:r>
              <w:rPr>
                <w:b/>
                <w:bCs/>
                <w:i w:val="false"/>
                <w:iCs w:val="false"/>
                <w:color w:val="1F3864"/>
                <w:sz w:val="17"/>
                <w:szCs w:val="17"/>
              </w:rPr>
              <w:t xml:space="preserve">close_id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PK</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VARCHAR(30)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Primary key</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fund_id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555555"/>
                <w:sz w:val="16"/>
                <w:szCs w:val="16"/>
              </w:rPr>
              <w:t xml:space="preserve">FK→Fund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VARCHAR(20)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Foreign key → Fund</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close_date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DATE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close_type</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VARCHAR(20)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aggregate_commitments_usdm</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DECIMAL(10,2)</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bl>
    <w:p>
      <w:pPr>
        <w:spacing w:after="0" w:before="80"/>
      </w:pPr>
      <w:r>
        <w:rPr>
          <w:sz w:val="20"/>
          <w:szCs w:val="20"/>
        </w:rPr>
        <w:t xml:space="preserve"/>
      </w:r>
    </w:p>
    <w:p>
      <w:pPr>
        <w:spacing w:after="40" w:before="120"/>
      </w:pPr>
      <w:r>
        <w:rPr>
          <w:b/>
          <w:bCs/>
          <w:color w:val="1F3864"/>
          <w:sz w:val="22"/>
          <w:szCs w:val="22"/>
        </w:rPr>
        <w:t xml:space="preserve">Commitment</w:t>
      </w:r>
      <w:r>
        <w:rPr>
          <w:i/>
          <w:iCs/>
          <w:color w:val="888888"/>
          <w:sz w:val="18"/>
          <w:szCs w:val="18"/>
        </w:rPr>
        <w:t xml:space="preserve">  —  07_commitments.csv</w:t>
      </w:r>
    </w:p>
    <w:p>
      <w:pPr>
        <w:spacing w:after="60" w:before="60"/>
      </w:pPr>
      <w:r>
        <w:rPr>
          <w:b w:val="false"/>
          <w:bCs w:val="false"/>
          <w:i/>
          <w:iCs/>
          <w:color w:val="444444"/>
          <w:sz w:val="20"/>
          <w:szCs w:val="20"/>
        </w:rPr>
        <w:t xml:space="preserve">Investor pledge of capital to a specific offering at a specific fund close. Tracks funded vs unfunded balance.</w:t>
      </w:r>
    </w:p>
    <w:p>
      <w:pPr>
        <w:spacing w:after="0" w:before="80"/>
      </w:pPr>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Field</w:t>
            </w:r>
          </w:p>
        </w:tc>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Key / FK</w:t>
            </w:r>
          </w:p>
        </w:tc>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Type</w:t>
            </w:r>
          </w:p>
        </w:tc>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Notes</w:t>
            </w:r>
          </w:p>
        </w:tc>
      </w:tr>
      <w:tr>
        <w:tc>
          <w:tcPr>
            <w:tcBorders>
              <w:top w:val="single" w:color="BFBFBF" w:sz="4"/>
              <w:left w:val="single" w:color="BFBFBF" w:sz="4"/>
              <w:bottom w:val="single" w:color="BFBFBF" w:sz="4"/>
              <w:right w:val="single" w:color="BFBFBF" w:sz="4"/>
            </w:tcBorders>
            <w:shd w:fill="D6E4F0" w:color="auto" w:val="clear"/>
            <w:vAlign w:val="center"/>
          </w:tcPr>
          <w:p>
            <w:pPr>
              <w:spacing w:after="36" w:before="36"/>
              <w:jc w:val="left"/>
            </w:pPr>
            <w:r>
              <w:rPr>
                <w:b/>
                <w:bCs/>
                <w:i w:val="false"/>
                <w:iCs w:val="false"/>
                <w:color w:val="1F3864"/>
                <w:sz w:val="17"/>
                <w:szCs w:val="17"/>
              </w:rPr>
              <w:t xml:space="preserve">commitment_id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PK</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VARCHAR(30)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Primary key</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offering_id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555555"/>
                <w:sz w:val="16"/>
                <w:szCs w:val="16"/>
              </w:rPr>
              <w:t xml:space="preserve">FK→Offering</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VARCHAR(40)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Foreign key → Offering</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investor_id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555555"/>
                <w:sz w:val="16"/>
                <w:szCs w:val="16"/>
              </w:rPr>
              <w:t xml:space="preserve">FK→Investor</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VARCHAR(20)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Foreign key → Investor</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close_id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555555"/>
                <w:sz w:val="16"/>
                <w:szCs w:val="16"/>
              </w:rPr>
              <w:t xml:space="preserve">FK→FundClose</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VARCHAR(30)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Foreign key → FundClose</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commitment_amount_usd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DECIMAL(15,2)</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funded_amount_usd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DECIMAL(15,2)</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unfunded_commitment_usd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DECIMAL(15,2)</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bl>
    <w:p>
      <w:pPr>
        <w:spacing w:after="0" w:before="80"/>
      </w:pPr>
      <w:r>
        <w:rPr>
          <w:sz w:val="20"/>
          <w:szCs w:val="20"/>
        </w:rPr>
        <w:t xml:space="preserve"/>
      </w:r>
    </w:p>
    <w:p>
      <w:pPr>
        <w:spacing w:after="40" w:before="120"/>
      </w:pPr>
      <w:r>
        <w:rPr>
          <w:b/>
          <w:bCs/>
          <w:color w:val="1F3864"/>
          <w:sz w:val="22"/>
          <w:szCs w:val="22"/>
        </w:rPr>
        <w:t xml:space="preserve">CapitalCall</w:t>
      </w:r>
      <w:r>
        <w:rPr>
          <w:i/>
          <w:iCs/>
          <w:color w:val="888888"/>
          <w:sz w:val="18"/>
          <w:szCs w:val="18"/>
        </w:rPr>
        <w:t xml:space="preserve">  —  08_capital_calls.csv</w:t>
      </w:r>
    </w:p>
    <w:p>
      <w:pPr>
        <w:spacing w:after="60" w:before="60"/>
      </w:pPr>
      <w:r>
        <w:rPr>
          <w:b w:val="false"/>
          <w:bCs w:val="false"/>
          <w:i/>
          <w:iCs/>
          <w:color w:val="444444"/>
          <w:sz w:val="20"/>
          <w:szCs w:val="20"/>
        </w:rPr>
        <w:t xml:space="preserve">Fund-level capital call event. Specifies the percentage of commitment being drawn and the aggregate dollar amount.</w:t>
      </w:r>
    </w:p>
    <w:p>
      <w:pPr>
        <w:spacing w:after="0" w:before="80"/>
      </w:pPr>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Field</w:t>
            </w:r>
          </w:p>
        </w:tc>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Key / FK</w:t>
            </w:r>
          </w:p>
        </w:tc>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Type</w:t>
            </w:r>
          </w:p>
        </w:tc>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Notes</w:t>
            </w:r>
          </w:p>
        </w:tc>
      </w:tr>
      <w:tr>
        <w:tc>
          <w:tcPr>
            <w:tcBorders>
              <w:top w:val="single" w:color="BFBFBF" w:sz="4"/>
              <w:left w:val="single" w:color="BFBFBF" w:sz="4"/>
              <w:bottom w:val="single" w:color="BFBFBF" w:sz="4"/>
              <w:right w:val="single" w:color="BFBFBF" w:sz="4"/>
            </w:tcBorders>
            <w:shd w:fill="D6E4F0" w:color="auto" w:val="clear"/>
            <w:vAlign w:val="center"/>
          </w:tcPr>
          <w:p>
            <w:pPr>
              <w:spacing w:after="36" w:before="36"/>
              <w:jc w:val="left"/>
            </w:pPr>
            <w:r>
              <w:rPr>
                <w:b/>
                <w:bCs/>
                <w:i w:val="false"/>
                <w:iCs w:val="false"/>
                <w:color w:val="1F3864"/>
                <w:sz w:val="17"/>
                <w:szCs w:val="17"/>
              </w:rPr>
              <w:t xml:space="preserve">capital_call_id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PK</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VARCHAR(30)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Primary key</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fund_id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555555"/>
                <w:sz w:val="16"/>
                <w:szCs w:val="16"/>
              </w:rPr>
              <w:t xml:space="preserve">FK→Fund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VARCHAR(20)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Foreign key → Fund</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call_date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DATE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due_date</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DATE</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call_pct_of_commitment</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DECIMAL(5,2)</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aggregate_call_amount_usd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DECIMAL(15,2)</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bl>
    <w:p>
      <w:pPr>
        <w:spacing w:after="0" w:before="80"/>
      </w:pPr>
      <w:r>
        <w:rPr>
          <w:sz w:val="20"/>
          <w:szCs w:val="20"/>
        </w:rPr>
        <w:t xml:space="preserve"/>
      </w:r>
    </w:p>
    <w:p>
      <w:pPr>
        <w:spacing w:after="40" w:before="120"/>
      </w:pPr>
      <w:r>
        <w:rPr>
          <w:b/>
          <w:bCs/>
          <w:color w:val="1F3864"/>
          <w:sz w:val="22"/>
          <w:szCs w:val="22"/>
        </w:rPr>
        <w:t xml:space="preserve">CCNotice</w:t>
      </w:r>
      <w:r>
        <w:rPr>
          <w:i/>
          <w:iCs/>
          <w:color w:val="888888"/>
          <w:sz w:val="18"/>
          <w:szCs w:val="18"/>
        </w:rPr>
        <w:t xml:space="preserve">  —  09_capital_call_notices.csv</w:t>
      </w:r>
    </w:p>
    <w:p>
      <w:pPr>
        <w:spacing w:after="60" w:before="60"/>
      </w:pPr>
      <w:r>
        <w:rPr>
          <w:b w:val="false"/>
          <w:bCs w:val="false"/>
          <w:i/>
          <w:iCs/>
          <w:color w:val="444444"/>
          <w:sz w:val="20"/>
          <w:szCs w:val="20"/>
        </w:rPr>
        <w:t xml:space="preserve">Per-investor capital call notice. Amount = commitment × call_pct. One notice per commitment per capital call.</w:t>
      </w:r>
    </w:p>
    <w:p>
      <w:pPr>
        <w:spacing w:after="0" w:before="80"/>
      </w:pPr>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Field</w:t>
            </w:r>
          </w:p>
        </w:tc>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Key / FK</w:t>
            </w:r>
          </w:p>
        </w:tc>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Type</w:t>
            </w:r>
          </w:p>
        </w:tc>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Notes</w:t>
            </w:r>
          </w:p>
        </w:tc>
      </w:tr>
      <w:tr>
        <w:tc>
          <w:tcPr>
            <w:tcBorders>
              <w:top w:val="single" w:color="BFBFBF" w:sz="4"/>
              <w:left w:val="single" w:color="BFBFBF" w:sz="4"/>
              <w:bottom w:val="single" w:color="BFBFBF" w:sz="4"/>
              <w:right w:val="single" w:color="BFBFBF" w:sz="4"/>
            </w:tcBorders>
            <w:shd w:fill="D6E4F0" w:color="auto" w:val="clear"/>
            <w:vAlign w:val="center"/>
          </w:tcPr>
          <w:p>
            <w:pPr>
              <w:spacing w:after="36" w:before="36"/>
              <w:jc w:val="left"/>
            </w:pPr>
            <w:r>
              <w:rPr>
                <w:b/>
                <w:bCs/>
                <w:i w:val="false"/>
                <w:iCs w:val="false"/>
                <w:color w:val="1F3864"/>
                <w:sz w:val="17"/>
                <w:szCs w:val="17"/>
              </w:rPr>
              <w:t xml:space="preserve">notice_id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PK</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VARCHAR(30)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Primary key</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capital_call_id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555555"/>
                <w:sz w:val="16"/>
                <w:szCs w:val="16"/>
              </w:rPr>
              <w:t xml:space="preserve">FK→CapitalCall</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VARCHAR(30)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Foreign key → CapitalCall</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commitment_id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555555"/>
                <w:sz w:val="16"/>
                <w:szCs w:val="16"/>
              </w:rPr>
              <w:t xml:space="preserve">FK→Commitment</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VARCHAR(30)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Foreign key → Commitment</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amount_called_usd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DECIMAL(15,2)</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due_date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DATE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status</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VARCHAR(20)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bl>
    <w:p>
      <w:pPr>
        <w:spacing w:after="0" w:before="80"/>
      </w:pPr>
      <w:r>
        <w:rPr>
          <w:sz w:val="20"/>
          <w:szCs w:val="20"/>
        </w:rPr>
        <w:t xml:space="preserve"/>
      </w:r>
    </w:p>
    <w:p>
      <w:pPr>
        <w:spacing w:after="40" w:before="120"/>
      </w:pPr>
      <w:r>
        <w:rPr>
          <w:b/>
          <w:bCs/>
          <w:color w:val="1F3864"/>
          <w:sz w:val="22"/>
          <w:szCs w:val="22"/>
        </w:rPr>
        <w:t xml:space="preserve">Wire</w:t>
      </w:r>
      <w:r>
        <w:rPr>
          <w:i/>
          <w:iCs/>
          <w:color w:val="888888"/>
          <w:sz w:val="18"/>
          <w:szCs w:val="18"/>
        </w:rPr>
        <w:t xml:space="preserve">  —  10_wires.csv</w:t>
      </w:r>
    </w:p>
    <w:p>
      <w:pPr>
        <w:spacing w:after="60" w:before="60"/>
      </w:pPr>
      <w:r>
        <w:rPr>
          <w:b w:val="false"/>
          <w:bCs w:val="false"/>
          <w:i/>
          <w:iCs/>
          <w:color w:val="444444"/>
          <w:sz w:val="20"/>
          <w:szCs w:val="20"/>
        </w:rPr>
        <w:t xml:space="preserve">Cash settlement record. Two types: LP→Feeder individual wires and Feeder→Master aggregate sweeps. Linked to a capital call notice.</w:t>
      </w:r>
    </w:p>
    <w:p>
      <w:pPr>
        <w:spacing w:after="0" w:before="80"/>
      </w:pPr>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Field</w:t>
            </w:r>
          </w:p>
        </w:tc>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Key / FK</w:t>
            </w:r>
          </w:p>
        </w:tc>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Type</w:t>
            </w:r>
          </w:p>
        </w:tc>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Notes</w:t>
            </w:r>
          </w:p>
        </w:tc>
      </w:tr>
      <w:tr>
        <w:tc>
          <w:tcPr>
            <w:tcBorders>
              <w:top w:val="single" w:color="BFBFBF" w:sz="4"/>
              <w:left w:val="single" w:color="BFBFBF" w:sz="4"/>
              <w:bottom w:val="single" w:color="BFBFBF" w:sz="4"/>
              <w:right w:val="single" w:color="BFBFBF" w:sz="4"/>
            </w:tcBorders>
            <w:shd w:fill="D6E4F0" w:color="auto" w:val="clear"/>
            <w:vAlign w:val="center"/>
          </w:tcPr>
          <w:p>
            <w:pPr>
              <w:spacing w:after="36" w:before="36"/>
              <w:jc w:val="left"/>
            </w:pPr>
            <w:r>
              <w:rPr>
                <w:b/>
                <w:bCs/>
                <w:i w:val="false"/>
                <w:iCs w:val="false"/>
                <w:color w:val="1F3864"/>
                <w:sz w:val="17"/>
                <w:szCs w:val="17"/>
              </w:rPr>
              <w:t xml:space="preserve">wire_id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PK</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VARCHAR(30)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Primary key</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notice_id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555555"/>
                <w:sz w:val="16"/>
                <w:szCs w:val="16"/>
              </w:rPr>
              <w:t xml:space="preserve">FK→CCNotice</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VARCHAR(30)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Foreign key → CCNotice</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wire_date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DATE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amount_usd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DECIMAL(15,2)</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wire_type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VARCHAR(30)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sender_account</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VARCHAR(50)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receiver_account</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VARCHAR(50)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nscc_ref</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VARCHAR(20)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bl>
    <w:p>
      <w:pPr>
        <w:spacing w:after="0" w:before="80"/>
      </w:pPr>
      <w:r>
        <w:rPr>
          <w:sz w:val="20"/>
          <w:szCs w:val="20"/>
        </w:rPr>
        <w:t xml:space="preserve"/>
      </w:r>
    </w:p>
    <w:p>
      <w:pPr>
        <w:spacing w:after="40" w:before="120"/>
      </w:pPr>
      <w:r>
        <w:rPr>
          <w:b/>
          <w:bCs/>
          <w:color w:val="1F3864"/>
          <w:sz w:val="22"/>
          <w:szCs w:val="22"/>
        </w:rPr>
        <w:t xml:space="preserve">GLTransaction</w:t>
      </w:r>
      <w:r>
        <w:rPr>
          <w:i/>
          <w:iCs/>
          <w:color w:val="888888"/>
          <w:sz w:val="18"/>
          <w:szCs w:val="18"/>
        </w:rPr>
        <w:t xml:space="preserve">  —  11_transactions.csv</w:t>
      </w:r>
    </w:p>
    <w:p>
      <w:pPr>
        <w:spacing w:after="60" w:before="60"/>
      </w:pPr>
      <w:r>
        <w:rPr>
          <w:b w:val="false"/>
          <w:bCs w:val="false"/>
          <w:i/>
          <w:iCs/>
          <w:color w:val="444444"/>
          <w:sz w:val="20"/>
          <w:szCs w:val="20"/>
        </w:rPr>
        <w:t xml:space="preserve">Double-entry journal entry in the fund GL (Investran or Geneva). Each capital call generates 5 entries for feeder LPs.</w:t>
      </w:r>
    </w:p>
    <w:p>
      <w:pPr>
        <w:spacing w:after="0" w:before="80"/>
      </w:pPr>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Field</w:t>
            </w:r>
          </w:p>
        </w:tc>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Key / FK</w:t>
            </w:r>
          </w:p>
        </w:tc>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Type</w:t>
            </w:r>
          </w:p>
        </w:tc>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Notes</w:t>
            </w:r>
          </w:p>
        </w:tc>
      </w:tr>
      <w:tr>
        <w:tc>
          <w:tcPr>
            <w:tcBorders>
              <w:top w:val="single" w:color="BFBFBF" w:sz="4"/>
              <w:left w:val="single" w:color="BFBFBF" w:sz="4"/>
              <w:bottom w:val="single" w:color="BFBFBF" w:sz="4"/>
              <w:right w:val="single" w:color="BFBFBF" w:sz="4"/>
            </w:tcBorders>
            <w:shd w:fill="D6E4F0" w:color="auto" w:val="clear"/>
            <w:vAlign w:val="center"/>
          </w:tcPr>
          <w:p>
            <w:pPr>
              <w:spacing w:after="36" w:before="36"/>
              <w:jc w:val="left"/>
            </w:pPr>
            <w:r>
              <w:rPr>
                <w:b/>
                <w:bCs/>
                <w:i w:val="false"/>
                <w:iCs w:val="false"/>
                <w:color w:val="1F3864"/>
                <w:sz w:val="17"/>
                <w:szCs w:val="17"/>
              </w:rPr>
              <w:t xml:space="preserve">tx_id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PK</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VARCHAR(30)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Primary key</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account_id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555555"/>
                <w:sz w:val="16"/>
                <w:szCs w:val="16"/>
              </w:rPr>
              <w:t xml:space="preserve">FK→ChartOfAccounts</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VARCHAR(20)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Foreign key → ChartOfAccounts</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vehicle_id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555555"/>
                <w:sz w:val="16"/>
                <w:szCs w:val="16"/>
              </w:rPr>
              <w:t xml:space="preserve">FK→Vehicle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VARCHAR(30)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Foreign key → Vehicle</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tran_type</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VARCHAR(40)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debit_amount</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DECIMAL(15,2)</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credit_amount</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DECIMAL(15,2)</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posting_date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DATE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reference_id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VARCHAR(30)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bl>
    <w:p>
      <w:pPr>
        <w:spacing w:after="0" w:before="80"/>
      </w:pPr>
      <w:r>
        <w:rPr>
          <w:sz w:val="20"/>
          <w:szCs w:val="20"/>
        </w:rPr>
        <w:t xml:space="preserve"/>
      </w:r>
    </w:p>
    <w:p>
      <w:pPr>
        <w:pStyle w:val="Heading3"/>
        <w:spacing w:after="80" w:before="220"/>
      </w:pPr>
      <w:r>
        <w:rPr>
          <w:b/>
          <w:bCs/>
          <w:color w:val="1E6B3C"/>
          <w:sz w:val="22"/>
          <w:szCs w:val="22"/>
        </w:rPr>
        <w:t xml:space="preserve">Portfolio</w:t>
      </w:r>
    </w:p>
    <w:p>
      <w:pPr>
        <w:spacing w:after="40" w:before="120"/>
      </w:pPr>
      <w:r>
        <w:rPr>
          <w:b/>
          <w:bCs/>
          <w:color w:val="1E6B3C"/>
          <w:sz w:val="22"/>
          <w:szCs w:val="22"/>
        </w:rPr>
        <w:t xml:space="preserve">PortfolioCompany</w:t>
      </w:r>
      <w:r>
        <w:rPr>
          <w:i/>
          <w:iCs/>
          <w:color w:val="888888"/>
          <w:sz w:val="18"/>
          <w:szCs w:val="18"/>
        </w:rPr>
        <w:t xml:space="preserve">  —  13_portfolio_companies.csv</w:t>
      </w:r>
    </w:p>
    <w:p>
      <w:pPr>
        <w:spacing w:after="60" w:before="60"/>
      </w:pPr>
      <w:r>
        <w:rPr>
          <w:b w:val="false"/>
          <w:bCs w:val="false"/>
          <w:i/>
          <w:iCs/>
          <w:color w:val="444444"/>
          <w:sz w:val="20"/>
          <w:szCs w:val="20"/>
        </w:rPr>
        <w:t xml:space="preserve">Portfolio company held by one or more funds. Includes sector, geography, entry/exit dates.</w:t>
      </w:r>
    </w:p>
    <w:p>
      <w:pPr>
        <w:spacing w:after="0" w:before="80"/>
      </w:pPr>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Borders>
              <w:top w:val="single" w:color="BFBFBF" w:sz="4"/>
              <w:left w:val="single" w:color="BFBFBF" w:sz="4"/>
              <w:bottom w:val="single" w:color="BFBFBF" w:sz="4"/>
              <w:right w:val="single" w:color="BFBFBF" w:sz="4"/>
            </w:tcBorders>
            <w:shd w:fill="1E6B3C" w:color="auto" w:val="clear"/>
            <w:vAlign w:val="center"/>
          </w:tcPr>
          <w:p>
            <w:pPr>
              <w:spacing w:after="36" w:before="36"/>
              <w:jc w:val="left"/>
            </w:pPr>
            <w:r>
              <w:rPr>
                <w:b/>
                <w:bCs/>
                <w:i w:val="false"/>
                <w:iCs w:val="false"/>
                <w:color w:val="FFFFFF"/>
                <w:sz w:val="18"/>
                <w:szCs w:val="18"/>
              </w:rPr>
              <w:t xml:space="preserve">Field</w:t>
            </w:r>
          </w:p>
        </w:tc>
        <w:tc>
          <w:tcPr>
            <w:tcBorders>
              <w:top w:val="single" w:color="BFBFBF" w:sz="4"/>
              <w:left w:val="single" w:color="BFBFBF" w:sz="4"/>
              <w:bottom w:val="single" w:color="BFBFBF" w:sz="4"/>
              <w:right w:val="single" w:color="BFBFBF" w:sz="4"/>
            </w:tcBorders>
            <w:shd w:fill="1E6B3C" w:color="auto" w:val="clear"/>
            <w:vAlign w:val="center"/>
          </w:tcPr>
          <w:p>
            <w:pPr>
              <w:spacing w:after="36" w:before="36"/>
              <w:jc w:val="left"/>
            </w:pPr>
            <w:r>
              <w:rPr>
                <w:b/>
                <w:bCs/>
                <w:i w:val="false"/>
                <w:iCs w:val="false"/>
                <w:color w:val="FFFFFF"/>
                <w:sz w:val="18"/>
                <w:szCs w:val="18"/>
              </w:rPr>
              <w:t xml:space="preserve">Key / FK</w:t>
            </w:r>
          </w:p>
        </w:tc>
        <w:tc>
          <w:tcPr>
            <w:tcBorders>
              <w:top w:val="single" w:color="BFBFBF" w:sz="4"/>
              <w:left w:val="single" w:color="BFBFBF" w:sz="4"/>
              <w:bottom w:val="single" w:color="BFBFBF" w:sz="4"/>
              <w:right w:val="single" w:color="BFBFBF" w:sz="4"/>
            </w:tcBorders>
            <w:shd w:fill="1E6B3C" w:color="auto" w:val="clear"/>
            <w:vAlign w:val="center"/>
          </w:tcPr>
          <w:p>
            <w:pPr>
              <w:spacing w:after="36" w:before="36"/>
              <w:jc w:val="left"/>
            </w:pPr>
            <w:r>
              <w:rPr>
                <w:b/>
                <w:bCs/>
                <w:i w:val="false"/>
                <w:iCs w:val="false"/>
                <w:color w:val="FFFFFF"/>
                <w:sz w:val="18"/>
                <w:szCs w:val="18"/>
              </w:rPr>
              <w:t xml:space="preserve">Type</w:t>
            </w:r>
          </w:p>
        </w:tc>
        <w:tc>
          <w:tcPr>
            <w:tcBorders>
              <w:top w:val="single" w:color="BFBFBF" w:sz="4"/>
              <w:left w:val="single" w:color="BFBFBF" w:sz="4"/>
              <w:bottom w:val="single" w:color="BFBFBF" w:sz="4"/>
              <w:right w:val="single" w:color="BFBFBF" w:sz="4"/>
            </w:tcBorders>
            <w:shd w:fill="1E6B3C" w:color="auto" w:val="clear"/>
            <w:vAlign w:val="center"/>
          </w:tcPr>
          <w:p>
            <w:pPr>
              <w:spacing w:after="36" w:before="36"/>
              <w:jc w:val="left"/>
            </w:pPr>
            <w:r>
              <w:rPr>
                <w:b/>
                <w:bCs/>
                <w:i w:val="false"/>
                <w:iCs w:val="false"/>
                <w:color w:val="FFFFFF"/>
                <w:sz w:val="18"/>
                <w:szCs w:val="18"/>
              </w:rPr>
              <w:t xml:space="preserve">Notes</w:t>
            </w:r>
          </w:p>
        </w:tc>
      </w:tr>
      <w:tr>
        <w:tc>
          <w:tcPr>
            <w:tcBorders>
              <w:top w:val="single" w:color="BFBFBF" w:sz="4"/>
              <w:left w:val="single" w:color="BFBFBF" w:sz="4"/>
              <w:bottom w:val="single" w:color="BFBFBF" w:sz="4"/>
              <w:right w:val="single" w:color="BFBFBF" w:sz="4"/>
            </w:tcBorders>
            <w:shd w:fill="D6F0E0" w:color="auto" w:val="clear"/>
            <w:vAlign w:val="center"/>
          </w:tcPr>
          <w:p>
            <w:pPr>
              <w:spacing w:after="36" w:before="36"/>
              <w:jc w:val="left"/>
            </w:pPr>
            <w:r>
              <w:rPr>
                <w:b/>
                <w:bCs/>
                <w:i w:val="false"/>
                <w:iCs w:val="false"/>
                <w:color w:val="1E6B3C"/>
                <w:sz w:val="17"/>
                <w:szCs w:val="17"/>
              </w:rPr>
              <w:t xml:space="preserve">company_id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PK</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VARCHAR(20)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Primary key</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company_name</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VARCHAR(100)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sector</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VARCHAR(50)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geography</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VARCHAR(50)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entry_date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DATE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exit_date</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DATE</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status</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VARCHAR(20)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bl>
    <w:p>
      <w:pPr>
        <w:spacing w:after="0" w:before="80"/>
      </w:pPr>
      <w:r>
        <w:rPr>
          <w:sz w:val="20"/>
          <w:szCs w:val="20"/>
        </w:rPr>
        <w:t xml:space="preserve"/>
      </w:r>
    </w:p>
    <w:p>
      <w:pPr>
        <w:spacing w:after="40" w:before="120"/>
      </w:pPr>
      <w:r>
        <w:rPr>
          <w:b/>
          <w:bCs/>
          <w:color w:val="1E6B3C"/>
          <w:sz w:val="22"/>
          <w:szCs w:val="22"/>
        </w:rPr>
        <w:t xml:space="preserve">PortfolioInvestment</w:t>
      </w:r>
      <w:r>
        <w:rPr>
          <w:i/>
          <w:iCs/>
          <w:color w:val="888888"/>
          <w:sz w:val="18"/>
          <w:szCs w:val="18"/>
        </w:rPr>
        <w:t xml:space="preserve">  —  14_portfolio_investments.csv</w:t>
      </w:r>
    </w:p>
    <w:p>
      <w:pPr>
        <w:spacing w:after="60" w:before="60"/>
      </w:pPr>
      <w:r>
        <w:rPr>
          <w:b w:val="false"/>
          <w:bCs w:val="false"/>
          <w:i/>
          <w:iCs/>
          <w:color w:val="444444"/>
          <w:sz w:val="20"/>
          <w:szCs w:val="20"/>
        </w:rPr>
        <w:t xml:space="preserve">Quarterly fair value mark for a fund→company holding. Tracks cost basis, fair value, and MOIC over time.</w:t>
      </w:r>
    </w:p>
    <w:p>
      <w:pPr>
        <w:spacing w:after="0" w:before="80"/>
      </w:pPr>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Borders>
              <w:top w:val="single" w:color="BFBFBF" w:sz="4"/>
              <w:left w:val="single" w:color="BFBFBF" w:sz="4"/>
              <w:bottom w:val="single" w:color="BFBFBF" w:sz="4"/>
              <w:right w:val="single" w:color="BFBFBF" w:sz="4"/>
            </w:tcBorders>
            <w:shd w:fill="1E6B3C" w:color="auto" w:val="clear"/>
            <w:vAlign w:val="center"/>
          </w:tcPr>
          <w:p>
            <w:pPr>
              <w:spacing w:after="36" w:before="36"/>
              <w:jc w:val="left"/>
            </w:pPr>
            <w:r>
              <w:rPr>
                <w:b/>
                <w:bCs/>
                <w:i w:val="false"/>
                <w:iCs w:val="false"/>
                <w:color w:val="FFFFFF"/>
                <w:sz w:val="18"/>
                <w:szCs w:val="18"/>
              </w:rPr>
              <w:t xml:space="preserve">Field</w:t>
            </w:r>
          </w:p>
        </w:tc>
        <w:tc>
          <w:tcPr>
            <w:tcBorders>
              <w:top w:val="single" w:color="BFBFBF" w:sz="4"/>
              <w:left w:val="single" w:color="BFBFBF" w:sz="4"/>
              <w:bottom w:val="single" w:color="BFBFBF" w:sz="4"/>
              <w:right w:val="single" w:color="BFBFBF" w:sz="4"/>
            </w:tcBorders>
            <w:shd w:fill="1E6B3C" w:color="auto" w:val="clear"/>
            <w:vAlign w:val="center"/>
          </w:tcPr>
          <w:p>
            <w:pPr>
              <w:spacing w:after="36" w:before="36"/>
              <w:jc w:val="left"/>
            </w:pPr>
            <w:r>
              <w:rPr>
                <w:b/>
                <w:bCs/>
                <w:i w:val="false"/>
                <w:iCs w:val="false"/>
                <w:color w:val="FFFFFF"/>
                <w:sz w:val="18"/>
                <w:szCs w:val="18"/>
              </w:rPr>
              <w:t xml:space="preserve">Key / FK</w:t>
            </w:r>
          </w:p>
        </w:tc>
        <w:tc>
          <w:tcPr>
            <w:tcBorders>
              <w:top w:val="single" w:color="BFBFBF" w:sz="4"/>
              <w:left w:val="single" w:color="BFBFBF" w:sz="4"/>
              <w:bottom w:val="single" w:color="BFBFBF" w:sz="4"/>
              <w:right w:val="single" w:color="BFBFBF" w:sz="4"/>
            </w:tcBorders>
            <w:shd w:fill="1E6B3C" w:color="auto" w:val="clear"/>
            <w:vAlign w:val="center"/>
          </w:tcPr>
          <w:p>
            <w:pPr>
              <w:spacing w:after="36" w:before="36"/>
              <w:jc w:val="left"/>
            </w:pPr>
            <w:r>
              <w:rPr>
                <w:b/>
                <w:bCs/>
                <w:i w:val="false"/>
                <w:iCs w:val="false"/>
                <w:color w:val="FFFFFF"/>
                <w:sz w:val="18"/>
                <w:szCs w:val="18"/>
              </w:rPr>
              <w:t xml:space="preserve">Type</w:t>
            </w:r>
          </w:p>
        </w:tc>
        <w:tc>
          <w:tcPr>
            <w:tcBorders>
              <w:top w:val="single" w:color="BFBFBF" w:sz="4"/>
              <w:left w:val="single" w:color="BFBFBF" w:sz="4"/>
              <w:bottom w:val="single" w:color="BFBFBF" w:sz="4"/>
              <w:right w:val="single" w:color="BFBFBF" w:sz="4"/>
            </w:tcBorders>
            <w:shd w:fill="1E6B3C" w:color="auto" w:val="clear"/>
            <w:vAlign w:val="center"/>
          </w:tcPr>
          <w:p>
            <w:pPr>
              <w:spacing w:after="36" w:before="36"/>
              <w:jc w:val="left"/>
            </w:pPr>
            <w:r>
              <w:rPr>
                <w:b/>
                <w:bCs/>
                <w:i w:val="false"/>
                <w:iCs w:val="false"/>
                <w:color w:val="FFFFFF"/>
                <w:sz w:val="18"/>
                <w:szCs w:val="18"/>
              </w:rPr>
              <w:t xml:space="preserve">Notes</w:t>
            </w:r>
          </w:p>
        </w:tc>
      </w:tr>
      <w:tr>
        <w:tc>
          <w:tcPr>
            <w:tcBorders>
              <w:top w:val="single" w:color="BFBFBF" w:sz="4"/>
              <w:left w:val="single" w:color="BFBFBF" w:sz="4"/>
              <w:bottom w:val="single" w:color="BFBFBF" w:sz="4"/>
              <w:right w:val="single" w:color="BFBFBF" w:sz="4"/>
            </w:tcBorders>
            <w:shd w:fill="D6F0E0" w:color="auto" w:val="clear"/>
            <w:vAlign w:val="center"/>
          </w:tcPr>
          <w:p>
            <w:pPr>
              <w:spacing w:after="36" w:before="36"/>
              <w:jc w:val="left"/>
            </w:pPr>
            <w:r>
              <w:rPr>
                <w:b/>
                <w:bCs/>
                <w:i w:val="false"/>
                <w:iCs w:val="false"/>
                <w:color w:val="1E6B3C"/>
                <w:sz w:val="17"/>
                <w:szCs w:val="17"/>
              </w:rPr>
              <w:t xml:space="preserve">investment_id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PK</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VARCHAR(30)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Primary key</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fund_id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555555"/>
                <w:sz w:val="16"/>
                <w:szCs w:val="16"/>
              </w:rPr>
              <w:t xml:space="preserve">FK→Fund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VARCHAR(20)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Foreign key → Fund</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company_id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555555"/>
                <w:sz w:val="16"/>
                <w:szCs w:val="16"/>
              </w:rPr>
              <w:t xml:space="preserve">FK→PortfolioCompany</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VARCHAR(20)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Foreign key → PortfolioCompany</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quarter_end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DATE</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cost_basis_usd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DECIMAL(15,2)</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fair_value_usd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DECIMAL(15,2)</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moic</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DECIMAL(8,4)</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irr_pct</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DECIMAL(8,4)</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bl>
    <w:p>
      <w:pPr>
        <w:spacing w:after="0" w:before="80"/>
      </w:pPr>
      <w:r>
        <w:rPr>
          <w:sz w:val="20"/>
          <w:szCs w:val="20"/>
        </w:rPr>
        <w:t xml:space="preserve"/>
      </w:r>
    </w:p>
    <w:p>
      <w:pPr>
        <w:spacing w:after="40" w:before="120"/>
      </w:pPr>
      <w:r>
        <w:rPr>
          <w:b/>
          <w:bCs/>
          <w:color w:val="1E6B3C"/>
          <w:sz w:val="22"/>
          <w:szCs w:val="22"/>
        </w:rPr>
        <w:t xml:space="preserve">PortfolioTransaction</w:t>
      </w:r>
      <w:r>
        <w:rPr>
          <w:i/>
          <w:iCs/>
          <w:color w:val="888888"/>
          <w:sz w:val="18"/>
          <w:szCs w:val="18"/>
        </w:rPr>
        <w:t xml:space="preserve">  —  15_portfolio_transactions.csv</w:t>
      </w:r>
    </w:p>
    <w:p>
      <w:pPr>
        <w:spacing w:after="60" w:before="60"/>
      </w:pPr>
      <w:r>
        <w:rPr>
          <w:b w:val="false"/>
          <w:bCs w:val="false"/>
          <w:i/>
          <w:iCs/>
          <w:color w:val="444444"/>
          <w:sz w:val="20"/>
          <w:szCs w:val="20"/>
        </w:rPr>
        <w:t xml:space="preserve">Deployment, add-on, partial realization, or full exit event at the portfolio company level.</w:t>
      </w:r>
    </w:p>
    <w:p>
      <w:pPr>
        <w:spacing w:after="0" w:before="80"/>
      </w:pPr>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Borders>
              <w:top w:val="single" w:color="BFBFBF" w:sz="4"/>
              <w:left w:val="single" w:color="BFBFBF" w:sz="4"/>
              <w:bottom w:val="single" w:color="BFBFBF" w:sz="4"/>
              <w:right w:val="single" w:color="BFBFBF" w:sz="4"/>
            </w:tcBorders>
            <w:shd w:fill="1E6B3C" w:color="auto" w:val="clear"/>
            <w:vAlign w:val="center"/>
          </w:tcPr>
          <w:p>
            <w:pPr>
              <w:spacing w:after="36" w:before="36"/>
              <w:jc w:val="left"/>
            </w:pPr>
            <w:r>
              <w:rPr>
                <w:b/>
                <w:bCs/>
                <w:i w:val="false"/>
                <w:iCs w:val="false"/>
                <w:color w:val="FFFFFF"/>
                <w:sz w:val="18"/>
                <w:szCs w:val="18"/>
              </w:rPr>
              <w:t xml:space="preserve">Field</w:t>
            </w:r>
          </w:p>
        </w:tc>
        <w:tc>
          <w:tcPr>
            <w:tcBorders>
              <w:top w:val="single" w:color="BFBFBF" w:sz="4"/>
              <w:left w:val="single" w:color="BFBFBF" w:sz="4"/>
              <w:bottom w:val="single" w:color="BFBFBF" w:sz="4"/>
              <w:right w:val="single" w:color="BFBFBF" w:sz="4"/>
            </w:tcBorders>
            <w:shd w:fill="1E6B3C" w:color="auto" w:val="clear"/>
            <w:vAlign w:val="center"/>
          </w:tcPr>
          <w:p>
            <w:pPr>
              <w:spacing w:after="36" w:before="36"/>
              <w:jc w:val="left"/>
            </w:pPr>
            <w:r>
              <w:rPr>
                <w:b/>
                <w:bCs/>
                <w:i w:val="false"/>
                <w:iCs w:val="false"/>
                <w:color w:val="FFFFFF"/>
                <w:sz w:val="18"/>
                <w:szCs w:val="18"/>
              </w:rPr>
              <w:t xml:space="preserve">Key / FK</w:t>
            </w:r>
          </w:p>
        </w:tc>
        <w:tc>
          <w:tcPr>
            <w:tcBorders>
              <w:top w:val="single" w:color="BFBFBF" w:sz="4"/>
              <w:left w:val="single" w:color="BFBFBF" w:sz="4"/>
              <w:bottom w:val="single" w:color="BFBFBF" w:sz="4"/>
              <w:right w:val="single" w:color="BFBFBF" w:sz="4"/>
            </w:tcBorders>
            <w:shd w:fill="1E6B3C" w:color="auto" w:val="clear"/>
            <w:vAlign w:val="center"/>
          </w:tcPr>
          <w:p>
            <w:pPr>
              <w:spacing w:after="36" w:before="36"/>
              <w:jc w:val="left"/>
            </w:pPr>
            <w:r>
              <w:rPr>
                <w:b/>
                <w:bCs/>
                <w:i w:val="false"/>
                <w:iCs w:val="false"/>
                <w:color w:val="FFFFFF"/>
                <w:sz w:val="18"/>
                <w:szCs w:val="18"/>
              </w:rPr>
              <w:t xml:space="preserve">Type</w:t>
            </w:r>
          </w:p>
        </w:tc>
        <w:tc>
          <w:tcPr>
            <w:tcBorders>
              <w:top w:val="single" w:color="BFBFBF" w:sz="4"/>
              <w:left w:val="single" w:color="BFBFBF" w:sz="4"/>
              <w:bottom w:val="single" w:color="BFBFBF" w:sz="4"/>
              <w:right w:val="single" w:color="BFBFBF" w:sz="4"/>
            </w:tcBorders>
            <w:shd w:fill="1E6B3C" w:color="auto" w:val="clear"/>
            <w:vAlign w:val="center"/>
          </w:tcPr>
          <w:p>
            <w:pPr>
              <w:spacing w:after="36" w:before="36"/>
              <w:jc w:val="left"/>
            </w:pPr>
            <w:r>
              <w:rPr>
                <w:b/>
                <w:bCs/>
                <w:i w:val="false"/>
                <w:iCs w:val="false"/>
                <w:color w:val="FFFFFF"/>
                <w:sz w:val="18"/>
                <w:szCs w:val="18"/>
              </w:rPr>
              <w:t xml:space="preserve">Notes</w:t>
            </w:r>
          </w:p>
        </w:tc>
      </w:tr>
      <w:tr>
        <w:tc>
          <w:tcPr>
            <w:tcBorders>
              <w:top w:val="single" w:color="BFBFBF" w:sz="4"/>
              <w:left w:val="single" w:color="BFBFBF" w:sz="4"/>
              <w:bottom w:val="single" w:color="BFBFBF" w:sz="4"/>
              <w:right w:val="single" w:color="BFBFBF" w:sz="4"/>
            </w:tcBorders>
            <w:shd w:fill="D6F0E0" w:color="auto" w:val="clear"/>
            <w:vAlign w:val="center"/>
          </w:tcPr>
          <w:p>
            <w:pPr>
              <w:spacing w:after="36" w:before="36"/>
              <w:jc w:val="left"/>
            </w:pPr>
            <w:r>
              <w:rPr>
                <w:b/>
                <w:bCs/>
                <w:i w:val="false"/>
                <w:iCs w:val="false"/>
                <w:color w:val="1E6B3C"/>
                <w:sz w:val="17"/>
                <w:szCs w:val="17"/>
              </w:rPr>
              <w:t xml:space="preserve">ptx_id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PK</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VARCHAR(30)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Primary key</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fund_id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555555"/>
                <w:sz w:val="16"/>
                <w:szCs w:val="16"/>
              </w:rPr>
              <w:t xml:space="preserve">FK→Fund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VARCHAR(20)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Foreign key → Fund</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company_id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555555"/>
                <w:sz w:val="16"/>
                <w:szCs w:val="16"/>
              </w:rPr>
              <w:t xml:space="preserve">FK→PortfolioCompany</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VARCHAR(20)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Foreign key → PortfolioCompany</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transaction_type</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VARCHAR(30)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amount_usd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DECIMAL(15,2)</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transaction_date</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DATE</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realized_gain_usd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DECIMAL(15,2)</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bl>
    <w:p>
      <w:pPr>
        <w:spacing w:after="0" w:before="80"/>
      </w:pPr>
      <w:r>
        <w:rPr>
          <w:sz w:val="20"/>
          <w:szCs w:val="20"/>
        </w:rPr>
        <w:t xml:space="preserve"/>
      </w:r>
    </w:p>
    <w:p>
      <w:pPr>
        <w:pStyle w:val="Heading3"/>
        <w:spacing w:after="80" w:before="220"/>
      </w:pPr>
      <w:r>
        <w:rPr>
          <w:b/>
          <w:bCs/>
          <w:color w:val="7B4F00"/>
          <w:sz w:val="22"/>
          <w:szCs w:val="22"/>
        </w:rPr>
        <w:t xml:space="preserve">Fund Accounting</w:t>
      </w:r>
    </w:p>
    <w:p>
      <w:pPr>
        <w:spacing w:after="40" w:before="120"/>
      </w:pPr>
      <w:r>
        <w:rPr>
          <w:b/>
          <w:bCs/>
          <w:color w:val="7B4F00"/>
          <w:sz w:val="22"/>
          <w:szCs w:val="22"/>
        </w:rPr>
        <w:t xml:space="preserve">ChartOfAccounts</w:t>
      </w:r>
      <w:r>
        <w:rPr>
          <w:i/>
          <w:iCs/>
          <w:color w:val="888888"/>
          <w:sz w:val="18"/>
          <w:szCs w:val="18"/>
        </w:rPr>
        <w:t xml:space="preserve">  —  12_chart_of_accounts.csv</w:t>
      </w:r>
    </w:p>
    <w:p>
      <w:pPr>
        <w:spacing w:after="60" w:before="60"/>
      </w:pPr>
      <w:r>
        <w:rPr>
          <w:b w:val="false"/>
          <w:bCs w:val="false"/>
          <w:i/>
          <w:iCs/>
          <w:color w:val="444444"/>
          <w:sz w:val="20"/>
          <w:szCs w:val="20"/>
        </w:rPr>
        <w:t xml:space="preserve">GL account hierarchy. Supports Assets, Liabilities, Partners Capital, Income, Expense. Self-referencing parent_account_id.</w:t>
      </w:r>
    </w:p>
    <w:p>
      <w:pPr>
        <w:spacing w:after="0" w:before="80"/>
      </w:pPr>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Borders>
              <w:top w:val="single" w:color="BFBFBF" w:sz="4"/>
              <w:left w:val="single" w:color="BFBFBF" w:sz="4"/>
              <w:bottom w:val="single" w:color="BFBFBF" w:sz="4"/>
              <w:right w:val="single" w:color="BFBFBF" w:sz="4"/>
            </w:tcBorders>
            <w:shd w:fill="7B4F00" w:color="auto" w:val="clear"/>
            <w:vAlign w:val="center"/>
          </w:tcPr>
          <w:p>
            <w:pPr>
              <w:spacing w:after="36" w:before="36"/>
              <w:jc w:val="left"/>
            </w:pPr>
            <w:r>
              <w:rPr>
                <w:b/>
                <w:bCs/>
                <w:i w:val="false"/>
                <w:iCs w:val="false"/>
                <w:color w:val="FFFFFF"/>
                <w:sz w:val="18"/>
                <w:szCs w:val="18"/>
              </w:rPr>
              <w:t xml:space="preserve">Field</w:t>
            </w:r>
          </w:p>
        </w:tc>
        <w:tc>
          <w:tcPr>
            <w:tcBorders>
              <w:top w:val="single" w:color="BFBFBF" w:sz="4"/>
              <w:left w:val="single" w:color="BFBFBF" w:sz="4"/>
              <w:bottom w:val="single" w:color="BFBFBF" w:sz="4"/>
              <w:right w:val="single" w:color="BFBFBF" w:sz="4"/>
            </w:tcBorders>
            <w:shd w:fill="7B4F00" w:color="auto" w:val="clear"/>
            <w:vAlign w:val="center"/>
          </w:tcPr>
          <w:p>
            <w:pPr>
              <w:spacing w:after="36" w:before="36"/>
              <w:jc w:val="left"/>
            </w:pPr>
            <w:r>
              <w:rPr>
                <w:b/>
                <w:bCs/>
                <w:i w:val="false"/>
                <w:iCs w:val="false"/>
                <w:color w:val="FFFFFF"/>
                <w:sz w:val="18"/>
                <w:szCs w:val="18"/>
              </w:rPr>
              <w:t xml:space="preserve">Key / FK</w:t>
            </w:r>
          </w:p>
        </w:tc>
        <w:tc>
          <w:tcPr>
            <w:tcBorders>
              <w:top w:val="single" w:color="BFBFBF" w:sz="4"/>
              <w:left w:val="single" w:color="BFBFBF" w:sz="4"/>
              <w:bottom w:val="single" w:color="BFBFBF" w:sz="4"/>
              <w:right w:val="single" w:color="BFBFBF" w:sz="4"/>
            </w:tcBorders>
            <w:shd w:fill="7B4F00" w:color="auto" w:val="clear"/>
            <w:vAlign w:val="center"/>
          </w:tcPr>
          <w:p>
            <w:pPr>
              <w:spacing w:after="36" w:before="36"/>
              <w:jc w:val="left"/>
            </w:pPr>
            <w:r>
              <w:rPr>
                <w:b/>
                <w:bCs/>
                <w:i w:val="false"/>
                <w:iCs w:val="false"/>
                <w:color w:val="FFFFFF"/>
                <w:sz w:val="18"/>
                <w:szCs w:val="18"/>
              </w:rPr>
              <w:t xml:space="preserve">Type</w:t>
            </w:r>
          </w:p>
        </w:tc>
        <w:tc>
          <w:tcPr>
            <w:tcBorders>
              <w:top w:val="single" w:color="BFBFBF" w:sz="4"/>
              <w:left w:val="single" w:color="BFBFBF" w:sz="4"/>
              <w:bottom w:val="single" w:color="BFBFBF" w:sz="4"/>
              <w:right w:val="single" w:color="BFBFBF" w:sz="4"/>
            </w:tcBorders>
            <w:shd w:fill="7B4F00" w:color="auto" w:val="clear"/>
            <w:vAlign w:val="center"/>
          </w:tcPr>
          <w:p>
            <w:pPr>
              <w:spacing w:after="36" w:before="36"/>
              <w:jc w:val="left"/>
            </w:pPr>
            <w:r>
              <w:rPr>
                <w:b/>
                <w:bCs/>
                <w:i w:val="false"/>
                <w:iCs w:val="false"/>
                <w:color w:val="FFFFFF"/>
                <w:sz w:val="18"/>
                <w:szCs w:val="18"/>
              </w:rPr>
              <w:t xml:space="preserve">Notes</w:t>
            </w:r>
          </w:p>
        </w:tc>
      </w:tr>
      <w:tr>
        <w:tc>
          <w:tcPr>
            <w:tcBorders>
              <w:top w:val="single" w:color="BFBFBF" w:sz="4"/>
              <w:left w:val="single" w:color="BFBFBF" w:sz="4"/>
              <w:bottom w:val="single" w:color="BFBFBF" w:sz="4"/>
              <w:right w:val="single" w:color="BFBFBF" w:sz="4"/>
            </w:tcBorders>
            <w:shd w:fill="FFF3CD" w:color="auto" w:val="clear"/>
            <w:vAlign w:val="center"/>
          </w:tcPr>
          <w:p>
            <w:pPr>
              <w:spacing w:after="36" w:before="36"/>
              <w:jc w:val="left"/>
            </w:pPr>
            <w:r>
              <w:rPr>
                <w:b/>
                <w:bCs/>
                <w:i w:val="false"/>
                <w:iCs w:val="false"/>
                <w:color w:val="7B4F00"/>
                <w:sz w:val="17"/>
                <w:szCs w:val="17"/>
              </w:rPr>
              <w:t xml:space="preserve">account_id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PK</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VARCHAR(20)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Primary key</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account_name</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VARCHAR(100)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account_type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VARCHAR(30)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normal_balance</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CHAR(6)</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parent_account_id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555555"/>
                <w:sz w:val="16"/>
                <w:szCs w:val="16"/>
              </w:rPr>
              <w:t xml:space="preserve">FK→self</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VARCHAR(20)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Foreign key → self</w:t>
            </w:r>
          </w:p>
        </w:tc>
      </w:tr>
    </w:tbl>
    <w:p>
      <w:pPr>
        <w:spacing w:after="0" w:before="80"/>
      </w:pPr>
      <w:r>
        <w:rPr>
          <w:sz w:val="20"/>
          <w:szCs w:val="20"/>
        </w:rPr>
        <w:t xml:space="preserve"/>
      </w:r>
    </w:p>
    <w:p>
      <w:pPr>
        <w:spacing w:after="40" w:before="120"/>
      </w:pPr>
      <w:r>
        <w:rPr>
          <w:b/>
          <w:bCs/>
          <w:color w:val="7B4F00"/>
          <w:sz w:val="22"/>
          <w:szCs w:val="22"/>
        </w:rPr>
        <w:t xml:space="preserve">ManagementFee</w:t>
      </w:r>
      <w:r>
        <w:rPr>
          <w:i/>
          <w:iCs/>
          <w:color w:val="888888"/>
          <w:sz w:val="18"/>
          <w:szCs w:val="18"/>
        </w:rPr>
        <w:t xml:space="preserve">  —  16_management_fees.csv</w:t>
      </w:r>
    </w:p>
    <w:p>
      <w:pPr>
        <w:spacing w:after="60" w:before="60"/>
      </w:pPr>
      <w:r>
        <w:rPr>
          <w:b w:val="false"/>
          <w:bCs w:val="false"/>
          <w:i/>
          <w:iCs/>
          <w:color w:val="444444"/>
          <w:sz w:val="20"/>
          <w:szCs w:val="20"/>
        </w:rPr>
        <w:t xml:space="preserve">Quarterly management fee accrual per fund. Basis = committed or invested capital depending on fund period.</w:t>
      </w:r>
    </w:p>
    <w:p>
      <w:pPr>
        <w:spacing w:after="0" w:before="80"/>
      </w:pPr>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Borders>
              <w:top w:val="single" w:color="BFBFBF" w:sz="4"/>
              <w:left w:val="single" w:color="BFBFBF" w:sz="4"/>
              <w:bottom w:val="single" w:color="BFBFBF" w:sz="4"/>
              <w:right w:val="single" w:color="BFBFBF" w:sz="4"/>
            </w:tcBorders>
            <w:shd w:fill="7B4F00" w:color="auto" w:val="clear"/>
            <w:vAlign w:val="center"/>
          </w:tcPr>
          <w:p>
            <w:pPr>
              <w:spacing w:after="36" w:before="36"/>
              <w:jc w:val="left"/>
            </w:pPr>
            <w:r>
              <w:rPr>
                <w:b/>
                <w:bCs/>
                <w:i w:val="false"/>
                <w:iCs w:val="false"/>
                <w:color w:val="FFFFFF"/>
                <w:sz w:val="18"/>
                <w:szCs w:val="18"/>
              </w:rPr>
              <w:t xml:space="preserve">Field</w:t>
            </w:r>
          </w:p>
        </w:tc>
        <w:tc>
          <w:tcPr>
            <w:tcBorders>
              <w:top w:val="single" w:color="BFBFBF" w:sz="4"/>
              <w:left w:val="single" w:color="BFBFBF" w:sz="4"/>
              <w:bottom w:val="single" w:color="BFBFBF" w:sz="4"/>
              <w:right w:val="single" w:color="BFBFBF" w:sz="4"/>
            </w:tcBorders>
            <w:shd w:fill="7B4F00" w:color="auto" w:val="clear"/>
            <w:vAlign w:val="center"/>
          </w:tcPr>
          <w:p>
            <w:pPr>
              <w:spacing w:after="36" w:before="36"/>
              <w:jc w:val="left"/>
            </w:pPr>
            <w:r>
              <w:rPr>
                <w:b/>
                <w:bCs/>
                <w:i w:val="false"/>
                <w:iCs w:val="false"/>
                <w:color w:val="FFFFFF"/>
                <w:sz w:val="18"/>
                <w:szCs w:val="18"/>
              </w:rPr>
              <w:t xml:space="preserve">Key / FK</w:t>
            </w:r>
          </w:p>
        </w:tc>
        <w:tc>
          <w:tcPr>
            <w:tcBorders>
              <w:top w:val="single" w:color="BFBFBF" w:sz="4"/>
              <w:left w:val="single" w:color="BFBFBF" w:sz="4"/>
              <w:bottom w:val="single" w:color="BFBFBF" w:sz="4"/>
              <w:right w:val="single" w:color="BFBFBF" w:sz="4"/>
            </w:tcBorders>
            <w:shd w:fill="7B4F00" w:color="auto" w:val="clear"/>
            <w:vAlign w:val="center"/>
          </w:tcPr>
          <w:p>
            <w:pPr>
              <w:spacing w:after="36" w:before="36"/>
              <w:jc w:val="left"/>
            </w:pPr>
            <w:r>
              <w:rPr>
                <w:b/>
                <w:bCs/>
                <w:i w:val="false"/>
                <w:iCs w:val="false"/>
                <w:color w:val="FFFFFF"/>
                <w:sz w:val="18"/>
                <w:szCs w:val="18"/>
              </w:rPr>
              <w:t xml:space="preserve">Type</w:t>
            </w:r>
          </w:p>
        </w:tc>
        <w:tc>
          <w:tcPr>
            <w:tcBorders>
              <w:top w:val="single" w:color="BFBFBF" w:sz="4"/>
              <w:left w:val="single" w:color="BFBFBF" w:sz="4"/>
              <w:bottom w:val="single" w:color="BFBFBF" w:sz="4"/>
              <w:right w:val="single" w:color="BFBFBF" w:sz="4"/>
            </w:tcBorders>
            <w:shd w:fill="7B4F00" w:color="auto" w:val="clear"/>
            <w:vAlign w:val="center"/>
          </w:tcPr>
          <w:p>
            <w:pPr>
              <w:spacing w:after="36" w:before="36"/>
              <w:jc w:val="left"/>
            </w:pPr>
            <w:r>
              <w:rPr>
                <w:b/>
                <w:bCs/>
                <w:i w:val="false"/>
                <w:iCs w:val="false"/>
                <w:color w:val="FFFFFF"/>
                <w:sz w:val="18"/>
                <w:szCs w:val="18"/>
              </w:rPr>
              <w:t xml:space="preserve">Notes</w:t>
            </w:r>
          </w:p>
        </w:tc>
      </w:tr>
      <w:tr>
        <w:tc>
          <w:tcPr>
            <w:tcBorders>
              <w:top w:val="single" w:color="BFBFBF" w:sz="4"/>
              <w:left w:val="single" w:color="BFBFBF" w:sz="4"/>
              <w:bottom w:val="single" w:color="BFBFBF" w:sz="4"/>
              <w:right w:val="single" w:color="BFBFBF" w:sz="4"/>
            </w:tcBorders>
            <w:shd w:fill="FFF3CD" w:color="auto" w:val="clear"/>
            <w:vAlign w:val="center"/>
          </w:tcPr>
          <w:p>
            <w:pPr>
              <w:spacing w:after="36" w:before="36"/>
              <w:jc w:val="left"/>
            </w:pPr>
            <w:r>
              <w:rPr>
                <w:b/>
                <w:bCs/>
                <w:i w:val="false"/>
                <w:iCs w:val="false"/>
                <w:color w:val="7B4F00"/>
                <w:sz w:val="17"/>
                <w:szCs w:val="17"/>
              </w:rPr>
              <w:t xml:space="preserve">fee_id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PK</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VARCHAR(30)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Primary key</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fund_id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555555"/>
                <w:sz w:val="16"/>
                <w:szCs w:val="16"/>
              </w:rPr>
              <w:t xml:space="preserve">FK→Fund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VARCHAR(20)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Foreign key → Fund</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period_end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DATE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fee_basis_usd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DECIMAL(15,2)</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fee_rate_pct</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DECIMAL(5,4)</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fee_amount_usd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DECIMAL(15,2)</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accrual_status</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VARCHAR(20)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bl>
    <w:p>
      <w:pPr>
        <w:spacing w:after="0" w:before="80"/>
      </w:pPr>
      <w:r>
        <w:rPr>
          <w:sz w:val="20"/>
          <w:szCs w:val="20"/>
        </w:rPr>
        <w:t xml:space="preserve"/>
      </w:r>
    </w:p>
    <w:p>
      <w:pPr>
        <w:spacing w:after="40" w:before="120"/>
      </w:pPr>
      <w:r>
        <w:rPr>
          <w:b/>
          <w:bCs/>
          <w:color w:val="7B4F00"/>
          <w:sz w:val="22"/>
          <w:szCs w:val="22"/>
        </w:rPr>
        <w:t xml:space="preserve">Distribution</w:t>
      </w:r>
      <w:r>
        <w:rPr>
          <w:i/>
          <w:iCs/>
          <w:color w:val="888888"/>
          <w:sz w:val="18"/>
          <w:szCs w:val="18"/>
        </w:rPr>
        <w:t xml:space="preserve">  —  17_distributions.csv</w:t>
      </w:r>
    </w:p>
    <w:p>
      <w:pPr>
        <w:spacing w:after="60" w:before="60"/>
      </w:pPr>
      <w:r>
        <w:rPr>
          <w:b w:val="false"/>
          <w:bCs w:val="false"/>
          <w:i/>
          <w:iCs/>
          <w:color w:val="444444"/>
          <w:sz w:val="20"/>
          <w:szCs w:val="20"/>
        </w:rPr>
        <w:t xml:space="preserve">Fund-level distribution event. Types: return of capital, realized gain, income. Triggers per-LP distribution notices.</w:t>
      </w:r>
    </w:p>
    <w:p>
      <w:pPr>
        <w:spacing w:after="0" w:before="80"/>
      </w:pPr>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Borders>
              <w:top w:val="single" w:color="BFBFBF" w:sz="4"/>
              <w:left w:val="single" w:color="BFBFBF" w:sz="4"/>
              <w:bottom w:val="single" w:color="BFBFBF" w:sz="4"/>
              <w:right w:val="single" w:color="BFBFBF" w:sz="4"/>
            </w:tcBorders>
            <w:shd w:fill="7B4F00" w:color="auto" w:val="clear"/>
            <w:vAlign w:val="center"/>
          </w:tcPr>
          <w:p>
            <w:pPr>
              <w:spacing w:after="36" w:before="36"/>
              <w:jc w:val="left"/>
            </w:pPr>
            <w:r>
              <w:rPr>
                <w:b/>
                <w:bCs/>
                <w:i w:val="false"/>
                <w:iCs w:val="false"/>
                <w:color w:val="FFFFFF"/>
                <w:sz w:val="18"/>
                <w:szCs w:val="18"/>
              </w:rPr>
              <w:t xml:space="preserve">Field</w:t>
            </w:r>
          </w:p>
        </w:tc>
        <w:tc>
          <w:tcPr>
            <w:tcBorders>
              <w:top w:val="single" w:color="BFBFBF" w:sz="4"/>
              <w:left w:val="single" w:color="BFBFBF" w:sz="4"/>
              <w:bottom w:val="single" w:color="BFBFBF" w:sz="4"/>
              <w:right w:val="single" w:color="BFBFBF" w:sz="4"/>
            </w:tcBorders>
            <w:shd w:fill="7B4F00" w:color="auto" w:val="clear"/>
            <w:vAlign w:val="center"/>
          </w:tcPr>
          <w:p>
            <w:pPr>
              <w:spacing w:after="36" w:before="36"/>
              <w:jc w:val="left"/>
            </w:pPr>
            <w:r>
              <w:rPr>
                <w:b/>
                <w:bCs/>
                <w:i w:val="false"/>
                <w:iCs w:val="false"/>
                <w:color w:val="FFFFFF"/>
                <w:sz w:val="18"/>
                <w:szCs w:val="18"/>
              </w:rPr>
              <w:t xml:space="preserve">Key / FK</w:t>
            </w:r>
          </w:p>
        </w:tc>
        <w:tc>
          <w:tcPr>
            <w:tcBorders>
              <w:top w:val="single" w:color="BFBFBF" w:sz="4"/>
              <w:left w:val="single" w:color="BFBFBF" w:sz="4"/>
              <w:bottom w:val="single" w:color="BFBFBF" w:sz="4"/>
              <w:right w:val="single" w:color="BFBFBF" w:sz="4"/>
            </w:tcBorders>
            <w:shd w:fill="7B4F00" w:color="auto" w:val="clear"/>
            <w:vAlign w:val="center"/>
          </w:tcPr>
          <w:p>
            <w:pPr>
              <w:spacing w:after="36" w:before="36"/>
              <w:jc w:val="left"/>
            </w:pPr>
            <w:r>
              <w:rPr>
                <w:b/>
                <w:bCs/>
                <w:i w:val="false"/>
                <w:iCs w:val="false"/>
                <w:color w:val="FFFFFF"/>
                <w:sz w:val="18"/>
                <w:szCs w:val="18"/>
              </w:rPr>
              <w:t xml:space="preserve">Type</w:t>
            </w:r>
          </w:p>
        </w:tc>
        <w:tc>
          <w:tcPr>
            <w:tcBorders>
              <w:top w:val="single" w:color="BFBFBF" w:sz="4"/>
              <w:left w:val="single" w:color="BFBFBF" w:sz="4"/>
              <w:bottom w:val="single" w:color="BFBFBF" w:sz="4"/>
              <w:right w:val="single" w:color="BFBFBF" w:sz="4"/>
            </w:tcBorders>
            <w:shd w:fill="7B4F00" w:color="auto" w:val="clear"/>
            <w:vAlign w:val="center"/>
          </w:tcPr>
          <w:p>
            <w:pPr>
              <w:spacing w:after="36" w:before="36"/>
              <w:jc w:val="left"/>
            </w:pPr>
            <w:r>
              <w:rPr>
                <w:b/>
                <w:bCs/>
                <w:i w:val="false"/>
                <w:iCs w:val="false"/>
                <w:color w:val="FFFFFF"/>
                <w:sz w:val="18"/>
                <w:szCs w:val="18"/>
              </w:rPr>
              <w:t xml:space="preserve">Notes</w:t>
            </w:r>
          </w:p>
        </w:tc>
      </w:tr>
      <w:tr>
        <w:tc>
          <w:tcPr>
            <w:tcBorders>
              <w:top w:val="single" w:color="BFBFBF" w:sz="4"/>
              <w:left w:val="single" w:color="BFBFBF" w:sz="4"/>
              <w:bottom w:val="single" w:color="BFBFBF" w:sz="4"/>
              <w:right w:val="single" w:color="BFBFBF" w:sz="4"/>
            </w:tcBorders>
            <w:shd w:fill="FFF3CD" w:color="auto" w:val="clear"/>
            <w:vAlign w:val="center"/>
          </w:tcPr>
          <w:p>
            <w:pPr>
              <w:spacing w:after="36" w:before="36"/>
              <w:jc w:val="left"/>
            </w:pPr>
            <w:r>
              <w:rPr>
                <w:b/>
                <w:bCs/>
                <w:i w:val="false"/>
                <w:iCs w:val="false"/>
                <w:color w:val="7B4F00"/>
                <w:sz w:val="17"/>
                <w:szCs w:val="17"/>
              </w:rPr>
              <w:t xml:space="preserve">distribution_id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PK</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VARCHAR(30)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Primary key</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fund_id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555555"/>
                <w:sz w:val="16"/>
                <w:szCs w:val="16"/>
              </w:rPr>
              <w:t xml:space="preserve">FK→Fund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VARCHAR(20)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Foreign key → Fund</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distribution_date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DATE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total_amount_usd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DECIMAL(15,2)</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distribution_type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VARCHAR(30)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source_company_id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555555"/>
                <w:sz w:val="16"/>
                <w:szCs w:val="16"/>
              </w:rPr>
              <w:t xml:space="preserve">FK→PortfolioCompany</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VARCHAR(20)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Foreign key → PortfolioCompany</w:t>
            </w:r>
          </w:p>
        </w:tc>
      </w:tr>
    </w:tbl>
    <w:p>
      <w:pPr>
        <w:spacing w:after="0" w:before="80"/>
      </w:pPr>
      <w:r>
        <w:rPr>
          <w:sz w:val="20"/>
          <w:szCs w:val="20"/>
        </w:rPr>
        <w:t xml:space="preserve"/>
      </w:r>
    </w:p>
    <w:p>
      <w:pPr>
        <w:spacing w:after="40" w:before="120"/>
      </w:pPr>
      <w:r>
        <w:rPr>
          <w:b/>
          <w:bCs/>
          <w:color w:val="7B4F00"/>
          <w:sz w:val="22"/>
          <w:szCs w:val="22"/>
        </w:rPr>
        <w:t xml:space="preserve">DistributionNotice</w:t>
      </w:r>
      <w:r>
        <w:rPr>
          <w:i/>
          <w:iCs/>
          <w:color w:val="888888"/>
          <w:sz w:val="18"/>
          <w:szCs w:val="18"/>
        </w:rPr>
        <w:t xml:space="preserve">  —  18_distribution_notices.csv</w:t>
      </w:r>
    </w:p>
    <w:p>
      <w:pPr>
        <w:spacing w:after="60" w:before="60"/>
      </w:pPr>
      <w:r>
        <w:rPr>
          <w:b w:val="false"/>
          <w:bCs w:val="false"/>
          <w:i/>
          <w:iCs/>
          <w:color w:val="444444"/>
          <w:sz w:val="20"/>
          <w:szCs w:val="20"/>
        </w:rPr>
        <w:t xml:space="preserve">Per-LP allocation of a fund distribution. Amount = fund distribution × LP pro-rata capital account percentage.</w:t>
      </w:r>
    </w:p>
    <w:p>
      <w:pPr>
        <w:spacing w:after="0" w:before="80"/>
      </w:pPr>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Borders>
              <w:top w:val="single" w:color="BFBFBF" w:sz="4"/>
              <w:left w:val="single" w:color="BFBFBF" w:sz="4"/>
              <w:bottom w:val="single" w:color="BFBFBF" w:sz="4"/>
              <w:right w:val="single" w:color="BFBFBF" w:sz="4"/>
            </w:tcBorders>
            <w:shd w:fill="7B4F00" w:color="auto" w:val="clear"/>
            <w:vAlign w:val="center"/>
          </w:tcPr>
          <w:p>
            <w:pPr>
              <w:spacing w:after="36" w:before="36"/>
              <w:jc w:val="left"/>
            </w:pPr>
            <w:r>
              <w:rPr>
                <w:b/>
                <w:bCs/>
                <w:i w:val="false"/>
                <w:iCs w:val="false"/>
                <w:color w:val="FFFFFF"/>
                <w:sz w:val="18"/>
                <w:szCs w:val="18"/>
              </w:rPr>
              <w:t xml:space="preserve">Field</w:t>
            </w:r>
          </w:p>
        </w:tc>
        <w:tc>
          <w:tcPr>
            <w:tcBorders>
              <w:top w:val="single" w:color="BFBFBF" w:sz="4"/>
              <w:left w:val="single" w:color="BFBFBF" w:sz="4"/>
              <w:bottom w:val="single" w:color="BFBFBF" w:sz="4"/>
              <w:right w:val="single" w:color="BFBFBF" w:sz="4"/>
            </w:tcBorders>
            <w:shd w:fill="7B4F00" w:color="auto" w:val="clear"/>
            <w:vAlign w:val="center"/>
          </w:tcPr>
          <w:p>
            <w:pPr>
              <w:spacing w:after="36" w:before="36"/>
              <w:jc w:val="left"/>
            </w:pPr>
            <w:r>
              <w:rPr>
                <w:b/>
                <w:bCs/>
                <w:i w:val="false"/>
                <w:iCs w:val="false"/>
                <w:color w:val="FFFFFF"/>
                <w:sz w:val="18"/>
                <w:szCs w:val="18"/>
              </w:rPr>
              <w:t xml:space="preserve">Key / FK</w:t>
            </w:r>
          </w:p>
        </w:tc>
        <w:tc>
          <w:tcPr>
            <w:tcBorders>
              <w:top w:val="single" w:color="BFBFBF" w:sz="4"/>
              <w:left w:val="single" w:color="BFBFBF" w:sz="4"/>
              <w:bottom w:val="single" w:color="BFBFBF" w:sz="4"/>
              <w:right w:val="single" w:color="BFBFBF" w:sz="4"/>
            </w:tcBorders>
            <w:shd w:fill="7B4F00" w:color="auto" w:val="clear"/>
            <w:vAlign w:val="center"/>
          </w:tcPr>
          <w:p>
            <w:pPr>
              <w:spacing w:after="36" w:before="36"/>
              <w:jc w:val="left"/>
            </w:pPr>
            <w:r>
              <w:rPr>
                <w:b/>
                <w:bCs/>
                <w:i w:val="false"/>
                <w:iCs w:val="false"/>
                <w:color w:val="FFFFFF"/>
                <w:sz w:val="18"/>
                <w:szCs w:val="18"/>
              </w:rPr>
              <w:t xml:space="preserve">Type</w:t>
            </w:r>
          </w:p>
        </w:tc>
        <w:tc>
          <w:tcPr>
            <w:tcBorders>
              <w:top w:val="single" w:color="BFBFBF" w:sz="4"/>
              <w:left w:val="single" w:color="BFBFBF" w:sz="4"/>
              <w:bottom w:val="single" w:color="BFBFBF" w:sz="4"/>
              <w:right w:val="single" w:color="BFBFBF" w:sz="4"/>
            </w:tcBorders>
            <w:shd w:fill="7B4F00" w:color="auto" w:val="clear"/>
            <w:vAlign w:val="center"/>
          </w:tcPr>
          <w:p>
            <w:pPr>
              <w:spacing w:after="36" w:before="36"/>
              <w:jc w:val="left"/>
            </w:pPr>
            <w:r>
              <w:rPr>
                <w:b/>
                <w:bCs/>
                <w:i w:val="false"/>
                <w:iCs w:val="false"/>
                <w:color w:val="FFFFFF"/>
                <w:sz w:val="18"/>
                <w:szCs w:val="18"/>
              </w:rPr>
              <w:t xml:space="preserve">Notes</w:t>
            </w:r>
          </w:p>
        </w:tc>
      </w:tr>
      <w:tr>
        <w:tc>
          <w:tcPr>
            <w:tcBorders>
              <w:top w:val="single" w:color="BFBFBF" w:sz="4"/>
              <w:left w:val="single" w:color="BFBFBF" w:sz="4"/>
              <w:bottom w:val="single" w:color="BFBFBF" w:sz="4"/>
              <w:right w:val="single" w:color="BFBFBF" w:sz="4"/>
            </w:tcBorders>
            <w:shd w:fill="FFF3CD" w:color="auto" w:val="clear"/>
            <w:vAlign w:val="center"/>
          </w:tcPr>
          <w:p>
            <w:pPr>
              <w:spacing w:after="36" w:before="36"/>
              <w:jc w:val="left"/>
            </w:pPr>
            <w:r>
              <w:rPr>
                <w:b/>
                <w:bCs/>
                <w:i w:val="false"/>
                <w:iCs w:val="false"/>
                <w:color w:val="7B4F00"/>
                <w:sz w:val="17"/>
                <w:szCs w:val="17"/>
              </w:rPr>
              <w:t xml:space="preserve">notice_id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PK</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VARCHAR(30)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Primary key</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distribution_id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555555"/>
                <w:sz w:val="16"/>
                <w:szCs w:val="16"/>
              </w:rPr>
              <w:t xml:space="preserve">FK→Distribution</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VARCHAR(30)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Foreign key → Distribution</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commitment_id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555555"/>
                <w:sz w:val="16"/>
                <w:szCs w:val="16"/>
              </w:rPr>
              <w:t xml:space="preserve">FK→Commitment</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VARCHAR(30)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Foreign key → Commitment</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gross_amount_usd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DECIMAL(15,2)</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net_amount_usd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DECIMAL(15,2)</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wire_date</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DATE</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bl>
    <w:p>
      <w:pPr>
        <w:spacing w:after="0" w:before="80"/>
      </w:pPr>
      <w:r>
        <w:rPr>
          <w:sz w:val="20"/>
          <w:szCs w:val="20"/>
        </w:rPr>
        <w:t xml:space="preserve"/>
      </w:r>
    </w:p>
    <w:p>
      <w:pPr>
        <w:spacing w:after="40" w:before="120"/>
      </w:pPr>
      <w:r>
        <w:rPr>
          <w:b/>
          <w:bCs/>
          <w:color w:val="7B4F00"/>
          <w:sz w:val="22"/>
          <w:szCs w:val="22"/>
        </w:rPr>
        <w:t xml:space="preserve">LPCapAcct</w:t>
      </w:r>
      <w:r>
        <w:rPr>
          <w:i/>
          <w:iCs/>
          <w:color w:val="888888"/>
          <w:sz w:val="18"/>
          <w:szCs w:val="18"/>
        </w:rPr>
        <w:t xml:space="preserve">  —  19_lp_capital_account_rollforward.csv</w:t>
      </w:r>
    </w:p>
    <w:p>
      <w:pPr>
        <w:spacing w:after="60" w:before="60"/>
      </w:pPr>
      <w:r>
        <w:rPr>
          <w:b w:val="false"/>
          <w:bCs w:val="false"/>
          <w:i/>
          <w:iCs/>
          <w:color w:val="444444"/>
          <w:sz w:val="20"/>
          <w:szCs w:val="20"/>
        </w:rPr>
        <w:t xml:space="preserve">LP capital account roll-forward by period. Beginning balance + contributions - distributions +/- FV change = ending balance.</w:t>
      </w:r>
    </w:p>
    <w:p>
      <w:pPr>
        <w:spacing w:after="0" w:before="80"/>
      </w:pPr>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Borders>
              <w:top w:val="single" w:color="BFBFBF" w:sz="4"/>
              <w:left w:val="single" w:color="BFBFBF" w:sz="4"/>
              <w:bottom w:val="single" w:color="BFBFBF" w:sz="4"/>
              <w:right w:val="single" w:color="BFBFBF" w:sz="4"/>
            </w:tcBorders>
            <w:shd w:fill="7B4F00" w:color="auto" w:val="clear"/>
            <w:vAlign w:val="center"/>
          </w:tcPr>
          <w:p>
            <w:pPr>
              <w:spacing w:after="36" w:before="36"/>
              <w:jc w:val="left"/>
            </w:pPr>
            <w:r>
              <w:rPr>
                <w:b/>
                <w:bCs/>
                <w:i w:val="false"/>
                <w:iCs w:val="false"/>
                <w:color w:val="FFFFFF"/>
                <w:sz w:val="18"/>
                <w:szCs w:val="18"/>
              </w:rPr>
              <w:t xml:space="preserve">Field</w:t>
            </w:r>
          </w:p>
        </w:tc>
        <w:tc>
          <w:tcPr>
            <w:tcBorders>
              <w:top w:val="single" w:color="BFBFBF" w:sz="4"/>
              <w:left w:val="single" w:color="BFBFBF" w:sz="4"/>
              <w:bottom w:val="single" w:color="BFBFBF" w:sz="4"/>
              <w:right w:val="single" w:color="BFBFBF" w:sz="4"/>
            </w:tcBorders>
            <w:shd w:fill="7B4F00" w:color="auto" w:val="clear"/>
            <w:vAlign w:val="center"/>
          </w:tcPr>
          <w:p>
            <w:pPr>
              <w:spacing w:after="36" w:before="36"/>
              <w:jc w:val="left"/>
            </w:pPr>
            <w:r>
              <w:rPr>
                <w:b/>
                <w:bCs/>
                <w:i w:val="false"/>
                <w:iCs w:val="false"/>
                <w:color w:val="FFFFFF"/>
                <w:sz w:val="18"/>
                <w:szCs w:val="18"/>
              </w:rPr>
              <w:t xml:space="preserve">Key / FK</w:t>
            </w:r>
          </w:p>
        </w:tc>
        <w:tc>
          <w:tcPr>
            <w:tcBorders>
              <w:top w:val="single" w:color="BFBFBF" w:sz="4"/>
              <w:left w:val="single" w:color="BFBFBF" w:sz="4"/>
              <w:bottom w:val="single" w:color="BFBFBF" w:sz="4"/>
              <w:right w:val="single" w:color="BFBFBF" w:sz="4"/>
            </w:tcBorders>
            <w:shd w:fill="7B4F00" w:color="auto" w:val="clear"/>
            <w:vAlign w:val="center"/>
          </w:tcPr>
          <w:p>
            <w:pPr>
              <w:spacing w:after="36" w:before="36"/>
              <w:jc w:val="left"/>
            </w:pPr>
            <w:r>
              <w:rPr>
                <w:b/>
                <w:bCs/>
                <w:i w:val="false"/>
                <w:iCs w:val="false"/>
                <w:color w:val="FFFFFF"/>
                <w:sz w:val="18"/>
                <w:szCs w:val="18"/>
              </w:rPr>
              <w:t xml:space="preserve">Type</w:t>
            </w:r>
          </w:p>
        </w:tc>
        <w:tc>
          <w:tcPr>
            <w:tcBorders>
              <w:top w:val="single" w:color="BFBFBF" w:sz="4"/>
              <w:left w:val="single" w:color="BFBFBF" w:sz="4"/>
              <w:bottom w:val="single" w:color="BFBFBF" w:sz="4"/>
              <w:right w:val="single" w:color="BFBFBF" w:sz="4"/>
            </w:tcBorders>
            <w:shd w:fill="7B4F00" w:color="auto" w:val="clear"/>
            <w:vAlign w:val="center"/>
          </w:tcPr>
          <w:p>
            <w:pPr>
              <w:spacing w:after="36" w:before="36"/>
              <w:jc w:val="left"/>
            </w:pPr>
            <w:r>
              <w:rPr>
                <w:b/>
                <w:bCs/>
                <w:i w:val="false"/>
                <w:iCs w:val="false"/>
                <w:color w:val="FFFFFF"/>
                <w:sz w:val="18"/>
                <w:szCs w:val="18"/>
              </w:rPr>
              <w:t xml:space="preserve">Notes</w:t>
            </w:r>
          </w:p>
        </w:tc>
      </w:tr>
      <w:tr>
        <w:tc>
          <w:tcPr>
            <w:tcBorders>
              <w:top w:val="single" w:color="BFBFBF" w:sz="4"/>
              <w:left w:val="single" w:color="BFBFBF" w:sz="4"/>
              <w:bottom w:val="single" w:color="BFBFBF" w:sz="4"/>
              <w:right w:val="single" w:color="BFBFBF" w:sz="4"/>
            </w:tcBorders>
            <w:shd w:fill="FFF3CD" w:color="auto" w:val="clear"/>
            <w:vAlign w:val="center"/>
          </w:tcPr>
          <w:p>
            <w:pPr>
              <w:spacing w:after="36" w:before="36"/>
              <w:jc w:val="left"/>
            </w:pPr>
            <w:r>
              <w:rPr>
                <w:b/>
                <w:bCs/>
                <w:i w:val="false"/>
                <w:iCs w:val="false"/>
                <w:color w:val="7B4F00"/>
                <w:sz w:val="17"/>
                <w:szCs w:val="17"/>
              </w:rPr>
              <w:t xml:space="preserve">roll_id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PK</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VARCHAR(30)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Primary key</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commitment_id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555555"/>
                <w:sz w:val="16"/>
                <w:szCs w:val="16"/>
              </w:rPr>
              <w:t xml:space="preserve">FK→Commitment</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VARCHAR(30)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Foreign key → Commitment</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period_end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DATE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beginning_capital</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DECIMAL(15,2)</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contributions</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DECIMAL(15,2)</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distributions</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DECIMAL(15,2)</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fv_change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DECIMAL(15,2)</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ending_capital</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DECIMAL(15,2)</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nav</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DECIMAL(15,2)</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bl>
    <w:p>
      <w:pPr>
        <w:spacing w:after="0" w:before="80"/>
      </w:pPr>
      <w:r>
        <w:rPr>
          <w:sz w:val="20"/>
          <w:szCs w:val="20"/>
        </w:rPr>
        <w:t xml:space="preserve"/>
      </w:r>
    </w:p>
    <w:p>
      <w:pPr>
        <w:spacing w:after="40" w:before="120"/>
      </w:pPr>
      <w:r>
        <w:rPr>
          <w:b/>
          <w:bCs/>
          <w:color w:val="7B4F00"/>
          <w:sz w:val="22"/>
          <w:szCs w:val="22"/>
        </w:rPr>
        <w:t xml:space="preserve">CarriedInterest</w:t>
      </w:r>
      <w:r>
        <w:rPr>
          <w:i/>
          <w:iCs/>
          <w:color w:val="888888"/>
          <w:sz w:val="18"/>
          <w:szCs w:val="18"/>
        </w:rPr>
        <w:t xml:space="preserve">  —  20_carried_interest.csv</w:t>
      </w:r>
    </w:p>
    <w:p>
      <w:pPr>
        <w:spacing w:after="60" w:before="60"/>
      </w:pPr>
      <w:r>
        <w:rPr>
          <w:b w:val="false"/>
          <w:bCs w:val="false"/>
          <w:i/>
          <w:iCs/>
          <w:color w:val="444444"/>
          <w:sz w:val="20"/>
          <w:szCs w:val="20"/>
        </w:rPr>
        <w:t xml:space="preserve">Carried interest / waterfall calculation per fund per period. Triggered after preferred return hurdle is met.</w:t>
      </w:r>
    </w:p>
    <w:p>
      <w:pPr>
        <w:spacing w:after="0" w:before="80"/>
      </w:pPr>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Borders>
              <w:top w:val="single" w:color="BFBFBF" w:sz="4"/>
              <w:left w:val="single" w:color="BFBFBF" w:sz="4"/>
              <w:bottom w:val="single" w:color="BFBFBF" w:sz="4"/>
              <w:right w:val="single" w:color="BFBFBF" w:sz="4"/>
            </w:tcBorders>
            <w:shd w:fill="7B4F00" w:color="auto" w:val="clear"/>
            <w:vAlign w:val="center"/>
          </w:tcPr>
          <w:p>
            <w:pPr>
              <w:spacing w:after="36" w:before="36"/>
              <w:jc w:val="left"/>
            </w:pPr>
            <w:r>
              <w:rPr>
                <w:b/>
                <w:bCs/>
                <w:i w:val="false"/>
                <w:iCs w:val="false"/>
                <w:color w:val="FFFFFF"/>
                <w:sz w:val="18"/>
                <w:szCs w:val="18"/>
              </w:rPr>
              <w:t xml:space="preserve">Field</w:t>
            </w:r>
          </w:p>
        </w:tc>
        <w:tc>
          <w:tcPr>
            <w:tcBorders>
              <w:top w:val="single" w:color="BFBFBF" w:sz="4"/>
              <w:left w:val="single" w:color="BFBFBF" w:sz="4"/>
              <w:bottom w:val="single" w:color="BFBFBF" w:sz="4"/>
              <w:right w:val="single" w:color="BFBFBF" w:sz="4"/>
            </w:tcBorders>
            <w:shd w:fill="7B4F00" w:color="auto" w:val="clear"/>
            <w:vAlign w:val="center"/>
          </w:tcPr>
          <w:p>
            <w:pPr>
              <w:spacing w:after="36" w:before="36"/>
              <w:jc w:val="left"/>
            </w:pPr>
            <w:r>
              <w:rPr>
                <w:b/>
                <w:bCs/>
                <w:i w:val="false"/>
                <w:iCs w:val="false"/>
                <w:color w:val="FFFFFF"/>
                <w:sz w:val="18"/>
                <w:szCs w:val="18"/>
              </w:rPr>
              <w:t xml:space="preserve">Key / FK</w:t>
            </w:r>
          </w:p>
        </w:tc>
        <w:tc>
          <w:tcPr>
            <w:tcBorders>
              <w:top w:val="single" w:color="BFBFBF" w:sz="4"/>
              <w:left w:val="single" w:color="BFBFBF" w:sz="4"/>
              <w:bottom w:val="single" w:color="BFBFBF" w:sz="4"/>
              <w:right w:val="single" w:color="BFBFBF" w:sz="4"/>
            </w:tcBorders>
            <w:shd w:fill="7B4F00" w:color="auto" w:val="clear"/>
            <w:vAlign w:val="center"/>
          </w:tcPr>
          <w:p>
            <w:pPr>
              <w:spacing w:after="36" w:before="36"/>
              <w:jc w:val="left"/>
            </w:pPr>
            <w:r>
              <w:rPr>
                <w:b/>
                <w:bCs/>
                <w:i w:val="false"/>
                <w:iCs w:val="false"/>
                <w:color w:val="FFFFFF"/>
                <w:sz w:val="18"/>
                <w:szCs w:val="18"/>
              </w:rPr>
              <w:t xml:space="preserve">Type</w:t>
            </w:r>
          </w:p>
        </w:tc>
        <w:tc>
          <w:tcPr>
            <w:tcBorders>
              <w:top w:val="single" w:color="BFBFBF" w:sz="4"/>
              <w:left w:val="single" w:color="BFBFBF" w:sz="4"/>
              <w:bottom w:val="single" w:color="BFBFBF" w:sz="4"/>
              <w:right w:val="single" w:color="BFBFBF" w:sz="4"/>
            </w:tcBorders>
            <w:shd w:fill="7B4F00" w:color="auto" w:val="clear"/>
            <w:vAlign w:val="center"/>
          </w:tcPr>
          <w:p>
            <w:pPr>
              <w:spacing w:after="36" w:before="36"/>
              <w:jc w:val="left"/>
            </w:pPr>
            <w:r>
              <w:rPr>
                <w:b/>
                <w:bCs/>
                <w:i w:val="false"/>
                <w:iCs w:val="false"/>
                <w:color w:val="FFFFFF"/>
                <w:sz w:val="18"/>
                <w:szCs w:val="18"/>
              </w:rPr>
              <w:t xml:space="preserve">Notes</w:t>
            </w:r>
          </w:p>
        </w:tc>
      </w:tr>
      <w:tr>
        <w:tc>
          <w:tcPr>
            <w:tcBorders>
              <w:top w:val="single" w:color="BFBFBF" w:sz="4"/>
              <w:left w:val="single" w:color="BFBFBF" w:sz="4"/>
              <w:bottom w:val="single" w:color="BFBFBF" w:sz="4"/>
              <w:right w:val="single" w:color="BFBFBF" w:sz="4"/>
            </w:tcBorders>
            <w:shd w:fill="FFF3CD" w:color="auto" w:val="clear"/>
            <w:vAlign w:val="center"/>
          </w:tcPr>
          <w:p>
            <w:pPr>
              <w:spacing w:after="36" w:before="36"/>
              <w:jc w:val="left"/>
            </w:pPr>
            <w:r>
              <w:rPr>
                <w:b/>
                <w:bCs/>
                <w:i w:val="false"/>
                <w:iCs w:val="false"/>
                <w:color w:val="7B4F00"/>
                <w:sz w:val="17"/>
                <w:szCs w:val="17"/>
              </w:rPr>
              <w:t xml:space="preserve">carry_id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PK</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VARCHAR(30)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Primary key</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fund_id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555555"/>
                <w:sz w:val="16"/>
                <w:szCs w:val="16"/>
              </w:rPr>
              <w:t xml:space="preserve">FK→Fund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VARCHAR(20)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Foreign key → Fund</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period_end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DATE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total_distributions</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DECIMAL(15,2)</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preferred_return_hurdle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DECIMAL(15,2)</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carry_amount_usd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DECIMAL(15,2)</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carry_rate_pct</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DECIMAL(5,2)</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carry_status</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VARCHAR(20)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bl>
    <w:p>
      <w:pPr>
        <w:spacing w:after="0" w:before="80"/>
      </w:pPr>
      <w:r>
        <w:rPr>
          <w:sz w:val="20"/>
          <w:szCs w:val="20"/>
        </w:rPr>
        <w:t xml:space="preserve"/>
      </w:r>
    </w:p>
    <w:p>
      <w:pPr>
        <w:pStyle w:val="Heading3"/>
        <w:spacing w:after="80" w:before="220"/>
      </w:pPr>
      <w:r>
        <w:rPr>
          <w:b/>
          <w:bCs/>
          <w:color w:val="4B0082"/>
          <w:sz w:val="22"/>
          <w:szCs w:val="22"/>
        </w:rPr>
        <w:t xml:space="preserve">Evergreen</w:t>
      </w:r>
    </w:p>
    <w:p>
      <w:pPr>
        <w:spacing w:after="40" w:before="120"/>
      </w:pPr>
      <w:r>
        <w:rPr>
          <w:b/>
          <w:bCs/>
          <w:color w:val="4B0082"/>
          <w:sz w:val="22"/>
          <w:szCs w:val="22"/>
        </w:rPr>
        <w:t xml:space="preserve">EvFund</w:t>
      </w:r>
      <w:r>
        <w:rPr>
          <w:i/>
          <w:iCs/>
          <w:color w:val="888888"/>
          <w:sz w:val="18"/>
          <w:szCs w:val="18"/>
        </w:rPr>
        <w:t xml:space="preserve">  —  01_ev_funds.csv</w:t>
      </w:r>
    </w:p>
    <w:p>
      <w:pPr>
        <w:spacing w:after="60" w:before="60"/>
      </w:pPr>
      <w:r>
        <w:rPr>
          <w:b w:val="false"/>
          <w:bCs w:val="false"/>
          <w:i/>
          <w:iCs/>
          <w:color w:val="444444"/>
          <w:sz w:val="20"/>
          <w:szCs w:val="20"/>
        </w:rPr>
        <w:t xml:space="preserve">Evergreen / semi-liquid fund offering (Interval, NT-REIT, NT-BDC, Tender Offer). Each row = one fund + share class combination with its CUSIP.</w:t>
      </w:r>
    </w:p>
    <w:p>
      <w:pPr>
        <w:spacing w:after="0" w:before="80"/>
      </w:pPr>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Borders>
              <w:top w:val="single" w:color="BFBFBF" w:sz="4"/>
              <w:left w:val="single" w:color="BFBFBF" w:sz="4"/>
              <w:bottom w:val="single" w:color="BFBFBF" w:sz="4"/>
              <w:right w:val="single" w:color="BFBFBF" w:sz="4"/>
            </w:tcBorders>
            <w:shd w:fill="4B0082" w:color="auto" w:val="clear"/>
            <w:vAlign w:val="center"/>
          </w:tcPr>
          <w:p>
            <w:pPr>
              <w:spacing w:after="36" w:before="36"/>
              <w:jc w:val="left"/>
            </w:pPr>
            <w:r>
              <w:rPr>
                <w:b/>
                <w:bCs/>
                <w:i w:val="false"/>
                <w:iCs w:val="false"/>
                <w:color w:val="FFFFFF"/>
                <w:sz w:val="18"/>
                <w:szCs w:val="18"/>
              </w:rPr>
              <w:t xml:space="preserve">Field</w:t>
            </w:r>
          </w:p>
        </w:tc>
        <w:tc>
          <w:tcPr>
            <w:tcBorders>
              <w:top w:val="single" w:color="BFBFBF" w:sz="4"/>
              <w:left w:val="single" w:color="BFBFBF" w:sz="4"/>
              <w:bottom w:val="single" w:color="BFBFBF" w:sz="4"/>
              <w:right w:val="single" w:color="BFBFBF" w:sz="4"/>
            </w:tcBorders>
            <w:shd w:fill="4B0082" w:color="auto" w:val="clear"/>
            <w:vAlign w:val="center"/>
          </w:tcPr>
          <w:p>
            <w:pPr>
              <w:spacing w:after="36" w:before="36"/>
              <w:jc w:val="left"/>
            </w:pPr>
            <w:r>
              <w:rPr>
                <w:b/>
                <w:bCs/>
                <w:i w:val="false"/>
                <w:iCs w:val="false"/>
                <w:color w:val="FFFFFF"/>
                <w:sz w:val="18"/>
                <w:szCs w:val="18"/>
              </w:rPr>
              <w:t xml:space="preserve">Key / FK</w:t>
            </w:r>
          </w:p>
        </w:tc>
        <w:tc>
          <w:tcPr>
            <w:tcBorders>
              <w:top w:val="single" w:color="BFBFBF" w:sz="4"/>
              <w:left w:val="single" w:color="BFBFBF" w:sz="4"/>
              <w:bottom w:val="single" w:color="BFBFBF" w:sz="4"/>
              <w:right w:val="single" w:color="BFBFBF" w:sz="4"/>
            </w:tcBorders>
            <w:shd w:fill="4B0082" w:color="auto" w:val="clear"/>
            <w:vAlign w:val="center"/>
          </w:tcPr>
          <w:p>
            <w:pPr>
              <w:spacing w:after="36" w:before="36"/>
              <w:jc w:val="left"/>
            </w:pPr>
            <w:r>
              <w:rPr>
                <w:b/>
                <w:bCs/>
                <w:i w:val="false"/>
                <w:iCs w:val="false"/>
                <w:color w:val="FFFFFF"/>
                <w:sz w:val="18"/>
                <w:szCs w:val="18"/>
              </w:rPr>
              <w:t xml:space="preserve">Type</w:t>
            </w:r>
          </w:p>
        </w:tc>
        <w:tc>
          <w:tcPr>
            <w:tcBorders>
              <w:top w:val="single" w:color="BFBFBF" w:sz="4"/>
              <w:left w:val="single" w:color="BFBFBF" w:sz="4"/>
              <w:bottom w:val="single" w:color="BFBFBF" w:sz="4"/>
              <w:right w:val="single" w:color="BFBFBF" w:sz="4"/>
            </w:tcBorders>
            <w:shd w:fill="4B0082" w:color="auto" w:val="clear"/>
            <w:vAlign w:val="center"/>
          </w:tcPr>
          <w:p>
            <w:pPr>
              <w:spacing w:after="36" w:before="36"/>
              <w:jc w:val="left"/>
            </w:pPr>
            <w:r>
              <w:rPr>
                <w:b/>
                <w:bCs/>
                <w:i w:val="false"/>
                <w:iCs w:val="false"/>
                <w:color w:val="FFFFFF"/>
                <w:sz w:val="18"/>
                <w:szCs w:val="18"/>
              </w:rPr>
              <w:t xml:space="preserve">Notes</w:t>
            </w:r>
          </w:p>
        </w:tc>
      </w:tr>
      <w:tr>
        <w:tc>
          <w:tcPr>
            <w:tcBorders>
              <w:top w:val="single" w:color="BFBFBF" w:sz="4"/>
              <w:left w:val="single" w:color="BFBFBF" w:sz="4"/>
              <w:bottom w:val="single" w:color="BFBFBF" w:sz="4"/>
              <w:right w:val="single" w:color="BFBFBF" w:sz="4"/>
            </w:tcBorders>
            <w:shd w:fill="EDE7F6" w:color="auto" w:val="clear"/>
            <w:vAlign w:val="center"/>
          </w:tcPr>
          <w:p>
            <w:pPr>
              <w:spacing w:after="36" w:before="36"/>
              <w:jc w:val="left"/>
            </w:pPr>
            <w:r>
              <w:rPr>
                <w:b/>
                <w:bCs/>
                <w:i w:val="false"/>
                <w:iCs w:val="false"/>
                <w:color w:val="4B0082"/>
                <w:sz w:val="17"/>
                <w:szCs w:val="17"/>
              </w:rPr>
              <w:t xml:space="preserve">fund_id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PK</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VARCHAR(10)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Primary key</w:t>
            </w:r>
          </w:p>
        </w:tc>
      </w:tr>
      <w:tr>
        <w:tc>
          <w:tcPr>
            <w:tcBorders>
              <w:top w:val="single" w:color="BFBFBF" w:sz="4"/>
              <w:left w:val="single" w:color="BFBFBF" w:sz="4"/>
              <w:bottom w:val="single" w:color="BFBFBF" w:sz="4"/>
              <w:right w:val="single" w:color="BFBFBF" w:sz="4"/>
            </w:tcBorders>
            <w:shd w:fill="EDE7F6" w:color="auto" w:val="clear"/>
            <w:vAlign w:val="center"/>
          </w:tcPr>
          <w:p>
            <w:pPr>
              <w:spacing w:after="36" w:before="36"/>
              <w:jc w:val="left"/>
            </w:pPr>
            <w:r>
              <w:rPr>
                <w:b/>
                <w:bCs/>
                <w:i w:val="false"/>
                <w:iCs w:val="false"/>
                <w:color w:val="4B0082"/>
                <w:sz w:val="17"/>
                <w:szCs w:val="17"/>
              </w:rPr>
              <w:t xml:space="preserve">share_class</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PK</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CHAR(1)</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Primary key</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cusip</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CHAR(9)</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isin</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CHAR(12)</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fund_type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VARCHAR(20)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product_code</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VARCHAR(10)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tender_pct_limit</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DECIMAL(5,2)</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dist_frequency</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VARCHAR(20)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front_load_pct</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DECIMAL(5,2)</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bl>
    <w:p>
      <w:pPr>
        <w:spacing w:after="0" w:before="80"/>
      </w:pPr>
      <w:r>
        <w:rPr>
          <w:sz w:val="20"/>
          <w:szCs w:val="20"/>
        </w:rPr>
        <w:t xml:space="preserve"/>
      </w:r>
    </w:p>
    <w:p>
      <w:pPr>
        <w:spacing w:after="40" w:before="120"/>
      </w:pPr>
      <w:r>
        <w:rPr>
          <w:b/>
          <w:bCs/>
          <w:color w:val="4B0082"/>
          <w:sz w:val="22"/>
          <w:szCs w:val="22"/>
        </w:rPr>
        <w:t xml:space="preserve">NAVHistory</w:t>
      </w:r>
      <w:r>
        <w:rPr>
          <w:i/>
          <w:iCs/>
          <w:color w:val="888888"/>
          <w:sz w:val="18"/>
          <w:szCs w:val="18"/>
        </w:rPr>
        <w:t xml:space="preserve">  —  02_ev_nav_history.csv</w:t>
      </w:r>
    </w:p>
    <w:p>
      <w:pPr>
        <w:spacing w:after="60" w:before="60"/>
      </w:pPr>
      <w:r>
        <w:rPr>
          <w:b w:val="false"/>
          <w:bCs w:val="false"/>
          <w:i/>
          <w:iCs/>
          <w:color w:val="444444"/>
          <w:sz w:val="20"/>
          <w:szCs w:val="20"/>
        </w:rPr>
        <w:t xml:space="preserve">Daily NAV per fund and share class. Composite PK. Used to price every evergreen transaction: shares = gross_amount ÷ nav_per_share.</w:t>
      </w:r>
    </w:p>
    <w:p>
      <w:pPr>
        <w:spacing w:after="0" w:before="80"/>
      </w:pPr>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Borders>
              <w:top w:val="single" w:color="BFBFBF" w:sz="4"/>
              <w:left w:val="single" w:color="BFBFBF" w:sz="4"/>
              <w:bottom w:val="single" w:color="BFBFBF" w:sz="4"/>
              <w:right w:val="single" w:color="BFBFBF" w:sz="4"/>
            </w:tcBorders>
            <w:shd w:fill="4B0082" w:color="auto" w:val="clear"/>
            <w:vAlign w:val="center"/>
          </w:tcPr>
          <w:p>
            <w:pPr>
              <w:spacing w:after="36" w:before="36"/>
              <w:jc w:val="left"/>
            </w:pPr>
            <w:r>
              <w:rPr>
                <w:b/>
                <w:bCs/>
                <w:i w:val="false"/>
                <w:iCs w:val="false"/>
                <w:color w:val="FFFFFF"/>
                <w:sz w:val="18"/>
                <w:szCs w:val="18"/>
              </w:rPr>
              <w:t xml:space="preserve">Field</w:t>
            </w:r>
          </w:p>
        </w:tc>
        <w:tc>
          <w:tcPr>
            <w:tcBorders>
              <w:top w:val="single" w:color="BFBFBF" w:sz="4"/>
              <w:left w:val="single" w:color="BFBFBF" w:sz="4"/>
              <w:bottom w:val="single" w:color="BFBFBF" w:sz="4"/>
              <w:right w:val="single" w:color="BFBFBF" w:sz="4"/>
            </w:tcBorders>
            <w:shd w:fill="4B0082" w:color="auto" w:val="clear"/>
            <w:vAlign w:val="center"/>
          </w:tcPr>
          <w:p>
            <w:pPr>
              <w:spacing w:after="36" w:before="36"/>
              <w:jc w:val="left"/>
            </w:pPr>
            <w:r>
              <w:rPr>
                <w:b/>
                <w:bCs/>
                <w:i w:val="false"/>
                <w:iCs w:val="false"/>
                <w:color w:val="FFFFFF"/>
                <w:sz w:val="18"/>
                <w:szCs w:val="18"/>
              </w:rPr>
              <w:t xml:space="preserve">Key / FK</w:t>
            </w:r>
          </w:p>
        </w:tc>
        <w:tc>
          <w:tcPr>
            <w:tcBorders>
              <w:top w:val="single" w:color="BFBFBF" w:sz="4"/>
              <w:left w:val="single" w:color="BFBFBF" w:sz="4"/>
              <w:bottom w:val="single" w:color="BFBFBF" w:sz="4"/>
              <w:right w:val="single" w:color="BFBFBF" w:sz="4"/>
            </w:tcBorders>
            <w:shd w:fill="4B0082" w:color="auto" w:val="clear"/>
            <w:vAlign w:val="center"/>
          </w:tcPr>
          <w:p>
            <w:pPr>
              <w:spacing w:after="36" w:before="36"/>
              <w:jc w:val="left"/>
            </w:pPr>
            <w:r>
              <w:rPr>
                <w:b/>
                <w:bCs/>
                <w:i w:val="false"/>
                <w:iCs w:val="false"/>
                <w:color w:val="FFFFFF"/>
                <w:sz w:val="18"/>
                <w:szCs w:val="18"/>
              </w:rPr>
              <w:t xml:space="preserve">Type</w:t>
            </w:r>
          </w:p>
        </w:tc>
        <w:tc>
          <w:tcPr>
            <w:tcBorders>
              <w:top w:val="single" w:color="BFBFBF" w:sz="4"/>
              <w:left w:val="single" w:color="BFBFBF" w:sz="4"/>
              <w:bottom w:val="single" w:color="BFBFBF" w:sz="4"/>
              <w:right w:val="single" w:color="BFBFBF" w:sz="4"/>
            </w:tcBorders>
            <w:shd w:fill="4B0082" w:color="auto" w:val="clear"/>
            <w:vAlign w:val="center"/>
          </w:tcPr>
          <w:p>
            <w:pPr>
              <w:spacing w:after="36" w:before="36"/>
              <w:jc w:val="left"/>
            </w:pPr>
            <w:r>
              <w:rPr>
                <w:b/>
                <w:bCs/>
                <w:i w:val="false"/>
                <w:iCs w:val="false"/>
                <w:color w:val="FFFFFF"/>
                <w:sz w:val="18"/>
                <w:szCs w:val="18"/>
              </w:rPr>
              <w:t xml:space="preserve">Notes</w:t>
            </w:r>
          </w:p>
        </w:tc>
      </w:tr>
      <w:tr>
        <w:tc>
          <w:tcPr>
            <w:tcBorders>
              <w:top w:val="single" w:color="BFBFBF" w:sz="4"/>
              <w:left w:val="single" w:color="BFBFBF" w:sz="4"/>
              <w:bottom w:val="single" w:color="BFBFBF" w:sz="4"/>
              <w:right w:val="single" w:color="BFBFBF" w:sz="4"/>
            </w:tcBorders>
            <w:shd w:fill="EDE7F6" w:color="auto" w:val="clear"/>
            <w:vAlign w:val="center"/>
          </w:tcPr>
          <w:p>
            <w:pPr>
              <w:spacing w:after="36" w:before="36"/>
              <w:jc w:val="left"/>
            </w:pPr>
            <w:r>
              <w:rPr>
                <w:b/>
                <w:bCs/>
                <w:i w:val="false"/>
                <w:iCs w:val="false"/>
                <w:color w:val="4B0082"/>
                <w:sz w:val="17"/>
                <w:szCs w:val="17"/>
              </w:rPr>
              <w:t xml:space="preserve">nav_date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PK</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DATE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Primary key</w:t>
            </w:r>
          </w:p>
        </w:tc>
      </w:tr>
      <w:tr>
        <w:tc>
          <w:tcPr>
            <w:tcBorders>
              <w:top w:val="single" w:color="BFBFBF" w:sz="4"/>
              <w:left w:val="single" w:color="BFBFBF" w:sz="4"/>
              <w:bottom w:val="single" w:color="BFBFBF" w:sz="4"/>
              <w:right w:val="single" w:color="BFBFBF" w:sz="4"/>
            </w:tcBorders>
            <w:shd w:fill="EDE7F6" w:color="auto" w:val="clear"/>
            <w:vAlign w:val="center"/>
          </w:tcPr>
          <w:p>
            <w:pPr>
              <w:spacing w:after="36" w:before="36"/>
              <w:jc w:val="left"/>
            </w:pPr>
            <w:r>
              <w:rPr>
                <w:b/>
                <w:bCs/>
                <w:i w:val="false"/>
                <w:iCs w:val="false"/>
                <w:color w:val="4B0082"/>
                <w:sz w:val="17"/>
                <w:szCs w:val="17"/>
              </w:rPr>
              <w:t xml:space="preserve">fund_id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555555"/>
                <w:sz w:val="16"/>
                <w:szCs w:val="16"/>
              </w:rPr>
              <w:t xml:space="preserve">PK+FK→EvFund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VARCHAR(10)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Primary key</w:t>
            </w:r>
          </w:p>
        </w:tc>
      </w:tr>
      <w:tr>
        <w:tc>
          <w:tcPr>
            <w:tcBorders>
              <w:top w:val="single" w:color="BFBFBF" w:sz="4"/>
              <w:left w:val="single" w:color="BFBFBF" w:sz="4"/>
              <w:bottom w:val="single" w:color="BFBFBF" w:sz="4"/>
              <w:right w:val="single" w:color="BFBFBF" w:sz="4"/>
            </w:tcBorders>
            <w:shd w:fill="EDE7F6" w:color="auto" w:val="clear"/>
            <w:vAlign w:val="center"/>
          </w:tcPr>
          <w:p>
            <w:pPr>
              <w:spacing w:after="36" w:before="36"/>
              <w:jc w:val="left"/>
            </w:pPr>
            <w:r>
              <w:rPr>
                <w:b/>
                <w:bCs/>
                <w:i w:val="false"/>
                <w:iCs w:val="false"/>
                <w:color w:val="4B0082"/>
                <w:sz w:val="17"/>
                <w:szCs w:val="17"/>
              </w:rPr>
              <w:t xml:space="preserve">share_class</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555555"/>
                <w:sz w:val="16"/>
                <w:szCs w:val="16"/>
              </w:rPr>
              <w:t xml:space="preserve">PK+FK→EvFund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CHAR(1)</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Primary key</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nav_per_share</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DECIMAL(10,4)</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dist_rate_per_share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DECIMAL(10,6)</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bl>
    <w:p>
      <w:pPr>
        <w:spacing w:after="0" w:before="80"/>
      </w:pPr>
      <w:r>
        <w:rPr>
          <w:sz w:val="20"/>
          <w:szCs w:val="20"/>
        </w:rPr>
        <w:t xml:space="preserve"/>
      </w:r>
    </w:p>
    <w:p>
      <w:pPr>
        <w:spacing w:after="40" w:before="120"/>
      </w:pPr>
      <w:r>
        <w:rPr>
          <w:b/>
          <w:bCs/>
          <w:color w:val="4B0082"/>
          <w:sz w:val="22"/>
          <w:szCs w:val="22"/>
        </w:rPr>
        <w:t xml:space="preserve">EvAccount</w:t>
      </w:r>
      <w:r>
        <w:rPr>
          <w:i/>
          <w:iCs/>
          <w:color w:val="888888"/>
          <w:sz w:val="18"/>
          <w:szCs w:val="18"/>
        </w:rPr>
        <w:t xml:space="preserve">  —  03_ev_accounts.csv</w:t>
      </w:r>
    </w:p>
    <w:p>
      <w:pPr>
        <w:spacing w:after="60" w:before="60"/>
      </w:pPr>
      <w:r>
        <w:rPr>
          <w:b w:val="false"/>
          <w:bCs w:val="false"/>
          <w:i/>
          <w:iCs/>
          <w:color w:val="444444"/>
          <w:sz w:val="20"/>
          <w:szCs w:val="20"/>
        </w:rPr>
        <w:t xml:space="preserve">Retail or HNW investor account. Carries DRIP election, platform assignment, and preferred fund. Maps to a broker and fund.</w:t>
      </w:r>
    </w:p>
    <w:p>
      <w:pPr>
        <w:spacing w:after="0" w:before="80"/>
      </w:pPr>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Borders>
              <w:top w:val="single" w:color="BFBFBF" w:sz="4"/>
              <w:left w:val="single" w:color="BFBFBF" w:sz="4"/>
              <w:bottom w:val="single" w:color="BFBFBF" w:sz="4"/>
              <w:right w:val="single" w:color="BFBFBF" w:sz="4"/>
            </w:tcBorders>
            <w:shd w:fill="4B0082" w:color="auto" w:val="clear"/>
            <w:vAlign w:val="center"/>
          </w:tcPr>
          <w:p>
            <w:pPr>
              <w:spacing w:after="36" w:before="36"/>
              <w:jc w:val="left"/>
            </w:pPr>
            <w:r>
              <w:rPr>
                <w:b/>
                <w:bCs/>
                <w:i w:val="false"/>
                <w:iCs w:val="false"/>
                <w:color w:val="FFFFFF"/>
                <w:sz w:val="18"/>
                <w:szCs w:val="18"/>
              </w:rPr>
              <w:t xml:space="preserve">Field</w:t>
            </w:r>
          </w:p>
        </w:tc>
        <w:tc>
          <w:tcPr>
            <w:tcBorders>
              <w:top w:val="single" w:color="BFBFBF" w:sz="4"/>
              <w:left w:val="single" w:color="BFBFBF" w:sz="4"/>
              <w:bottom w:val="single" w:color="BFBFBF" w:sz="4"/>
              <w:right w:val="single" w:color="BFBFBF" w:sz="4"/>
            </w:tcBorders>
            <w:shd w:fill="4B0082" w:color="auto" w:val="clear"/>
            <w:vAlign w:val="center"/>
          </w:tcPr>
          <w:p>
            <w:pPr>
              <w:spacing w:after="36" w:before="36"/>
              <w:jc w:val="left"/>
            </w:pPr>
            <w:r>
              <w:rPr>
                <w:b/>
                <w:bCs/>
                <w:i w:val="false"/>
                <w:iCs w:val="false"/>
                <w:color w:val="FFFFFF"/>
                <w:sz w:val="18"/>
                <w:szCs w:val="18"/>
              </w:rPr>
              <w:t xml:space="preserve">Key / FK</w:t>
            </w:r>
          </w:p>
        </w:tc>
        <w:tc>
          <w:tcPr>
            <w:tcBorders>
              <w:top w:val="single" w:color="BFBFBF" w:sz="4"/>
              <w:left w:val="single" w:color="BFBFBF" w:sz="4"/>
              <w:bottom w:val="single" w:color="BFBFBF" w:sz="4"/>
              <w:right w:val="single" w:color="BFBFBF" w:sz="4"/>
            </w:tcBorders>
            <w:shd w:fill="4B0082" w:color="auto" w:val="clear"/>
            <w:vAlign w:val="center"/>
          </w:tcPr>
          <w:p>
            <w:pPr>
              <w:spacing w:after="36" w:before="36"/>
              <w:jc w:val="left"/>
            </w:pPr>
            <w:r>
              <w:rPr>
                <w:b/>
                <w:bCs/>
                <w:i w:val="false"/>
                <w:iCs w:val="false"/>
                <w:color w:val="FFFFFF"/>
                <w:sz w:val="18"/>
                <w:szCs w:val="18"/>
              </w:rPr>
              <w:t xml:space="preserve">Type</w:t>
            </w:r>
          </w:p>
        </w:tc>
        <w:tc>
          <w:tcPr>
            <w:tcBorders>
              <w:top w:val="single" w:color="BFBFBF" w:sz="4"/>
              <w:left w:val="single" w:color="BFBFBF" w:sz="4"/>
              <w:bottom w:val="single" w:color="BFBFBF" w:sz="4"/>
              <w:right w:val="single" w:color="BFBFBF" w:sz="4"/>
            </w:tcBorders>
            <w:shd w:fill="4B0082" w:color="auto" w:val="clear"/>
            <w:vAlign w:val="center"/>
          </w:tcPr>
          <w:p>
            <w:pPr>
              <w:spacing w:after="36" w:before="36"/>
              <w:jc w:val="left"/>
            </w:pPr>
            <w:r>
              <w:rPr>
                <w:b/>
                <w:bCs/>
                <w:i w:val="false"/>
                <w:iCs w:val="false"/>
                <w:color w:val="FFFFFF"/>
                <w:sz w:val="18"/>
                <w:szCs w:val="18"/>
              </w:rPr>
              <w:t xml:space="preserve">Notes</w:t>
            </w:r>
          </w:p>
        </w:tc>
      </w:tr>
      <w:tr>
        <w:tc>
          <w:tcPr>
            <w:tcBorders>
              <w:top w:val="single" w:color="BFBFBF" w:sz="4"/>
              <w:left w:val="single" w:color="BFBFBF" w:sz="4"/>
              <w:bottom w:val="single" w:color="BFBFBF" w:sz="4"/>
              <w:right w:val="single" w:color="BFBFBF" w:sz="4"/>
            </w:tcBorders>
            <w:shd w:fill="EDE7F6" w:color="auto" w:val="clear"/>
            <w:vAlign w:val="center"/>
          </w:tcPr>
          <w:p>
            <w:pPr>
              <w:spacing w:after="36" w:before="36"/>
              <w:jc w:val="left"/>
            </w:pPr>
            <w:r>
              <w:rPr>
                <w:b/>
                <w:bCs/>
                <w:i w:val="false"/>
                <w:iCs w:val="false"/>
                <w:color w:val="4B0082"/>
                <w:sz w:val="17"/>
                <w:szCs w:val="17"/>
              </w:rPr>
              <w:t xml:space="preserve">account_id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PK</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VARCHAR(10)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Primary key</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broker_id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555555"/>
                <w:sz w:val="16"/>
                <w:szCs w:val="16"/>
              </w:rPr>
              <w:t xml:space="preserve">FK→Broker</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VARCHAR(10)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Foreign key → Broker</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account_type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VARCHAR(20)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social_code</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CHAR(3)</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drip_election</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CHAR(1)</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preferred_fund_id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555555"/>
                <w:sz w:val="16"/>
                <w:szCs w:val="16"/>
              </w:rPr>
              <w:t xml:space="preserve">FK→EvFund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VARCHAR(10)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Foreign key → EvFund</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preferred_share_class</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CHAR(1)</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bl>
    <w:p>
      <w:pPr>
        <w:spacing w:after="0" w:before="80"/>
      </w:pPr>
      <w:r>
        <w:rPr>
          <w:sz w:val="20"/>
          <w:szCs w:val="20"/>
        </w:rPr>
        <w:t xml:space="preserve"/>
      </w:r>
    </w:p>
    <w:p>
      <w:pPr>
        <w:spacing w:after="40" w:before="120"/>
      </w:pPr>
      <w:r>
        <w:rPr>
          <w:b/>
          <w:bCs/>
          <w:color w:val="4B0082"/>
          <w:sz w:val="22"/>
          <w:szCs w:val="22"/>
        </w:rPr>
        <w:t xml:space="preserve">EvTransaction</w:t>
      </w:r>
      <w:r>
        <w:rPr>
          <w:i/>
          <w:iCs/>
          <w:color w:val="888888"/>
          <w:sz w:val="18"/>
          <w:szCs w:val="18"/>
        </w:rPr>
        <w:t xml:space="preserve">  —  05_ev_transactions.csv</w:t>
      </w:r>
    </w:p>
    <w:p>
      <w:pPr>
        <w:spacing w:after="60" w:before="60"/>
      </w:pPr>
      <w:r>
        <w:rPr>
          <w:b w:val="false"/>
          <w:bCs w:val="false"/>
          <w:i/>
          <w:iCs/>
          <w:color w:val="444444"/>
          <w:sz w:val="20"/>
          <w:szCs w:val="20"/>
        </w:rPr>
        <w:t xml:space="preserve">Single trade record for an evergreen fund. 10,000 rows across 10 business days. Covers all 12 transaction types including DRIP, tender redemption, and share class upgrade.</w:t>
      </w:r>
    </w:p>
    <w:p>
      <w:pPr>
        <w:spacing w:after="0" w:before="80"/>
      </w:pPr>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Borders>
              <w:top w:val="single" w:color="BFBFBF" w:sz="4"/>
              <w:left w:val="single" w:color="BFBFBF" w:sz="4"/>
              <w:bottom w:val="single" w:color="BFBFBF" w:sz="4"/>
              <w:right w:val="single" w:color="BFBFBF" w:sz="4"/>
            </w:tcBorders>
            <w:shd w:fill="4B0082" w:color="auto" w:val="clear"/>
            <w:vAlign w:val="center"/>
          </w:tcPr>
          <w:p>
            <w:pPr>
              <w:spacing w:after="36" w:before="36"/>
              <w:jc w:val="left"/>
            </w:pPr>
            <w:r>
              <w:rPr>
                <w:b/>
                <w:bCs/>
                <w:i w:val="false"/>
                <w:iCs w:val="false"/>
                <w:color w:val="FFFFFF"/>
                <w:sz w:val="18"/>
                <w:szCs w:val="18"/>
              </w:rPr>
              <w:t xml:space="preserve">Field</w:t>
            </w:r>
          </w:p>
        </w:tc>
        <w:tc>
          <w:tcPr>
            <w:tcBorders>
              <w:top w:val="single" w:color="BFBFBF" w:sz="4"/>
              <w:left w:val="single" w:color="BFBFBF" w:sz="4"/>
              <w:bottom w:val="single" w:color="BFBFBF" w:sz="4"/>
              <w:right w:val="single" w:color="BFBFBF" w:sz="4"/>
            </w:tcBorders>
            <w:shd w:fill="4B0082" w:color="auto" w:val="clear"/>
            <w:vAlign w:val="center"/>
          </w:tcPr>
          <w:p>
            <w:pPr>
              <w:spacing w:after="36" w:before="36"/>
              <w:jc w:val="left"/>
            </w:pPr>
            <w:r>
              <w:rPr>
                <w:b/>
                <w:bCs/>
                <w:i w:val="false"/>
                <w:iCs w:val="false"/>
                <w:color w:val="FFFFFF"/>
                <w:sz w:val="18"/>
                <w:szCs w:val="18"/>
              </w:rPr>
              <w:t xml:space="preserve">Key / FK</w:t>
            </w:r>
          </w:p>
        </w:tc>
        <w:tc>
          <w:tcPr>
            <w:tcBorders>
              <w:top w:val="single" w:color="BFBFBF" w:sz="4"/>
              <w:left w:val="single" w:color="BFBFBF" w:sz="4"/>
              <w:bottom w:val="single" w:color="BFBFBF" w:sz="4"/>
              <w:right w:val="single" w:color="BFBFBF" w:sz="4"/>
            </w:tcBorders>
            <w:shd w:fill="4B0082" w:color="auto" w:val="clear"/>
            <w:vAlign w:val="center"/>
          </w:tcPr>
          <w:p>
            <w:pPr>
              <w:spacing w:after="36" w:before="36"/>
              <w:jc w:val="left"/>
            </w:pPr>
            <w:r>
              <w:rPr>
                <w:b/>
                <w:bCs/>
                <w:i w:val="false"/>
                <w:iCs w:val="false"/>
                <w:color w:val="FFFFFF"/>
                <w:sz w:val="18"/>
                <w:szCs w:val="18"/>
              </w:rPr>
              <w:t xml:space="preserve">Type</w:t>
            </w:r>
          </w:p>
        </w:tc>
        <w:tc>
          <w:tcPr>
            <w:tcBorders>
              <w:top w:val="single" w:color="BFBFBF" w:sz="4"/>
              <w:left w:val="single" w:color="BFBFBF" w:sz="4"/>
              <w:bottom w:val="single" w:color="BFBFBF" w:sz="4"/>
              <w:right w:val="single" w:color="BFBFBF" w:sz="4"/>
            </w:tcBorders>
            <w:shd w:fill="4B0082" w:color="auto" w:val="clear"/>
            <w:vAlign w:val="center"/>
          </w:tcPr>
          <w:p>
            <w:pPr>
              <w:spacing w:after="36" w:before="36"/>
              <w:jc w:val="left"/>
            </w:pPr>
            <w:r>
              <w:rPr>
                <w:b/>
                <w:bCs/>
                <w:i w:val="false"/>
                <w:iCs w:val="false"/>
                <w:color w:val="FFFFFF"/>
                <w:sz w:val="18"/>
                <w:szCs w:val="18"/>
              </w:rPr>
              <w:t xml:space="preserve">Notes</w:t>
            </w:r>
          </w:p>
        </w:tc>
      </w:tr>
      <w:tr>
        <w:tc>
          <w:tcPr>
            <w:tcBorders>
              <w:top w:val="single" w:color="BFBFBF" w:sz="4"/>
              <w:left w:val="single" w:color="BFBFBF" w:sz="4"/>
              <w:bottom w:val="single" w:color="BFBFBF" w:sz="4"/>
              <w:right w:val="single" w:color="BFBFBF" w:sz="4"/>
            </w:tcBorders>
            <w:shd w:fill="EDE7F6" w:color="auto" w:val="clear"/>
            <w:vAlign w:val="center"/>
          </w:tcPr>
          <w:p>
            <w:pPr>
              <w:spacing w:after="36" w:before="36"/>
              <w:jc w:val="left"/>
            </w:pPr>
            <w:r>
              <w:rPr>
                <w:b/>
                <w:bCs/>
                <w:i w:val="false"/>
                <w:iCs w:val="false"/>
                <w:color w:val="4B0082"/>
                <w:sz w:val="17"/>
                <w:szCs w:val="17"/>
              </w:rPr>
              <w:t xml:space="preserve">transaction_id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PK</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VARCHAR(20)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Primary key</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account_id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555555"/>
                <w:sz w:val="16"/>
                <w:szCs w:val="16"/>
              </w:rPr>
              <w:t xml:space="preserve">FK→EvAccount</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VARCHAR(10)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Foreign key → EvAccount</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fund_id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555555"/>
                <w:sz w:val="16"/>
                <w:szCs w:val="16"/>
              </w:rPr>
              <w:t xml:space="preserve">FK→EvFund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VARCHAR(10)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Foreign key → EvFund</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nav_date</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555555"/>
                <w:sz w:val="16"/>
                <w:szCs w:val="16"/>
              </w:rPr>
              <w:t xml:space="preserve">FK→NAVHistory</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DATE</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Foreign key → NAVHistory</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tran_type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VARCHAR(20)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tran_code</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CHAR(3)</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gross_amount</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DECIMAL(15,2)</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net_amount</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DECIMAL(15,2)</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total_shares</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DECIMAL(15,4)</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nav_per_share</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DECIMAL(10,4)</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dealer_comm_amount</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DECIMAL(10,2)</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tender_window_flag</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CHAR(1)</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nscc_control_nbr</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VARCHAR(12)</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bl>
    <w:p>
      <w:pPr>
        <w:spacing w:after="0" w:before="80"/>
      </w:pPr>
      <w:r>
        <w:rPr>
          <w:sz w:val="20"/>
          <w:szCs w:val="20"/>
        </w:rPr>
        <w:t xml:space="preserve"/>
      </w:r>
    </w:p>
    <w:p>
      <w:pPr>
        <w:pStyle w:val="Heading3"/>
        <w:spacing w:after="80" w:before="220"/>
      </w:pPr>
      <w:r>
        <w:rPr>
          <w:b/>
          <w:bCs/>
          <w:color w:val="444444"/>
          <w:sz w:val="22"/>
          <w:szCs w:val="22"/>
        </w:rPr>
        <w:t xml:space="preserve">Shared Reference</w:t>
      </w:r>
    </w:p>
    <w:p>
      <w:pPr>
        <w:spacing w:after="40" w:before="120"/>
      </w:pPr>
      <w:r>
        <w:rPr>
          <w:b/>
          <w:bCs/>
          <w:color w:val="444444"/>
          <w:sz w:val="22"/>
          <w:szCs w:val="22"/>
        </w:rPr>
        <w:t xml:space="preserve">Investor</w:t>
      </w:r>
      <w:r>
        <w:rPr>
          <w:i/>
          <w:iCs/>
          <w:color w:val="888888"/>
          <w:sz w:val="18"/>
          <w:szCs w:val="18"/>
        </w:rPr>
        <w:t xml:space="preserve">  —  05_investors.csv</w:t>
      </w:r>
    </w:p>
    <w:p>
      <w:pPr>
        <w:spacing w:after="60" w:before="60"/>
      </w:pPr>
      <w:r>
        <w:rPr>
          <w:b w:val="false"/>
          <w:bCs w:val="false"/>
          <w:i/>
          <w:iCs/>
          <w:color w:val="444444"/>
          <w:sz w:val="20"/>
          <w:szCs w:val="20"/>
        </w:rPr>
        <w:t xml:space="preserve">LP investor entity — institution, pension, endowment, or platform (iCapital/CAIS). Linked to commitments in the PE model and accounts in the evergreen model.</w:t>
      </w:r>
    </w:p>
    <w:p>
      <w:pPr>
        <w:spacing w:after="0" w:before="80"/>
      </w:pPr>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Borders>
              <w:top w:val="single" w:color="BFBFBF" w:sz="4"/>
              <w:left w:val="single" w:color="BFBFBF" w:sz="4"/>
              <w:bottom w:val="single" w:color="BFBFBF" w:sz="4"/>
              <w:right w:val="single" w:color="BFBFBF" w:sz="4"/>
            </w:tcBorders>
            <w:shd w:fill="444444" w:color="auto" w:val="clear"/>
            <w:vAlign w:val="center"/>
          </w:tcPr>
          <w:p>
            <w:pPr>
              <w:spacing w:after="36" w:before="36"/>
              <w:jc w:val="left"/>
            </w:pPr>
            <w:r>
              <w:rPr>
                <w:b/>
                <w:bCs/>
                <w:i w:val="false"/>
                <w:iCs w:val="false"/>
                <w:color w:val="FFFFFF"/>
                <w:sz w:val="18"/>
                <w:szCs w:val="18"/>
              </w:rPr>
              <w:t xml:space="preserve">Field</w:t>
            </w:r>
          </w:p>
        </w:tc>
        <w:tc>
          <w:tcPr>
            <w:tcBorders>
              <w:top w:val="single" w:color="BFBFBF" w:sz="4"/>
              <w:left w:val="single" w:color="BFBFBF" w:sz="4"/>
              <w:bottom w:val="single" w:color="BFBFBF" w:sz="4"/>
              <w:right w:val="single" w:color="BFBFBF" w:sz="4"/>
            </w:tcBorders>
            <w:shd w:fill="444444" w:color="auto" w:val="clear"/>
            <w:vAlign w:val="center"/>
          </w:tcPr>
          <w:p>
            <w:pPr>
              <w:spacing w:after="36" w:before="36"/>
              <w:jc w:val="left"/>
            </w:pPr>
            <w:r>
              <w:rPr>
                <w:b/>
                <w:bCs/>
                <w:i w:val="false"/>
                <w:iCs w:val="false"/>
                <w:color w:val="FFFFFF"/>
                <w:sz w:val="18"/>
                <w:szCs w:val="18"/>
              </w:rPr>
              <w:t xml:space="preserve">Key / FK</w:t>
            </w:r>
          </w:p>
        </w:tc>
        <w:tc>
          <w:tcPr>
            <w:tcBorders>
              <w:top w:val="single" w:color="BFBFBF" w:sz="4"/>
              <w:left w:val="single" w:color="BFBFBF" w:sz="4"/>
              <w:bottom w:val="single" w:color="BFBFBF" w:sz="4"/>
              <w:right w:val="single" w:color="BFBFBF" w:sz="4"/>
            </w:tcBorders>
            <w:shd w:fill="444444" w:color="auto" w:val="clear"/>
            <w:vAlign w:val="center"/>
          </w:tcPr>
          <w:p>
            <w:pPr>
              <w:spacing w:after="36" w:before="36"/>
              <w:jc w:val="left"/>
            </w:pPr>
            <w:r>
              <w:rPr>
                <w:b/>
                <w:bCs/>
                <w:i w:val="false"/>
                <w:iCs w:val="false"/>
                <w:color w:val="FFFFFF"/>
                <w:sz w:val="18"/>
                <w:szCs w:val="18"/>
              </w:rPr>
              <w:t xml:space="preserve">Type</w:t>
            </w:r>
          </w:p>
        </w:tc>
        <w:tc>
          <w:tcPr>
            <w:tcBorders>
              <w:top w:val="single" w:color="BFBFBF" w:sz="4"/>
              <w:left w:val="single" w:color="BFBFBF" w:sz="4"/>
              <w:bottom w:val="single" w:color="BFBFBF" w:sz="4"/>
              <w:right w:val="single" w:color="BFBFBF" w:sz="4"/>
            </w:tcBorders>
            <w:shd w:fill="444444" w:color="auto" w:val="clear"/>
            <w:vAlign w:val="center"/>
          </w:tcPr>
          <w:p>
            <w:pPr>
              <w:spacing w:after="36" w:before="36"/>
              <w:jc w:val="left"/>
            </w:pPr>
            <w:r>
              <w:rPr>
                <w:b/>
                <w:bCs/>
                <w:i w:val="false"/>
                <w:iCs w:val="false"/>
                <w:color w:val="FFFFFF"/>
                <w:sz w:val="18"/>
                <w:szCs w:val="18"/>
              </w:rPr>
              <w:t xml:space="preserve">Notes</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bCs/>
                <w:i w:val="false"/>
                <w:iCs w:val="false"/>
                <w:color w:val="444444"/>
                <w:sz w:val="17"/>
                <w:szCs w:val="17"/>
              </w:rPr>
              <w:t xml:space="preserve">investor_id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PK</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VARCHAR(20)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Primary key</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investor_name</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VARCHAR(100)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investor_type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VARCHAR(30)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platform_code</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VARCHAR(10)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kyc_status</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VARCHAR(20)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qualified_purchaser</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CHAR(1)</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bl>
    <w:p>
      <w:pPr>
        <w:spacing w:after="0" w:before="80"/>
      </w:pPr>
      <w:r>
        <w:rPr>
          <w:sz w:val="20"/>
          <w:szCs w:val="20"/>
        </w:rPr>
        <w:t xml:space="preserve"/>
      </w:r>
    </w:p>
    <w:p>
      <w:pPr>
        <w:spacing w:after="40" w:before="120"/>
      </w:pPr>
      <w:r>
        <w:rPr>
          <w:b/>
          <w:bCs/>
          <w:color w:val="444444"/>
          <w:sz w:val="22"/>
          <w:szCs w:val="22"/>
        </w:rPr>
        <w:t xml:space="preserve">Broker</w:t>
      </w:r>
      <w:r>
        <w:rPr>
          <w:i/>
          <w:iCs/>
          <w:color w:val="888888"/>
          <w:sz w:val="18"/>
          <w:szCs w:val="18"/>
        </w:rPr>
        <w:t xml:space="preserve">  —  04_ev_brokers.csv</w:t>
      </w:r>
    </w:p>
    <w:p>
      <w:pPr>
        <w:spacing w:after="60" w:before="60"/>
      </w:pPr>
      <w:r>
        <w:rPr>
          <w:b w:val="false"/>
          <w:bCs w:val="false"/>
          <w:i/>
          <w:iCs/>
          <w:color w:val="444444"/>
          <w:sz w:val="20"/>
          <w:szCs w:val="20"/>
        </w:rPr>
        <w:t xml:space="preserve">Broker-dealer or distribution platform. Settlement method = NSCC (wirehouses) or DIRECT (iCapital, CAIS).</w:t>
      </w:r>
    </w:p>
    <w:p>
      <w:pPr>
        <w:spacing w:after="0" w:before="80"/>
      </w:pPr>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Borders>
              <w:top w:val="single" w:color="BFBFBF" w:sz="4"/>
              <w:left w:val="single" w:color="BFBFBF" w:sz="4"/>
              <w:bottom w:val="single" w:color="BFBFBF" w:sz="4"/>
              <w:right w:val="single" w:color="BFBFBF" w:sz="4"/>
            </w:tcBorders>
            <w:shd w:fill="444444" w:color="auto" w:val="clear"/>
            <w:vAlign w:val="center"/>
          </w:tcPr>
          <w:p>
            <w:pPr>
              <w:spacing w:after="36" w:before="36"/>
              <w:jc w:val="left"/>
            </w:pPr>
            <w:r>
              <w:rPr>
                <w:b/>
                <w:bCs/>
                <w:i w:val="false"/>
                <w:iCs w:val="false"/>
                <w:color w:val="FFFFFF"/>
                <w:sz w:val="18"/>
                <w:szCs w:val="18"/>
              </w:rPr>
              <w:t xml:space="preserve">Field</w:t>
            </w:r>
          </w:p>
        </w:tc>
        <w:tc>
          <w:tcPr>
            <w:tcBorders>
              <w:top w:val="single" w:color="BFBFBF" w:sz="4"/>
              <w:left w:val="single" w:color="BFBFBF" w:sz="4"/>
              <w:bottom w:val="single" w:color="BFBFBF" w:sz="4"/>
              <w:right w:val="single" w:color="BFBFBF" w:sz="4"/>
            </w:tcBorders>
            <w:shd w:fill="444444" w:color="auto" w:val="clear"/>
            <w:vAlign w:val="center"/>
          </w:tcPr>
          <w:p>
            <w:pPr>
              <w:spacing w:after="36" w:before="36"/>
              <w:jc w:val="left"/>
            </w:pPr>
            <w:r>
              <w:rPr>
                <w:b/>
                <w:bCs/>
                <w:i w:val="false"/>
                <w:iCs w:val="false"/>
                <w:color w:val="FFFFFF"/>
                <w:sz w:val="18"/>
                <w:szCs w:val="18"/>
              </w:rPr>
              <w:t xml:space="preserve">Key / FK</w:t>
            </w:r>
          </w:p>
        </w:tc>
        <w:tc>
          <w:tcPr>
            <w:tcBorders>
              <w:top w:val="single" w:color="BFBFBF" w:sz="4"/>
              <w:left w:val="single" w:color="BFBFBF" w:sz="4"/>
              <w:bottom w:val="single" w:color="BFBFBF" w:sz="4"/>
              <w:right w:val="single" w:color="BFBFBF" w:sz="4"/>
            </w:tcBorders>
            <w:shd w:fill="444444" w:color="auto" w:val="clear"/>
            <w:vAlign w:val="center"/>
          </w:tcPr>
          <w:p>
            <w:pPr>
              <w:spacing w:after="36" w:before="36"/>
              <w:jc w:val="left"/>
            </w:pPr>
            <w:r>
              <w:rPr>
                <w:b/>
                <w:bCs/>
                <w:i w:val="false"/>
                <w:iCs w:val="false"/>
                <w:color w:val="FFFFFF"/>
                <w:sz w:val="18"/>
                <w:szCs w:val="18"/>
              </w:rPr>
              <w:t xml:space="preserve">Type</w:t>
            </w:r>
          </w:p>
        </w:tc>
        <w:tc>
          <w:tcPr>
            <w:tcBorders>
              <w:top w:val="single" w:color="BFBFBF" w:sz="4"/>
              <w:left w:val="single" w:color="BFBFBF" w:sz="4"/>
              <w:bottom w:val="single" w:color="BFBFBF" w:sz="4"/>
              <w:right w:val="single" w:color="BFBFBF" w:sz="4"/>
            </w:tcBorders>
            <w:shd w:fill="444444" w:color="auto" w:val="clear"/>
            <w:vAlign w:val="center"/>
          </w:tcPr>
          <w:p>
            <w:pPr>
              <w:spacing w:after="36" w:before="36"/>
              <w:jc w:val="left"/>
            </w:pPr>
            <w:r>
              <w:rPr>
                <w:b/>
                <w:bCs/>
                <w:i w:val="false"/>
                <w:iCs w:val="false"/>
                <w:color w:val="FFFFFF"/>
                <w:sz w:val="18"/>
                <w:szCs w:val="18"/>
              </w:rPr>
              <w:t xml:space="preserve">Notes</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bCs/>
                <w:i w:val="false"/>
                <w:iCs w:val="false"/>
                <w:color w:val="444444"/>
                <w:sz w:val="17"/>
                <w:szCs w:val="17"/>
              </w:rPr>
              <w:t xml:space="preserve">broker_id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PK</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VARCHAR(10)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Primary key</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broker_name</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VARCHAR(60)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firm_id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VARCHAR(20)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settlement_method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VARCHAR(10)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platform_code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VARCHAR(5)</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bl>
    <w:p>
      <w:pPr>
        <w:spacing w:after="0" w:before="80"/>
      </w:pPr>
      <w:r>
        <w:rPr>
          <w:sz w:val="20"/>
          <w:szCs w:val="20"/>
        </w:rPr>
        <w:t xml:space="preserve"/>
      </w:r>
    </w:p>
    <w:p>
      <w:pPr>
        <w:pStyle w:val="Heading3"/>
        <w:spacing w:after="80" w:before="220"/>
      </w:pPr>
      <w:r>
        <w:rPr>
          <w:b/>
          <w:bCs/>
          <w:color w:val="1F3864"/>
          <w:sz w:val="22"/>
          <w:szCs w:val="22"/>
        </w:rPr>
        <w:t xml:space="preserve">N.3  Complete Relationship Matrix</w:t>
      </w:r>
    </w:p>
    <w:p>
      <w:pPr>
        <w:spacing w:after="60" w:before="60"/>
      </w:pPr>
      <w:r>
        <w:rPr>
          <w:b w:val="false"/>
          <w:bCs w:val="false"/>
          <w:i w:val="false"/>
          <w:iCs w:val="false"/>
          <w:color w:val="000000"/>
          <w:sz w:val="20"/>
          <w:szCs w:val="20"/>
        </w:rPr>
        <w:t xml:space="preserve">All 32 relationships in the AMC Capital data model, with cardinality and the join key.</w:t>
      </w:r>
    </w:p>
    <w:p>
      <w:pPr>
        <w:spacing w:after="0" w:before="80"/>
      </w:pPr>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Parent Entity</w:t>
            </w:r>
          </w:p>
        </w:tc>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Child Entity</w:t>
            </w:r>
          </w:p>
        </w:tc>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Cardinality</w:t>
            </w:r>
          </w:p>
        </w:tc>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Join Key</w:t>
            </w:r>
          </w:p>
        </w:tc>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Business Meaning</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bCs/>
                <w:i w:val="false"/>
                <w:iCs w:val="false"/>
                <w:color w:val="1F3864"/>
                <w:sz w:val="17"/>
                <w:szCs w:val="17"/>
              </w:rPr>
              <w:t xml:space="preserve">Product</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bCs/>
                <w:i w:val="false"/>
                <w:iCs w:val="false"/>
                <w:color w:val="1E6B3C"/>
                <w:sz w:val="17"/>
                <w:szCs w:val="17"/>
              </w:rPr>
              <w:t xml:space="preserve">Fund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center"/>
            </w:pPr>
            <w:r>
              <w:rPr>
                <w:b w:val="false"/>
                <w:bCs w:val="false"/>
                <w:i w:val="false"/>
                <w:iCs w:val="false"/>
                <w:color w:val="000000"/>
                <w:sz w:val="17"/>
                <w:szCs w:val="17"/>
              </w:rPr>
              <w:t xml:space="preserve">1:N</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555555"/>
                <w:sz w:val="16"/>
                <w:szCs w:val="16"/>
              </w:rPr>
              <w:t xml:space="preserve">product_id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6"/>
                <w:szCs w:val="16"/>
              </w:rPr>
              <w:t xml:space="preserve">One product line contains multiple fund vintages</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bCs/>
                <w:i w:val="false"/>
                <w:iCs w:val="false"/>
                <w:color w:val="1F3864"/>
                <w:sz w:val="17"/>
                <w:szCs w:val="17"/>
              </w:rPr>
              <w:t xml:space="preserve">Fund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bCs/>
                <w:i w:val="false"/>
                <w:iCs w:val="false"/>
                <w:color w:val="1E6B3C"/>
                <w:sz w:val="17"/>
                <w:szCs w:val="17"/>
              </w:rPr>
              <w:t xml:space="preserve">Vehicle</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center"/>
            </w:pPr>
            <w:r>
              <w:rPr>
                <w:b w:val="false"/>
                <w:bCs w:val="false"/>
                <w:i w:val="false"/>
                <w:iCs w:val="false"/>
                <w:color w:val="000000"/>
                <w:sz w:val="17"/>
                <w:szCs w:val="17"/>
              </w:rPr>
              <w:t xml:space="preserve">1:N</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555555"/>
                <w:sz w:val="16"/>
                <w:szCs w:val="16"/>
              </w:rPr>
              <w:t xml:space="preserve">fund_id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6"/>
                <w:szCs w:val="16"/>
              </w:rPr>
              <w:t xml:space="preserve">Each fund has Master + Domestic + Offshore feeder vehicles</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bCs/>
                <w:i w:val="false"/>
                <w:iCs w:val="false"/>
                <w:color w:val="1F3864"/>
                <w:sz w:val="17"/>
                <w:szCs w:val="17"/>
              </w:rPr>
              <w:t xml:space="preserve">Vehicle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bCs/>
                <w:i w:val="false"/>
                <w:iCs w:val="false"/>
                <w:color w:val="1E6B3C"/>
                <w:sz w:val="17"/>
                <w:szCs w:val="17"/>
              </w:rPr>
              <w:t xml:space="preserve">Offering</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center"/>
            </w:pPr>
            <w:r>
              <w:rPr>
                <w:b w:val="false"/>
                <w:bCs w:val="false"/>
                <w:i w:val="false"/>
                <w:iCs w:val="false"/>
                <w:color w:val="000000"/>
                <w:sz w:val="17"/>
                <w:szCs w:val="17"/>
              </w:rPr>
              <w:t xml:space="preserve">1:N</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555555"/>
                <w:sz w:val="16"/>
                <w:szCs w:val="16"/>
              </w:rPr>
              <w:t xml:space="preserve">vehicle_id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6"/>
                <w:szCs w:val="16"/>
              </w:rPr>
              <w:t xml:space="preserve">Each vehicle has 2 share classes (A and B / A, I, W)</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bCs/>
                <w:i w:val="false"/>
                <w:iCs w:val="false"/>
                <w:color w:val="1F3864"/>
                <w:sz w:val="17"/>
                <w:szCs w:val="17"/>
              </w:rPr>
              <w:t xml:space="preserve">Fund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bCs/>
                <w:i w:val="false"/>
                <w:iCs w:val="false"/>
                <w:color w:val="1E6B3C"/>
                <w:sz w:val="17"/>
                <w:szCs w:val="17"/>
              </w:rPr>
              <w:t xml:space="preserve">FundClose</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center"/>
            </w:pPr>
            <w:r>
              <w:rPr>
                <w:b w:val="false"/>
                <w:bCs w:val="false"/>
                <w:i w:val="false"/>
                <w:iCs w:val="false"/>
                <w:color w:val="000000"/>
                <w:sz w:val="17"/>
                <w:szCs w:val="17"/>
              </w:rPr>
              <w:t xml:space="preserve">1:N</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555555"/>
                <w:sz w:val="16"/>
                <w:szCs w:val="16"/>
              </w:rPr>
              <w:t xml:space="preserve">fund_id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6"/>
                <w:szCs w:val="16"/>
              </w:rPr>
              <w:t xml:space="preserve">Each fund has 2+ admission closes</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bCs/>
                <w:i w:val="false"/>
                <w:iCs w:val="false"/>
                <w:color w:val="1F3864"/>
                <w:sz w:val="17"/>
                <w:szCs w:val="17"/>
              </w:rPr>
              <w:t xml:space="preserve">Offering</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bCs/>
                <w:i w:val="false"/>
                <w:iCs w:val="false"/>
                <w:color w:val="1E6B3C"/>
                <w:sz w:val="17"/>
                <w:szCs w:val="17"/>
              </w:rPr>
              <w:t xml:space="preserve">Commitment</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center"/>
            </w:pPr>
            <w:r>
              <w:rPr>
                <w:b w:val="false"/>
                <w:bCs w:val="false"/>
                <w:i w:val="false"/>
                <w:iCs w:val="false"/>
                <w:color w:val="000000"/>
                <w:sz w:val="17"/>
                <w:szCs w:val="17"/>
              </w:rPr>
              <w:t xml:space="preserve">1:N</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555555"/>
                <w:sz w:val="16"/>
                <w:szCs w:val="16"/>
              </w:rPr>
              <w:t xml:space="preserve">offering_id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6"/>
                <w:szCs w:val="16"/>
              </w:rPr>
              <w:t xml:space="preserve">Many investors commit to a specific offering</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bCs/>
                <w:i w:val="false"/>
                <w:iCs w:val="false"/>
                <w:color w:val="1F3864"/>
                <w:sz w:val="17"/>
                <w:szCs w:val="17"/>
              </w:rPr>
              <w:t xml:space="preserve">FundClose</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bCs/>
                <w:i w:val="false"/>
                <w:iCs w:val="false"/>
                <w:color w:val="1E6B3C"/>
                <w:sz w:val="17"/>
                <w:szCs w:val="17"/>
              </w:rPr>
              <w:t xml:space="preserve">Commitment</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center"/>
            </w:pPr>
            <w:r>
              <w:rPr>
                <w:b w:val="false"/>
                <w:bCs w:val="false"/>
                <w:i w:val="false"/>
                <w:iCs w:val="false"/>
                <w:color w:val="000000"/>
                <w:sz w:val="17"/>
                <w:szCs w:val="17"/>
              </w:rPr>
              <w:t xml:space="preserve">1:N</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555555"/>
                <w:sz w:val="16"/>
                <w:szCs w:val="16"/>
              </w:rPr>
              <w:t xml:space="preserve">close_id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6"/>
                <w:szCs w:val="16"/>
              </w:rPr>
              <w:t xml:space="preserve">Commitment priced at a specific close</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bCs/>
                <w:i w:val="false"/>
                <w:iCs w:val="false"/>
                <w:color w:val="1F3864"/>
                <w:sz w:val="17"/>
                <w:szCs w:val="17"/>
              </w:rPr>
              <w:t xml:space="preserve">Investor</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bCs/>
                <w:i w:val="false"/>
                <w:iCs w:val="false"/>
                <w:color w:val="1E6B3C"/>
                <w:sz w:val="17"/>
                <w:szCs w:val="17"/>
              </w:rPr>
              <w:t xml:space="preserve">Commitment</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center"/>
            </w:pPr>
            <w:r>
              <w:rPr>
                <w:b w:val="false"/>
                <w:bCs w:val="false"/>
                <w:i w:val="false"/>
                <w:iCs w:val="false"/>
                <w:color w:val="000000"/>
                <w:sz w:val="17"/>
                <w:szCs w:val="17"/>
              </w:rPr>
              <w:t xml:space="preserve">1:N</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555555"/>
                <w:sz w:val="16"/>
                <w:szCs w:val="16"/>
              </w:rPr>
              <w:t xml:space="preserve">investor_id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6"/>
                <w:szCs w:val="16"/>
              </w:rPr>
              <w:t xml:space="preserve">One investor can commit to multiple offerings</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bCs/>
                <w:i w:val="false"/>
                <w:iCs w:val="false"/>
                <w:color w:val="1F3864"/>
                <w:sz w:val="17"/>
                <w:szCs w:val="17"/>
              </w:rPr>
              <w:t xml:space="preserve">Fund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bCs/>
                <w:i w:val="false"/>
                <w:iCs w:val="false"/>
                <w:color w:val="1E6B3C"/>
                <w:sz w:val="17"/>
                <w:szCs w:val="17"/>
              </w:rPr>
              <w:t xml:space="preserve">CapitalCall</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center"/>
            </w:pPr>
            <w:r>
              <w:rPr>
                <w:b w:val="false"/>
                <w:bCs w:val="false"/>
                <w:i w:val="false"/>
                <w:iCs w:val="false"/>
                <w:color w:val="000000"/>
                <w:sz w:val="17"/>
                <w:szCs w:val="17"/>
              </w:rPr>
              <w:t xml:space="preserve">1:N</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555555"/>
                <w:sz w:val="16"/>
                <w:szCs w:val="16"/>
              </w:rPr>
              <w:t xml:space="preserve">fund_id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6"/>
                <w:szCs w:val="16"/>
              </w:rPr>
              <w:t xml:space="preserve">Fund draws capital via multiple capital calls over its life</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bCs/>
                <w:i w:val="false"/>
                <w:iCs w:val="false"/>
                <w:color w:val="1F3864"/>
                <w:sz w:val="17"/>
                <w:szCs w:val="17"/>
              </w:rPr>
              <w:t xml:space="preserve">CapitalCall</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bCs/>
                <w:i w:val="false"/>
                <w:iCs w:val="false"/>
                <w:color w:val="1E6B3C"/>
                <w:sz w:val="17"/>
                <w:szCs w:val="17"/>
              </w:rPr>
              <w:t xml:space="preserve">CCNotice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center"/>
            </w:pPr>
            <w:r>
              <w:rPr>
                <w:b w:val="false"/>
                <w:bCs w:val="false"/>
                <w:i w:val="false"/>
                <w:iCs w:val="false"/>
                <w:color w:val="000000"/>
                <w:sz w:val="17"/>
                <w:szCs w:val="17"/>
              </w:rPr>
              <w:t xml:space="preserve">1:N</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555555"/>
                <w:sz w:val="16"/>
                <w:szCs w:val="16"/>
              </w:rPr>
              <w:t xml:space="preserve">capital_call_id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6"/>
                <w:szCs w:val="16"/>
              </w:rPr>
              <w:t xml:space="preserve">Each fund call generates one notice per active commitment</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bCs/>
                <w:i w:val="false"/>
                <w:iCs w:val="false"/>
                <w:color w:val="1F3864"/>
                <w:sz w:val="17"/>
                <w:szCs w:val="17"/>
              </w:rPr>
              <w:t xml:space="preserve">Commitment</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bCs/>
                <w:i w:val="false"/>
                <w:iCs w:val="false"/>
                <w:color w:val="1E6B3C"/>
                <w:sz w:val="17"/>
                <w:szCs w:val="17"/>
              </w:rPr>
              <w:t xml:space="preserve">CCNotice</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center"/>
            </w:pPr>
            <w:r>
              <w:rPr>
                <w:b w:val="false"/>
                <w:bCs w:val="false"/>
                <w:i w:val="false"/>
                <w:iCs w:val="false"/>
                <w:color w:val="000000"/>
                <w:sz w:val="17"/>
                <w:szCs w:val="17"/>
              </w:rPr>
              <w:t xml:space="preserve">1:N</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555555"/>
                <w:sz w:val="16"/>
                <w:szCs w:val="16"/>
              </w:rPr>
              <w:t xml:space="preserve">commitment_id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6"/>
                <w:szCs w:val="16"/>
              </w:rPr>
              <w:t xml:space="preserve">Each commitment receives pro-rata call notices</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bCs/>
                <w:i w:val="false"/>
                <w:iCs w:val="false"/>
                <w:color w:val="1F3864"/>
                <w:sz w:val="17"/>
                <w:szCs w:val="17"/>
              </w:rPr>
              <w:t xml:space="preserve">CCNotice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bCs/>
                <w:i w:val="false"/>
                <w:iCs w:val="false"/>
                <w:color w:val="1E6B3C"/>
                <w:sz w:val="17"/>
                <w:szCs w:val="17"/>
              </w:rPr>
              <w:t xml:space="preserve">Wire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center"/>
            </w:pPr>
            <w:r>
              <w:rPr>
                <w:b w:val="false"/>
                <w:bCs w:val="false"/>
                <w:i w:val="false"/>
                <w:iCs w:val="false"/>
                <w:color w:val="000000"/>
                <w:sz w:val="17"/>
                <w:szCs w:val="17"/>
              </w:rPr>
              <w:t xml:space="preserve">1:N</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555555"/>
                <w:sz w:val="16"/>
                <w:szCs w:val="16"/>
              </w:rPr>
              <w:t xml:space="preserve">notice_id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6"/>
                <w:szCs w:val="16"/>
              </w:rPr>
              <w:t xml:space="preserve">Each notice may produce 1 LP wire + 1 master sweep wire</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bCs/>
                <w:i w:val="false"/>
                <w:iCs w:val="false"/>
                <w:color w:val="1F3864"/>
                <w:sz w:val="17"/>
                <w:szCs w:val="17"/>
              </w:rPr>
              <w:t xml:space="preserve">ChartOfAccounts</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bCs/>
                <w:i w:val="false"/>
                <w:iCs w:val="false"/>
                <w:color w:val="1E6B3C"/>
                <w:sz w:val="17"/>
                <w:szCs w:val="17"/>
              </w:rPr>
              <w:t xml:space="preserve">GLTransaction</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center"/>
            </w:pPr>
            <w:r>
              <w:rPr>
                <w:b w:val="false"/>
                <w:bCs w:val="false"/>
                <w:i w:val="false"/>
                <w:iCs w:val="false"/>
                <w:color w:val="000000"/>
                <w:sz w:val="17"/>
                <w:szCs w:val="17"/>
              </w:rPr>
              <w:t xml:space="preserve">1:N</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555555"/>
                <w:sz w:val="16"/>
                <w:szCs w:val="16"/>
              </w:rPr>
              <w:t xml:space="preserve">account_id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6"/>
                <w:szCs w:val="16"/>
              </w:rPr>
              <w:t xml:space="preserve">Every GL entry posts to a chart of accounts code</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bCs/>
                <w:i w:val="false"/>
                <w:iCs w:val="false"/>
                <w:color w:val="1F3864"/>
                <w:sz w:val="17"/>
                <w:szCs w:val="17"/>
              </w:rPr>
              <w:t xml:space="preserve">Vehicle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bCs/>
                <w:i w:val="false"/>
                <w:iCs w:val="false"/>
                <w:color w:val="1E6B3C"/>
                <w:sz w:val="17"/>
                <w:szCs w:val="17"/>
              </w:rPr>
              <w:t xml:space="preserve">GLTransaction</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center"/>
            </w:pPr>
            <w:r>
              <w:rPr>
                <w:b w:val="false"/>
                <w:bCs w:val="false"/>
                <w:i w:val="false"/>
                <w:iCs w:val="false"/>
                <w:color w:val="000000"/>
                <w:sz w:val="17"/>
                <w:szCs w:val="17"/>
              </w:rPr>
              <w:t xml:space="preserve">1:N</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555555"/>
                <w:sz w:val="16"/>
                <w:szCs w:val="16"/>
              </w:rPr>
              <w:t xml:space="preserve">vehicle_id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6"/>
                <w:szCs w:val="16"/>
              </w:rPr>
              <w:t xml:space="preserve">GL entries are posted at the vehicle level</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bCs/>
                <w:i w:val="false"/>
                <w:iCs w:val="false"/>
                <w:color w:val="1F3864"/>
                <w:sz w:val="17"/>
                <w:szCs w:val="17"/>
              </w:rPr>
              <w:t xml:space="preserve">ChartOfAccounts</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bCs/>
                <w:i w:val="false"/>
                <w:iCs w:val="false"/>
                <w:color w:val="1E6B3C"/>
                <w:sz w:val="17"/>
                <w:szCs w:val="17"/>
              </w:rPr>
              <w:t xml:space="preserve">ChartOfAccounts</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center"/>
            </w:pPr>
            <w:r>
              <w:rPr>
                <w:b w:val="false"/>
                <w:bCs w:val="false"/>
                <w:i w:val="false"/>
                <w:iCs w:val="false"/>
                <w:color w:val="000000"/>
                <w:sz w:val="17"/>
                <w:szCs w:val="17"/>
              </w:rPr>
              <w:t xml:space="preserve">1:N</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555555"/>
                <w:sz w:val="16"/>
                <w:szCs w:val="16"/>
              </w:rPr>
              <w:t xml:space="preserve">parent_account_id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6"/>
                <w:szCs w:val="16"/>
              </w:rPr>
              <w:t xml:space="preserve">Self-referencing hierarchy (parent → children)</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bCs/>
                <w:i w:val="false"/>
                <w:iCs w:val="false"/>
                <w:color w:val="1F3864"/>
                <w:sz w:val="17"/>
                <w:szCs w:val="17"/>
              </w:rPr>
              <w:t xml:space="preserve">Fund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bCs/>
                <w:i w:val="false"/>
                <w:iCs w:val="false"/>
                <w:color w:val="1E6B3C"/>
                <w:sz w:val="17"/>
                <w:szCs w:val="17"/>
              </w:rPr>
              <w:t xml:space="preserve">PortfolioInvestment</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center"/>
            </w:pPr>
            <w:r>
              <w:rPr>
                <w:b w:val="false"/>
                <w:bCs w:val="false"/>
                <w:i w:val="false"/>
                <w:iCs w:val="false"/>
                <w:color w:val="000000"/>
                <w:sz w:val="17"/>
                <w:szCs w:val="17"/>
              </w:rPr>
              <w:t xml:space="preserve">1:N</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555555"/>
                <w:sz w:val="16"/>
                <w:szCs w:val="16"/>
              </w:rPr>
              <w:t xml:space="preserve">fund_id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6"/>
                <w:szCs w:val="16"/>
              </w:rPr>
              <w:t xml:space="preserve">Fund holds positions in multiple portfolio companies</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bCs/>
                <w:i w:val="false"/>
                <w:iCs w:val="false"/>
                <w:color w:val="1F3864"/>
                <w:sz w:val="17"/>
                <w:szCs w:val="17"/>
              </w:rPr>
              <w:t xml:space="preserve">PortfolioCompany</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bCs/>
                <w:i w:val="false"/>
                <w:iCs w:val="false"/>
                <w:color w:val="1E6B3C"/>
                <w:sz w:val="17"/>
                <w:szCs w:val="17"/>
              </w:rPr>
              <w:t xml:space="preserve">PortfolioInvestment</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center"/>
            </w:pPr>
            <w:r>
              <w:rPr>
                <w:b w:val="false"/>
                <w:bCs w:val="false"/>
                <w:i w:val="false"/>
                <w:iCs w:val="false"/>
                <w:color w:val="000000"/>
                <w:sz w:val="17"/>
                <w:szCs w:val="17"/>
              </w:rPr>
              <w:t xml:space="preserve">1:N</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555555"/>
                <w:sz w:val="16"/>
                <w:szCs w:val="16"/>
              </w:rPr>
              <w:t xml:space="preserve">company_id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6"/>
                <w:szCs w:val="16"/>
              </w:rPr>
              <w:t xml:space="preserve">One company can appear in multiple fund portfolios</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bCs/>
                <w:i w:val="false"/>
                <w:iCs w:val="false"/>
                <w:color w:val="1F3864"/>
                <w:sz w:val="17"/>
                <w:szCs w:val="17"/>
              </w:rPr>
              <w:t xml:space="preserve">Fund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bCs/>
                <w:i w:val="false"/>
                <w:iCs w:val="false"/>
                <w:color w:val="1E6B3C"/>
                <w:sz w:val="17"/>
                <w:szCs w:val="17"/>
              </w:rPr>
              <w:t xml:space="preserve">PortfolioTransaction</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center"/>
            </w:pPr>
            <w:r>
              <w:rPr>
                <w:b w:val="false"/>
                <w:bCs w:val="false"/>
                <w:i w:val="false"/>
                <w:iCs w:val="false"/>
                <w:color w:val="000000"/>
                <w:sz w:val="17"/>
                <w:szCs w:val="17"/>
              </w:rPr>
              <w:t xml:space="preserve">1:N</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555555"/>
                <w:sz w:val="16"/>
                <w:szCs w:val="16"/>
              </w:rPr>
              <w:t xml:space="preserve">fund_id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6"/>
                <w:szCs w:val="16"/>
              </w:rPr>
              <w:t xml:space="preserve">Fund executes deployment and realization events</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bCs/>
                <w:i w:val="false"/>
                <w:iCs w:val="false"/>
                <w:color w:val="1F3864"/>
                <w:sz w:val="17"/>
                <w:szCs w:val="17"/>
              </w:rPr>
              <w:t xml:space="preserve">PortfolioCompany</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bCs/>
                <w:i w:val="false"/>
                <w:iCs w:val="false"/>
                <w:color w:val="1E6B3C"/>
                <w:sz w:val="17"/>
                <w:szCs w:val="17"/>
              </w:rPr>
              <w:t xml:space="preserve">PortfolioTransaction</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center"/>
            </w:pPr>
            <w:r>
              <w:rPr>
                <w:b w:val="false"/>
                <w:bCs w:val="false"/>
                <w:i w:val="false"/>
                <w:iCs w:val="false"/>
                <w:color w:val="000000"/>
                <w:sz w:val="17"/>
                <w:szCs w:val="17"/>
              </w:rPr>
              <w:t xml:space="preserve">1:N</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555555"/>
                <w:sz w:val="16"/>
                <w:szCs w:val="16"/>
              </w:rPr>
              <w:t xml:space="preserve">company_id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6"/>
                <w:szCs w:val="16"/>
              </w:rPr>
              <w:t xml:space="preserve">Company-level transaction events</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bCs/>
                <w:i w:val="false"/>
                <w:iCs w:val="false"/>
                <w:color w:val="1F3864"/>
                <w:sz w:val="17"/>
                <w:szCs w:val="17"/>
              </w:rPr>
              <w:t xml:space="preserve">Distribution</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bCs/>
                <w:i w:val="false"/>
                <w:iCs w:val="false"/>
                <w:color w:val="1E6B3C"/>
                <w:sz w:val="17"/>
                <w:szCs w:val="17"/>
              </w:rPr>
              <w:t xml:space="preserve">PortfolioTransaction</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center"/>
            </w:pPr>
            <w:r>
              <w:rPr>
                <w:b w:val="false"/>
                <w:bCs w:val="false"/>
                <w:i w:val="false"/>
                <w:iCs w:val="false"/>
                <w:color w:val="000000"/>
                <w:sz w:val="17"/>
                <w:szCs w:val="17"/>
              </w:rPr>
              <w:t xml:space="preserve">N:1</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555555"/>
                <w:sz w:val="16"/>
                <w:szCs w:val="16"/>
              </w:rPr>
              <w:t xml:space="preserve">source_company_id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6"/>
                <w:szCs w:val="16"/>
              </w:rPr>
              <w:t xml:space="preserve">Distribution proceeds linked to realization event</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bCs/>
                <w:i w:val="false"/>
                <w:iCs w:val="false"/>
                <w:color w:val="1F3864"/>
                <w:sz w:val="17"/>
                <w:szCs w:val="17"/>
              </w:rPr>
              <w:t xml:space="preserve">Fund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bCs/>
                <w:i w:val="false"/>
                <w:iCs w:val="false"/>
                <w:color w:val="1E6B3C"/>
                <w:sz w:val="17"/>
                <w:szCs w:val="17"/>
              </w:rPr>
              <w:t xml:space="preserve">ManagementFee</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center"/>
            </w:pPr>
            <w:r>
              <w:rPr>
                <w:b w:val="false"/>
                <w:bCs w:val="false"/>
                <w:i w:val="false"/>
                <w:iCs w:val="false"/>
                <w:color w:val="000000"/>
                <w:sz w:val="17"/>
                <w:szCs w:val="17"/>
              </w:rPr>
              <w:t xml:space="preserve">1:N</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555555"/>
                <w:sz w:val="16"/>
                <w:szCs w:val="16"/>
              </w:rPr>
              <w:t xml:space="preserve">fund_id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6"/>
                <w:szCs w:val="16"/>
              </w:rPr>
              <w:t xml:space="preserve">Quarterly fee accruals per fund</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bCs/>
                <w:i w:val="false"/>
                <w:iCs w:val="false"/>
                <w:color w:val="1F3864"/>
                <w:sz w:val="17"/>
                <w:szCs w:val="17"/>
              </w:rPr>
              <w:t xml:space="preserve">Fund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bCs/>
                <w:i w:val="false"/>
                <w:iCs w:val="false"/>
                <w:color w:val="1E6B3C"/>
                <w:sz w:val="17"/>
                <w:szCs w:val="17"/>
              </w:rPr>
              <w:t xml:space="preserve">Distribution</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center"/>
            </w:pPr>
            <w:r>
              <w:rPr>
                <w:b w:val="false"/>
                <w:bCs w:val="false"/>
                <w:i w:val="false"/>
                <w:iCs w:val="false"/>
                <w:color w:val="000000"/>
                <w:sz w:val="17"/>
                <w:szCs w:val="17"/>
              </w:rPr>
              <w:t xml:space="preserve">1:N</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555555"/>
                <w:sz w:val="16"/>
                <w:szCs w:val="16"/>
              </w:rPr>
              <w:t xml:space="preserve">fund_id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6"/>
                <w:szCs w:val="16"/>
              </w:rPr>
              <w:t xml:space="preserve">Fund-level distribution events</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bCs/>
                <w:i w:val="false"/>
                <w:iCs w:val="false"/>
                <w:color w:val="1F3864"/>
                <w:sz w:val="17"/>
                <w:szCs w:val="17"/>
              </w:rPr>
              <w:t xml:space="preserve">Distribution</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bCs/>
                <w:i w:val="false"/>
                <w:iCs w:val="false"/>
                <w:color w:val="1E6B3C"/>
                <w:sz w:val="17"/>
                <w:szCs w:val="17"/>
              </w:rPr>
              <w:t xml:space="preserve">DistributionNotice</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center"/>
            </w:pPr>
            <w:r>
              <w:rPr>
                <w:b w:val="false"/>
                <w:bCs w:val="false"/>
                <w:i w:val="false"/>
                <w:iCs w:val="false"/>
                <w:color w:val="000000"/>
                <w:sz w:val="17"/>
                <w:szCs w:val="17"/>
              </w:rPr>
              <w:t xml:space="preserve">1:N</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555555"/>
                <w:sz w:val="16"/>
                <w:szCs w:val="16"/>
              </w:rPr>
              <w:t xml:space="preserve">distribution_id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6"/>
                <w:szCs w:val="16"/>
              </w:rPr>
              <w:t xml:space="preserve">Each fund distribution splits into per-LP notices</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bCs/>
                <w:i w:val="false"/>
                <w:iCs w:val="false"/>
                <w:color w:val="1F3864"/>
                <w:sz w:val="17"/>
                <w:szCs w:val="17"/>
              </w:rPr>
              <w:t xml:space="preserve">Commitment</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bCs/>
                <w:i w:val="false"/>
                <w:iCs w:val="false"/>
                <w:color w:val="1E6B3C"/>
                <w:sz w:val="17"/>
                <w:szCs w:val="17"/>
              </w:rPr>
              <w:t xml:space="preserve">DistributionNotice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center"/>
            </w:pPr>
            <w:r>
              <w:rPr>
                <w:b w:val="false"/>
                <w:bCs w:val="false"/>
                <w:i w:val="false"/>
                <w:iCs w:val="false"/>
                <w:color w:val="000000"/>
                <w:sz w:val="17"/>
                <w:szCs w:val="17"/>
              </w:rPr>
              <w:t xml:space="preserve">1:N</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555555"/>
                <w:sz w:val="16"/>
                <w:szCs w:val="16"/>
              </w:rPr>
              <w:t xml:space="preserve">commitment_id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6"/>
                <w:szCs w:val="16"/>
              </w:rPr>
              <w:t xml:space="preserve">Notices allocated based on LP capital account %</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bCs/>
                <w:i w:val="false"/>
                <w:iCs w:val="false"/>
                <w:color w:val="1F3864"/>
                <w:sz w:val="17"/>
                <w:szCs w:val="17"/>
              </w:rPr>
              <w:t xml:space="preserve">Commitment</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bCs/>
                <w:i w:val="false"/>
                <w:iCs w:val="false"/>
                <w:color w:val="1E6B3C"/>
                <w:sz w:val="17"/>
                <w:szCs w:val="17"/>
              </w:rPr>
              <w:t xml:space="preserve">LPCapAcct</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center"/>
            </w:pPr>
            <w:r>
              <w:rPr>
                <w:b w:val="false"/>
                <w:bCs w:val="false"/>
                <w:i w:val="false"/>
                <w:iCs w:val="false"/>
                <w:color w:val="000000"/>
                <w:sz w:val="17"/>
                <w:szCs w:val="17"/>
              </w:rPr>
              <w:t xml:space="preserve">1:N</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555555"/>
                <w:sz w:val="16"/>
                <w:szCs w:val="16"/>
              </w:rPr>
              <w:t xml:space="preserve">commitment_id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6"/>
                <w:szCs w:val="16"/>
              </w:rPr>
              <w:t xml:space="preserve">Rolling capital account per LP per period</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bCs/>
                <w:i w:val="false"/>
                <w:iCs w:val="false"/>
                <w:color w:val="1F3864"/>
                <w:sz w:val="17"/>
                <w:szCs w:val="17"/>
              </w:rPr>
              <w:t xml:space="preserve">Fund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bCs/>
                <w:i w:val="false"/>
                <w:iCs w:val="false"/>
                <w:color w:val="1E6B3C"/>
                <w:sz w:val="17"/>
                <w:szCs w:val="17"/>
              </w:rPr>
              <w:t xml:space="preserve">CarriedInterest</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center"/>
            </w:pPr>
            <w:r>
              <w:rPr>
                <w:b w:val="false"/>
                <w:bCs w:val="false"/>
                <w:i w:val="false"/>
                <w:iCs w:val="false"/>
                <w:color w:val="000000"/>
                <w:sz w:val="17"/>
                <w:szCs w:val="17"/>
              </w:rPr>
              <w:t xml:space="preserve">1:N</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555555"/>
                <w:sz w:val="16"/>
                <w:szCs w:val="16"/>
              </w:rPr>
              <w:t xml:space="preserve">fund_id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6"/>
                <w:szCs w:val="16"/>
              </w:rPr>
              <w:t xml:space="preserve">Waterfall carry calculation per fund per period</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bCs/>
                <w:i w:val="false"/>
                <w:iCs w:val="false"/>
                <w:color w:val="1F3864"/>
                <w:sz w:val="17"/>
                <w:szCs w:val="17"/>
              </w:rPr>
              <w:t xml:space="preserve">EvFund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bCs/>
                <w:i w:val="false"/>
                <w:iCs w:val="false"/>
                <w:color w:val="1E6B3C"/>
                <w:sz w:val="17"/>
                <w:szCs w:val="17"/>
              </w:rPr>
              <w:t xml:space="preserve">NAVHistory</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center"/>
            </w:pPr>
            <w:r>
              <w:rPr>
                <w:b w:val="false"/>
                <w:bCs w:val="false"/>
                <w:i w:val="false"/>
                <w:iCs w:val="false"/>
                <w:color w:val="000000"/>
                <w:sz w:val="17"/>
                <w:szCs w:val="17"/>
              </w:rPr>
              <w:t xml:space="preserve">1:N</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555555"/>
                <w:sz w:val="16"/>
                <w:szCs w:val="16"/>
              </w:rPr>
              <w:t xml:space="preserve">fund_id+share_class</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6"/>
                <w:szCs w:val="16"/>
              </w:rPr>
              <w:t xml:space="preserve">Daily NAV series per fund/class</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bCs/>
                <w:i w:val="false"/>
                <w:iCs w:val="false"/>
                <w:color w:val="1F3864"/>
                <w:sz w:val="17"/>
                <w:szCs w:val="17"/>
              </w:rPr>
              <w:t xml:space="preserve">EvFund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bCs/>
                <w:i w:val="false"/>
                <w:iCs w:val="false"/>
                <w:color w:val="1E6B3C"/>
                <w:sz w:val="17"/>
                <w:szCs w:val="17"/>
              </w:rPr>
              <w:t xml:space="preserve">EvAccount</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center"/>
            </w:pPr>
            <w:r>
              <w:rPr>
                <w:b w:val="false"/>
                <w:bCs w:val="false"/>
                <w:i w:val="false"/>
                <w:iCs w:val="false"/>
                <w:color w:val="000000"/>
                <w:sz w:val="17"/>
                <w:szCs w:val="17"/>
              </w:rPr>
              <w:t xml:space="preserve">1:N</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555555"/>
                <w:sz w:val="16"/>
                <w:szCs w:val="16"/>
              </w:rPr>
              <w:t xml:space="preserve">preferred_fund_id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6"/>
                <w:szCs w:val="16"/>
              </w:rPr>
              <w:t xml:space="preserve">Account default fund preference</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bCs/>
                <w:i w:val="false"/>
                <w:iCs w:val="false"/>
                <w:color w:val="1F3864"/>
                <w:sz w:val="17"/>
                <w:szCs w:val="17"/>
              </w:rPr>
              <w:t xml:space="preserve">Broker</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bCs/>
                <w:i w:val="false"/>
                <w:iCs w:val="false"/>
                <w:color w:val="1E6B3C"/>
                <w:sz w:val="17"/>
                <w:szCs w:val="17"/>
              </w:rPr>
              <w:t xml:space="preserve">EvAccount</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center"/>
            </w:pPr>
            <w:r>
              <w:rPr>
                <w:b w:val="false"/>
                <w:bCs w:val="false"/>
                <w:i w:val="false"/>
                <w:iCs w:val="false"/>
                <w:color w:val="000000"/>
                <w:sz w:val="17"/>
                <w:szCs w:val="17"/>
              </w:rPr>
              <w:t xml:space="preserve">1:N</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555555"/>
                <w:sz w:val="16"/>
                <w:szCs w:val="16"/>
              </w:rPr>
              <w:t xml:space="preserve">broker_id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6"/>
                <w:szCs w:val="16"/>
              </w:rPr>
              <w:t xml:space="preserve">Each account belongs to a broker or platform</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bCs/>
                <w:i w:val="false"/>
                <w:iCs w:val="false"/>
                <w:color w:val="1F3864"/>
                <w:sz w:val="17"/>
                <w:szCs w:val="17"/>
              </w:rPr>
              <w:t xml:space="preserve">EvAccount</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bCs/>
                <w:i w:val="false"/>
                <w:iCs w:val="false"/>
                <w:color w:val="1E6B3C"/>
                <w:sz w:val="17"/>
                <w:szCs w:val="17"/>
              </w:rPr>
              <w:t xml:space="preserve">EvTransaction</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center"/>
            </w:pPr>
            <w:r>
              <w:rPr>
                <w:b w:val="false"/>
                <w:bCs w:val="false"/>
                <w:i w:val="false"/>
                <w:iCs w:val="false"/>
                <w:color w:val="000000"/>
                <w:sz w:val="17"/>
                <w:szCs w:val="17"/>
              </w:rPr>
              <w:t xml:space="preserve">1:N</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555555"/>
                <w:sz w:val="16"/>
                <w:szCs w:val="16"/>
              </w:rPr>
              <w:t xml:space="preserve">account_id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6"/>
                <w:szCs w:val="16"/>
              </w:rPr>
              <w:t xml:space="preserve">Account executes purchases, DRIPs, redemptions</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bCs/>
                <w:i w:val="false"/>
                <w:iCs w:val="false"/>
                <w:color w:val="1F3864"/>
                <w:sz w:val="17"/>
                <w:szCs w:val="17"/>
              </w:rPr>
              <w:t xml:space="preserve">EvFund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bCs/>
                <w:i w:val="false"/>
                <w:iCs w:val="false"/>
                <w:color w:val="1E6B3C"/>
                <w:sz w:val="17"/>
                <w:szCs w:val="17"/>
              </w:rPr>
              <w:t xml:space="preserve">EvTransaction</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center"/>
            </w:pPr>
            <w:r>
              <w:rPr>
                <w:b w:val="false"/>
                <w:bCs w:val="false"/>
                <w:i w:val="false"/>
                <w:iCs w:val="false"/>
                <w:color w:val="000000"/>
                <w:sz w:val="17"/>
                <w:szCs w:val="17"/>
              </w:rPr>
              <w:t xml:space="preserve">1:N</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555555"/>
                <w:sz w:val="16"/>
                <w:szCs w:val="16"/>
              </w:rPr>
              <w:t xml:space="preserve">fund_id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6"/>
                <w:szCs w:val="16"/>
              </w:rPr>
              <w:t xml:space="preserve">All trades reference a specific fund+share class</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bCs/>
                <w:i w:val="false"/>
                <w:iCs w:val="false"/>
                <w:color w:val="1F3864"/>
                <w:sz w:val="17"/>
                <w:szCs w:val="17"/>
              </w:rPr>
              <w:t xml:space="preserve">NAVHistory</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bCs/>
                <w:i w:val="false"/>
                <w:iCs w:val="false"/>
                <w:color w:val="1E6B3C"/>
                <w:sz w:val="17"/>
                <w:szCs w:val="17"/>
              </w:rPr>
              <w:t xml:space="preserve">EvTransaction</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center"/>
            </w:pPr>
            <w:r>
              <w:rPr>
                <w:b w:val="false"/>
                <w:bCs w:val="false"/>
                <w:i w:val="false"/>
                <w:iCs w:val="false"/>
                <w:color w:val="000000"/>
                <w:sz w:val="17"/>
                <w:szCs w:val="17"/>
              </w:rPr>
              <w:t xml:space="preserve">N:1</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555555"/>
                <w:sz w:val="16"/>
                <w:szCs w:val="16"/>
              </w:rPr>
              <w:t xml:space="preserve">nav_date+fund_id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6"/>
                <w:szCs w:val="16"/>
              </w:rPr>
              <w:t xml:space="preserve">Trade priced using NAV on trade date</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bCs/>
                <w:i w:val="false"/>
                <w:iCs w:val="false"/>
                <w:color w:val="1F3864"/>
                <w:sz w:val="17"/>
                <w:szCs w:val="17"/>
              </w:rPr>
              <w:t xml:space="preserve">Investor</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bCs/>
                <w:i w:val="false"/>
                <w:iCs w:val="false"/>
                <w:color w:val="1E6B3C"/>
                <w:sz w:val="17"/>
                <w:szCs w:val="17"/>
              </w:rPr>
              <w:t xml:space="preserve">EvAccount</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center"/>
            </w:pPr>
            <w:r>
              <w:rPr>
                <w:b w:val="false"/>
                <w:bCs w:val="false"/>
                <w:i w:val="false"/>
                <w:iCs w:val="false"/>
                <w:color w:val="000000"/>
                <w:sz w:val="17"/>
                <w:szCs w:val="17"/>
              </w:rPr>
              <w:t xml:space="preserve">1:1</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555555"/>
                <w:sz w:val="16"/>
                <w:szCs w:val="16"/>
              </w:rPr>
              <w:t xml:space="preserve">investor_id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6"/>
                <w:szCs w:val="16"/>
              </w:rPr>
              <w:t xml:space="preserve">Institutional investor may have both PE commitment and EV account</w:t>
            </w:r>
          </w:p>
        </w:tc>
      </w:tr>
    </w:tbl>
    <w:p>
      <w:pPr>
        <w:spacing w:after="0" w:before="80"/>
      </w:pPr>
      <w:r>
        <w:rPr>
          <w:sz w:val="20"/>
          <w:szCs w:val="20"/>
        </w:rPr>
        <w:t xml:space="preserve"/>
      </w:r>
    </w:p>
    <w:p>
      <w:pPr>
        <w:pStyle w:val="Heading3"/>
        <w:spacing w:after="80" w:before="220"/>
      </w:pPr>
      <w:r>
        <w:rPr>
          <w:b/>
          <w:bCs/>
          <w:color w:val="1F3864"/>
          <w:sz w:val="22"/>
          <w:szCs w:val="22"/>
        </w:rPr>
        <w:t xml:space="preserve">N.4  Key LDM Design Patterns</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Pattern</w:t>
            </w:r>
          </w:p>
        </w:tc>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Where Used</w:t>
            </w:r>
          </w:p>
        </w:tc>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Design Decision</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bCs/>
                <w:i w:val="false"/>
                <w:iCs w:val="false"/>
                <w:color w:val="000000"/>
                <w:sz w:val="18"/>
                <w:szCs w:val="18"/>
              </w:rPr>
              <w:t xml:space="preserve">Hierarchical decomposition</w:t>
            </w:r>
          </w:p>
        </w:tc>
        <w:tc>
          <w:tcPr>
            <w:tcBorders>
              <w:top w:val="single" w:color="BFBFBF" w:sz="4"/>
              <w:left w:val="single" w:color="BFBFBF" w:sz="4"/>
              <w:bottom w:val="single" w:color="BFBFBF" w:sz="4"/>
              <w:right w:val="single" w:color="BFBFBF" w:sz="4"/>
            </w:tcBorders>
            <w:vAlign w:val="center"/>
          </w:tcPr>
          <w:p>
            <w:pPr>
              <w:spacing w:after="36" w:before="36"/>
              <w:jc w:val="left"/>
            </w:pPr>
            <w:r>
              <w:rPr>
                <w:b w:val="false"/>
                <w:bCs w:val="false"/>
                <w:i w:val="false"/>
                <w:iCs w:val="false"/>
                <w:color w:val="000000"/>
                <w:sz w:val="18"/>
                <w:szCs w:val="18"/>
              </w:rPr>
              <w:t xml:space="preserve">Product→Fund→Vehicle→Offering→Commitment</w:t>
            </w:r>
          </w:p>
        </w:tc>
        <w:tc>
          <w:tcPr>
            <w:tcBorders>
              <w:top w:val="single" w:color="BFBFBF" w:sz="4"/>
              <w:left w:val="single" w:color="BFBFBF" w:sz="4"/>
              <w:bottom w:val="single" w:color="BFBFBF" w:sz="4"/>
              <w:right w:val="single" w:color="BFBFBF" w:sz="4"/>
            </w:tcBorders>
            <w:vAlign w:val="center"/>
          </w:tcPr>
          <w:p>
            <w:pPr>
              <w:spacing w:after="36" w:before="36"/>
              <w:jc w:val="left"/>
            </w:pPr>
            <w:r>
              <w:rPr>
                <w:b w:val="false"/>
                <w:bCs w:val="false"/>
                <w:i w:val="false"/>
                <w:iCs w:val="false"/>
                <w:color w:val="000000"/>
                <w:sz w:val="18"/>
                <w:szCs w:val="18"/>
              </w:rPr>
              <w:t xml:space="preserve">Each level adds specificity: legal entity (Vehicle), share class pricing (Offering), investor obligation (Commitment)</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8"/>
                <w:szCs w:val="18"/>
              </w:rPr>
              <w:t xml:space="preserve">Fan-out via pro-rata</w:t>
            </w:r>
          </w:p>
        </w:tc>
        <w:tc>
          <w:tcPr>
            <w:tcBorders>
              <w:top w:val="single" w:color="BFBFBF" w:sz="4"/>
              <w:left w:val="single" w:color="BFBFBF" w:sz="4"/>
              <w:bottom w:val="single" w:color="BFBFBF" w:sz="4"/>
              <w:right w:val="single" w:color="BFBFBF" w:sz="4"/>
            </w:tcBorders>
            <w:vAlign w:val="center"/>
          </w:tcPr>
          <w:p>
            <w:pPr>
              <w:spacing w:after="36" w:before="36"/>
              <w:jc w:val="left"/>
            </w:pPr>
            <w:r>
              <w:rPr>
                <w:b w:val="false"/>
                <w:bCs w:val="false"/>
                <w:i w:val="false"/>
                <w:iCs w:val="false"/>
                <w:color w:val="000000"/>
                <w:sz w:val="18"/>
                <w:szCs w:val="18"/>
              </w:rPr>
              <w:t xml:space="preserve">CapitalCall→CCNotice; Distribution→DistributionNotice</w:t>
            </w:r>
          </w:p>
        </w:tc>
        <w:tc>
          <w:tcPr>
            <w:tcBorders>
              <w:top w:val="single" w:color="BFBFBF" w:sz="4"/>
              <w:left w:val="single" w:color="BFBFBF" w:sz="4"/>
              <w:bottom w:val="single" w:color="BFBFBF" w:sz="4"/>
              <w:right w:val="single" w:color="BFBFBF" w:sz="4"/>
            </w:tcBorders>
            <w:vAlign w:val="center"/>
          </w:tcPr>
          <w:p>
            <w:pPr>
              <w:spacing w:after="36" w:before="36"/>
              <w:jc w:val="left"/>
            </w:pPr>
            <w:r>
              <w:rPr>
                <w:b w:val="false"/>
                <w:bCs w:val="false"/>
                <w:i w:val="false"/>
                <w:iCs w:val="false"/>
                <w:color w:val="000000"/>
                <w:sz w:val="18"/>
                <w:szCs w:val="18"/>
              </w:rPr>
              <w:t xml:space="preserve">Fund-level event multiplied across all active commitments using pro-rata capital account percentage</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bCs/>
                <w:i w:val="false"/>
                <w:iCs w:val="false"/>
                <w:color w:val="000000"/>
                <w:sz w:val="18"/>
                <w:szCs w:val="18"/>
              </w:rPr>
              <w:t xml:space="preserve">Composite PK</w:t>
            </w:r>
          </w:p>
        </w:tc>
        <w:tc>
          <w:tcPr>
            <w:tcBorders>
              <w:top w:val="single" w:color="BFBFBF" w:sz="4"/>
              <w:left w:val="single" w:color="BFBFBF" w:sz="4"/>
              <w:bottom w:val="single" w:color="BFBFBF" w:sz="4"/>
              <w:right w:val="single" w:color="BFBFBF" w:sz="4"/>
            </w:tcBorders>
            <w:vAlign w:val="center"/>
          </w:tcPr>
          <w:p>
            <w:pPr>
              <w:spacing w:after="36" w:before="36"/>
              <w:jc w:val="left"/>
            </w:pPr>
            <w:r>
              <w:rPr>
                <w:b w:val="false"/>
                <w:bCs w:val="false"/>
                <w:i w:val="false"/>
                <w:iCs w:val="false"/>
                <w:color w:val="000000"/>
                <w:sz w:val="18"/>
                <w:szCs w:val="18"/>
              </w:rPr>
              <w:t xml:space="preserve">NAVHistory (nav_date + fund_id + share_class)</w:t>
            </w:r>
          </w:p>
        </w:tc>
        <w:tc>
          <w:tcPr>
            <w:tcBorders>
              <w:top w:val="single" w:color="BFBFBF" w:sz="4"/>
              <w:left w:val="single" w:color="BFBFBF" w:sz="4"/>
              <w:bottom w:val="single" w:color="BFBFBF" w:sz="4"/>
              <w:right w:val="single" w:color="BFBFBF" w:sz="4"/>
            </w:tcBorders>
            <w:vAlign w:val="center"/>
          </w:tcPr>
          <w:p>
            <w:pPr>
              <w:spacing w:after="36" w:before="36"/>
              <w:jc w:val="left"/>
            </w:pPr>
            <w:r>
              <w:rPr>
                <w:b w:val="false"/>
                <w:bCs w:val="false"/>
                <w:i w:val="false"/>
                <w:iCs w:val="false"/>
                <w:color w:val="000000"/>
                <w:sz w:val="18"/>
                <w:szCs w:val="18"/>
              </w:rPr>
              <w:t xml:space="preserve">No surrogate key needed — natural PK is the lookup key used by every evergreen transaction</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8"/>
                <w:szCs w:val="18"/>
              </w:rPr>
              <w:t xml:space="preserve">Self-referencing hierarchy</w:t>
            </w:r>
          </w:p>
        </w:tc>
        <w:tc>
          <w:tcPr>
            <w:tcBorders>
              <w:top w:val="single" w:color="BFBFBF" w:sz="4"/>
              <w:left w:val="single" w:color="BFBFBF" w:sz="4"/>
              <w:bottom w:val="single" w:color="BFBFBF" w:sz="4"/>
              <w:right w:val="single" w:color="BFBFBF" w:sz="4"/>
            </w:tcBorders>
            <w:vAlign w:val="center"/>
          </w:tcPr>
          <w:p>
            <w:pPr>
              <w:spacing w:after="36" w:before="36"/>
              <w:jc w:val="left"/>
            </w:pPr>
            <w:r>
              <w:rPr>
                <w:b w:val="false"/>
                <w:bCs w:val="false"/>
                <w:i w:val="false"/>
                <w:iCs w:val="false"/>
                <w:color w:val="000000"/>
                <w:sz w:val="18"/>
                <w:szCs w:val="18"/>
              </w:rPr>
              <w:t xml:space="preserve">ChartOfAccounts (parent_account_id)</w:t>
            </w:r>
          </w:p>
        </w:tc>
        <w:tc>
          <w:tcPr>
            <w:tcBorders>
              <w:top w:val="single" w:color="BFBFBF" w:sz="4"/>
              <w:left w:val="single" w:color="BFBFBF" w:sz="4"/>
              <w:bottom w:val="single" w:color="BFBFBF" w:sz="4"/>
              <w:right w:val="single" w:color="BFBFBF" w:sz="4"/>
            </w:tcBorders>
            <w:vAlign w:val="center"/>
          </w:tcPr>
          <w:p>
            <w:pPr>
              <w:spacing w:after="36" w:before="36"/>
              <w:jc w:val="left"/>
            </w:pPr>
            <w:r>
              <w:rPr>
                <w:b w:val="false"/>
                <w:bCs w:val="false"/>
                <w:i w:val="false"/>
                <w:iCs w:val="false"/>
                <w:color w:val="000000"/>
                <w:sz w:val="18"/>
                <w:szCs w:val="18"/>
              </w:rPr>
              <w:t xml:space="preserve">GL hierarchy modeled as adjacency list — account tree navigated by recursive CTE</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bCs/>
                <w:i w:val="false"/>
                <w:iCs w:val="false"/>
                <w:color w:val="000000"/>
                <w:sz w:val="18"/>
                <w:szCs w:val="18"/>
              </w:rPr>
              <w:t xml:space="preserve">Shared reference entity</w:t>
            </w:r>
          </w:p>
        </w:tc>
        <w:tc>
          <w:tcPr>
            <w:tcBorders>
              <w:top w:val="single" w:color="BFBFBF" w:sz="4"/>
              <w:left w:val="single" w:color="BFBFBF" w:sz="4"/>
              <w:bottom w:val="single" w:color="BFBFBF" w:sz="4"/>
              <w:right w:val="single" w:color="BFBFBF" w:sz="4"/>
            </w:tcBorders>
            <w:vAlign w:val="center"/>
          </w:tcPr>
          <w:p>
            <w:pPr>
              <w:spacing w:after="36" w:before="36"/>
              <w:jc w:val="left"/>
            </w:pPr>
            <w:r>
              <w:rPr>
                <w:b w:val="false"/>
                <w:bCs w:val="false"/>
                <w:i w:val="false"/>
                <w:iCs w:val="false"/>
                <w:color w:val="000000"/>
                <w:sz w:val="18"/>
                <w:szCs w:val="18"/>
              </w:rPr>
              <w:t xml:space="preserve">Investor (PE + EV); Broker (EV)</w:t>
            </w:r>
          </w:p>
        </w:tc>
        <w:tc>
          <w:tcPr>
            <w:tcBorders>
              <w:top w:val="single" w:color="BFBFBF" w:sz="4"/>
              <w:left w:val="single" w:color="BFBFBF" w:sz="4"/>
              <w:bottom w:val="single" w:color="BFBFBF" w:sz="4"/>
              <w:right w:val="single" w:color="BFBFBF" w:sz="4"/>
            </w:tcBorders>
            <w:vAlign w:val="center"/>
          </w:tcPr>
          <w:p>
            <w:pPr>
              <w:spacing w:after="36" w:before="36"/>
              <w:jc w:val="left"/>
            </w:pPr>
            <w:r>
              <w:rPr>
                <w:b w:val="false"/>
                <w:bCs w:val="false"/>
                <w:i w:val="false"/>
                <w:iCs w:val="false"/>
                <w:color w:val="000000"/>
                <w:sz w:val="18"/>
                <w:szCs w:val="18"/>
              </w:rPr>
              <w:t xml:space="preserve">Investor appears in both PE (as commitment holder) and EV (as account holder) — one entity bridges both sub-models</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8"/>
                <w:szCs w:val="18"/>
              </w:rPr>
              <w:t xml:space="preserve">Nullable identifier</w:t>
            </w:r>
          </w:p>
        </w:tc>
        <w:tc>
          <w:tcPr>
            <w:tcBorders>
              <w:top w:val="single" w:color="BFBFBF" w:sz="4"/>
              <w:left w:val="single" w:color="BFBFBF" w:sz="4"/>
              <w:bottom w:val="single" w:color="BFBFBF" w:sz="4"/>
              <w:right w:val="single" w:color="BFBFBF" w:sz="4"/>
            </w:tcBorders>
            <w:vAlign w:val="center"/>
          </w:tcPr>
          <w:p>
            <w:pPr>
              <w:spacing w:after="36" w:before="36"/>
              <w:jc w:val="left"/>
            </w:pPr>
            <w:r>
              <w:rPr>
                <w:b w:val="false"/>
                <w:bCs w:val="false"/>
                <w:i w:val="false"/>
                <w:iCs w:val="false"/>
                <w:color w:val="000000"/>
                <w:sz w:val="18"/>
                <w:szCs w:val="18"/>
              </w:rPr>
              <w:t xml:space="preserve">Offering.cusip, Offering.isin</w:t>
            </w:r>
          </w:p>
        </w:tc>
        <w:tc>
          <w:tcPr>
            <w:tcBorders>
              <w:top w:val="single" w:color="BFBFBF" w:sz="4"/>
              <w:left w:val="single" w:color="BFBFBF" w:sz="4"/>
              <w:bottom w:val="single" w:color="BFBFBF" w:sz="4"/>
              <w:right w:val="single" w:color="BFBFBF" w:sz="4"/>
            </w:tcBorders>
            <w:vAlign w:val="center"/>
          </w:tcPr>
          <w:p>
            <w:pPr>
              <w:spacing w:after="36" w:before="36"/>
              <w:jc w:val="left"/>
            </w:pPr>
            <w:r>
              <w:rPr>
                <w:b w:val="false"/>
                <w:bCs w:val="false"/>
                <w:i w:val="false"/>
                <w:iCs w:val="false"/>
                <w:color w:val="000000"/>
                <w:sz w:val="18"/>
                <w:szCs w:val="18"/>
              </w:rPr>
              <w:t xml:space="preserve">CUSIP is null for institutional LP interests; populated only for NSCC-eligible DOM-B and feeder SPV offerings</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bCs/>
                <w:i w:val="false"/>
                <w:iCs w:val="false"/>
                <w:color w:val="000000"/>
                <w:sz w:val="18"/>
                <w:szCs w:val="18"/>
              </w:rPr>
              <w:t xml:space="preserve">Status lifecycle</w:t>
            </w:r>
          </w:p>
        </w:tc>
        <w:tc>
          <w:tcPr>
            <w:tcBorders>
              <w:top w:val="single" w:color="BFBFBF" w:sz="4"/>
              <w:left w:val="single" w:color="BFBFBF" w:sz="4"/>
              <w:bottom w:val="single" w:color="BFBFBF" w:sz="4"/>
              <w:right w:val="single" w:color="BFBFBF" w:sz="4"/>
            </w:tcBorders>
            <w:vAlign w:val="center"/>
          </w:tcPr>
          <w:p>
            <w:pPr>
              <w:spacing w:after="36" w:before="36"/>
              <w:jc w:val="left"/>
            </w:pPr>
            <w:r>
              <w:rPr>
                <w:b w:val="false"/>
                <w:bCs w:val="false"/>
                <w:i w:val="false"/>
                <w:iCs w:val="false"/>
                <w:color w:val="000000"/>
                <w:sz w:val="18"/>
                <w:szCs w:val="18"/>
              </w:rPr>
              <w:t xml:space="preserve">Offering.status, CCNotice.status, CarriedInterest.carry_status</w:t>
            </w:r>
          </w:p>
        </w:tc>
        <w:tc>
          <w:tcPr>
            <w:tcBorders>
              <w:top w:val="single" w:color="BFBFBF" w:sz="4"/>
              <w:left w:val="single" w:color="BFBFBF" w:sz="4"/>
              <w:bottom w:val="single" w:color="BFBFBF" w:sz="4"/>
              <w:right w:val="single" w:color="BFBFBF" w:sz="4"/>
            </w:tcBorders>
            <w:vAlign w:val="center"/>
          </w:tcPr>
          <w:p>
            <w:pPr>
              <w:spacing w:after="36" w:before="36"/>
              <w:jc w:val="left"/>
            </w:pPr>
            <w:r>
              <w:rPr>
                <w:b w:val="false"/>
                <w:bCs w:val="false"/>
                <w:i w:val="false"/>
                <w:iCs w:val="false"/>
                <w:color w:val="000000"/>
                <w:sz w:val="18"/>
                <w:szCs w:val="18"/>
              </w:rPr>
              <w:t xml:space="preserve">All entities with lifecycle transitions carry a status field; no hard-delete — records are closed or superseded</w:t>
            </w:r>
          </w:p>
        </w:tc>
      </w:tr>
    </w:tbl>
    <w:sectPr w:rsidR="0046004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2A639E" w14:textId="77777777" w:rsidR="0073597E" w:rsidRDefault="0073597E">
      <w:r>
        <w:separator/>
      </w:r>
    </w:p>
  </w:endnote>
  <w:endnote w:type="continuationSeparator" w:id="0">
    <w:p w14:paraId="0CE945AA" w14:textId="77777777" w:rsidR="0073597E" w:rsidRDefault="007359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F0292" w14:textId="77777777" w:rsidR="0046004D" w:rsidRDefault="00000000">
    <w:pPr>
      <w:pBdr>
        <w:top w:val="single" w:sz="4" w:space="0" w:color="D1D9E6"/>
      </w:pBdr>
      <w:jc w:val="center"/>
    </w:pPr>
    <w:r>
      <w:rPr>
        <w:color w:val="CBD5E0"/>
        <w:sz w:val="16"/>
        <w:szCs w:val="16"/>
      </w:rPr>
      <w:t>Confidential · Working Draft · September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00F1C" w14:textId="77777777" w:rsidR="0073597E" w:rsidRDefault="0073597E">
      <w:r>
        <w:separator/>
      </w:r>
    </w:p>
  </w:footnote>
  <w:footnote w:type="continuationSeparator" w:id="0">
    <w:p w14:paraId="252AC1D5" w14:textId="77777777" w:rsidR="0073597E" w:rsidRDefault="007359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149D8" w14:textId="3E3A4055" w:rsidR="0046004D" w:rsidRPr="00592E03" w:rsidRDefault="00000000">
    <w:pPr>
      <w:pBdr>
        <w:bottom w:val="single" w:sz="4" w:space="0" w:color="D1D9E6"/>
      </w:pBdr>
      <w:tabs>
        <w:tab w:val="right" w:pos="9360"/>
      </w:tabs>
      <w:rPr>
        <w:color w:val="94A3B8"/>
        <w:sz w:val="16"/>
        <w:szCs w:val="16"/>
      </w:rPr>
    </w:pPr>
    <w:r>
      <w:rPr>
        <w:color w:val="94A3B8"/>
        <w:sz w:val="16"/>
        <w:szCs w:val="16"/>
      </w:rPr>
      <w:t>A</w:t>
    </w:r>
    <w:r w:rsidR="00592E03">
      <w:rPr>
        <w:color w:val="94A3B8"/>
        <w:sz w:val="16"/>
        <w:szCs w:val="16"/>
      </w:rPr>
      <w:t xml:space="preserve"> Semantic Product</w:t>
    </w:r>
    <w:r>
      <w:rPr>
        <w:color w:val="94A3B8"/>
        <w:sz w:val="16"/>
        <w:szCs w:val="16"/>
      </w:rPr>
      <w:t xml:space="preserve"> Data Model for Private Markets · </w:t>
    </w:r>
    <w:proofErr w:type="spellStart"/>
    <w:r>
      <w:rPr>
        <w:color w:val="94A3B8"/>
        <w:sz w:val="16"/>
        <w:szCs w:val="16"/>
      </w:rPr>
      <w:t>Ontollogix</w:t>
    </w:r>
    <w:proofErr w:type="spellEnd"/>
    <w:r>
      <w:rPr>
        <w:color w:val="94A3B8"/>
        <w:sz w:val="16"/>
        <w:szCs w:val="16"/>
      </w:rPr>
      <w:tab/>
      <w:t xml:space="preserve">Page </w:t>
    </w:r>
    <w:r>
      <w:rPr>
        <w:color w:val="94A3B8"/>
        <w:sz w:val="16"/>
        <w:szCs w:val="16"/>
      </w:rPr>
      <w:fldChar w:fldCharType="begin"/>
    </w:r>
    <w:r>
      <w:rPr>
        <w:color w:val="94A3B8"/>
        <w:sz w:val="16"/>
        <w:szCs w:val="16"/>
      </w:rPr>
      <w:instrText>PAGE</w:instrText>
    </w:r>
    <w:r>
      <w:rPr>
        <w:color w:val="94A3B8"/>
        <w:sz w:val="16"/>
        <w:szCs w:val="16"/>
      </w:rPr>
      <w:fldChar w:fldCharType="separate"/>
    </w:r>
    <w:r w:rsidR="00592E03">
      <w:rPr>
        <w:noProof/>
        <w:color w:val="94A3B8"/>
        <w:sz w:val="16"/>
        <w:szCs w:val="16"/>
      </w:rPr>
      <w:t>1</w:t>
    </w:r>
    <w:r>
      <w:rPr>
        <w:color w:val="94A3B8"/>
        <w:sz w:val="16"/>
        <w:szCs w:val="16"/>
      </w:rPr>
      <w:fldChar w:fldCharType="end"/>
    </w:r>
    <w:r>
      <w:rPr>
        <w:color w:val="94A3B8"/>
        <w:sz w:val="16"/>
        <w:szCs w:val="16"/>
      </w:rPr>
      <w:t xml:space="preserve"> of </w:t>
    </w:r>
    <w:r>
      <w:rPr>
        <w:color w:val="94A3B8"/>
        <w:sz w:val="16"/>
        <w:szCs w:val="16"/>
      </w:rPr>
      <w:fldChar w:fldCharType="begin"/>
    </w:r>
    <w:r>
      <w:rPr>
        <w:color w:val="94A3B8"/>
        <w:sz w:val="16"/>
        <w:szCs w:val="16"/>
      </w:rPr>
      <w:instrText>NUMPAGES</w:instrText>
    </w:r>
    <w:r>
      <w:rPr>
        <w:color w:val="94A3B8"/>
        <w:sz w:val="16"/>
        <w:szCs w:val="16"/>
      </w:rPr>
      <w:fldChar w:fldCharType="separate"/>
    </w:r>
    <w:r w:rsidR="00592E03">
      <w:rPr>
        <w:noProof/>
        <w:color w:val="94A3B8"/>
        <w:sz w:val="16"/>
        <w:szCs w:val="16"/>
      </w:rPr>
      <w:t>1</w:t>
    </w:r>
    <w:r>
      <w:rPr>
        <w:color w:val="94A3B8"/>
        <w:sz w:val="16"/>
        <w:szCs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CF6118"/>
    <w:multiLevelType w:val="hybridMultilevel"/>
    <w:tmpl w:val="92E0130C"/>
    <w:lvl w:ilvl="0" w:tplc="1C52D73C">
      <w:start w:val="1"/>
      <w:numFmt w:val="bullet"/>
      <w:lvlText w:val="●"/>
      <w:lvlJc w:val="left"/>
      <w:pPr>
        <w:ind w:left="720" w:hanging="360"/>
      </w:pPr>
    </w:lvl>
    <w:lvl w:ilvl="1" w:tplc="94924296">
      <w:start w:val="1"/>
      <w:numFmt w:val="bullet"/>
      <w:lvlText w:val="○"/>
      <w:lvlJc w:val="left"/>
      <w:pPr>
        <w:ind w:left="1440" w:hanging="360"/>
      </w:pPr>
    </w:lvl>
    <w:lvl w:ilvl="2" w:tplc="FFBA2F18">
      <w:start w:val="1"/>
      <w:numFmt w:val="bullet"/>
      <w:lvlText w:val="■"/>
      <w:lvlJc w:val="left"/>
      <w:pPr>
        <w:ind w:left="2160" w:hanging="360"/>
      </w:pPr>
    </w:lvl>
    <w:lvl w:ilvl="3" w:tplc="3A449E20">
      <w:start w:val="1"/>
      <w:numFmt w:val="bullet"/>
      <w:lvlText w:val="●"/>
      <w:lvlJc w:val="left"/>
      <w:pPr>
        <w:ind w:left="2880" w:hanging="360"/>
      </w:pPr>
    </w:lvl>
    <w:lvl w:ilvl="4" w:tplc="A39625DC">
      <w:start w:val="1"/>
      <w:numFmt w:val="bullet"/>
      <w:lvlText w:val="○"/>
      <w:lvlJc w:val="left"/>
      <w:pPr>
        <w:ind w:left="3600" w:hanging="360"/>
      </w:pPr>
    </w:lvl>
    <w:lvl w:ilvl="5" w:tplc="BCA22056">
      <w:start w:val="1"/>
      <w:numFmt w:val="bullet"/>
      <w:lvlText w:val="■"/>
      <w:lvlJc w:val="left"/>
      <w:pPr>
        <w:ind w:left="4320" w:hanging="360"/>
      </w:pPr>
    </w:lvl>
    <w:lvl w:ilvl="6" w:tplc="E946C414">
      <w:start w:val="1"/>
      <w:numFmt w:val="bullet"/>
      <w:lvlText w:val="●"/>
      <w:lvlJc w:val="left"/>
      <w:pPr>
        <w:ind w:left="5040" w:hanging="360"/>
      </w:pPr>
    </w:lvl>
    <w:lvl w:ilvl="7" w:tplc="D98AFF44">
      <w:start w:val="1"/>
      <w:numFmt w:val="bullet"/>
      <w:lvlText w:val="●"/>
      <w:lvlJc w:val="left"/>
      <w:pPr>
        <w:ind w:left="5760" w:hanging="360"/>
      </w:pPr>
    </w:lvl>
    <w:lvl w:ilvl="8" w:tplc="659A62B6">
      <w:start w:val="1"/>
      <w:numFmt w:val="bullet"/>
      <w:lvlText w:val="●"/>
      <w:lvlJc w:val="left"/>
      <w:pPr>
        <w:ind w:left="6480" w:hanging="360"/>
      </w:pPr>
    </w:lvl>
  </w:abstractNum>
  <w:abstractNum w:abstractNumId="1" w15:restartNumberingAfterBreak="0">
    <w:nsid w:val="7AF273EC"/>
    <w:multiLevelType w:val="hybridMultilevel"/>
    <w:tmpl w:val="06C2B2E4"/>
    <w:lvl w:ilvl="0" w:tplc="883CCAB4">
      <w:start w:val="1"/>
      <w:numFmt w:val="bullet"/>
      <w:lvlText w:val="•"/>
      <w:lvlJc w:val="left"/>
      <w:pPr>
        <w:ind w:left="720" w:hanging="360"/>
      </w:pPr>
    </w:lvl>
    <w:lvl w:ilvl="1" w:tplc="006CACA2">
      <w:start w:val="1"/>
      <w:numFmt w:val="bullet"/>
      <w:lvlText w:val="◦"/>
      <w:lvlJc w:val="left"/>
      <w:pPr>
        <w:ind w:left="1080" w:hanging="360"/>
      </w:pPr>
    </w:lvl>
    <w:lvl w:ilvl="2" w:tplc="6A384CE6">
      <w:numFmt w:val="decimal"/>
      <w:lvlText w:val=""/>
      <w:lvlJc w:val="left"/>
    </w:lvl>
    <w:lvl w:ilvl="3" w:tplc="8130B6E4">
      <w:numFmt w:val="decimal"/>
      <w:lvlText w:val=""/>
      <w:lvlJc w:val="left"/>
    </w:lvl>
    <w:lvl w:ilvl="4" w:tplc="CEC4B224">
      <w:numFmt w:val="decimal"/>
      <w:lvlText w:val=""/>
      <w:lvlJc w:val="left"/>
    </w:lvl>
    <w:lvl w:ilvl="5" w:tplc="A118A78A">
      <w:numFmt w:val="decimal"/>
      <w:lvlText w:val=""/>
      <w:lvlJc w:val="left"/>
    </w:lvl>
    <w:lvl w:ilvl="6" w:tplc="E2D23F1A">
      <w:numFmt w:val="decimal"/>
      <w:lvlText w:val=""/>
      <w:lvlJc w:val="left"/>
    </w:lvl>
    <w:lvl w:ilvl="7" w:tplc="5644E926">
      <w:numFmt w:val="decimal"/>
      <w:lvlText w:val=""/>
      <w:lvlJc w:val="left"/>
    </w:lvl>
    <w:lvl w:ilvl="8" w:tplc="1AD4833A">
      <w:numFmt w:val="decimal"/>
      <w:lvlText w:val=""/>
      <w:lvlJc w:val="left"/>
    </w:lvl>
  </w:abstractNum>
  <w:num w:numId="1" w16cid:durableId="9001000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004D"/>
    <w:rsid w:val="0046004D"/>
    <w:rsid w:val="00592E03"/>
    <w:rsid w:val="0073597E"/>
    <w:rsid w:val="00C27A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47896"/>
  <w15:docId w15:val="{C4E24FCC-2A1D-469F-BCB1-41B4E43B0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4A5568"/>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60"/>
      <w:outlineLvl w:val="0"/>
    </w:pPr>
    <w:rPr>
      <w:b/>
      <w:bCs/>
      <w:color w:val="1B2A4A"/>
      <w:sz w:val="32"/>
      <w:szCs w:val="32"/>
    </w:rPr>
  </w:style>
  <w:style w:type="paragraph" w:styleId="Heading2">
    <w:name w:val="heading 2"/>
    <w:uiPriority w:val="9"/>
    <w:unhideWhenUsed/>
    <w:qFormat/>
    <w:pPr>
      <w:spacing w:before="320" w:after="120"/>
      <w:outlineLvl w:val="1"/>
    </w:pPr>
    <w:rPr>
      <w:b/>
      <w:bCs/>
      <w:color w:val="1B2A4A"/>
      <w:sz w:val="26"/>
      <w:szCs w:val="26"/>
    </w:rPr>
  </w:style>
  <w:style w:type="paragraph" w:styleId="Heading3">
    <w:name w:val="heading 3"/>
    <w:uiPriority w:val="9"/>
    <w:unhideWhenUsed/>
    <w:qFormat/>
    <w:pPr>
      <w:spacing w:before="200" w:after="80"/>
      <w:outlineLvl w:val="2"/>
    </w:pPr>
    <w:rPr>
      <w:b/>
      <w:bCs/>
      <w:i/>
      <w:i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92E03"/>
    <w:pPr>
      <w:spacing w:after="100"/>
    </w:pPr>
  </w:style>
  <w:style w:type="paragraph" w:styleId="TOC2">
    <w:name w:val="toc 2"/>
    <w:basedOn w:val="Normal"/>
    <w:next w:val="Normal"/>
    <w:autoRedefine/>
    <w:uiPriority w:val="39"/>
    <w:unhideWhenUsed/>
    <w:rsid w:val="00592E03"/>
    <w:pPr>
      <w:spacing w:after="100"/>
      <w:ind w:left="220"/>
    </w:pPr>
  </w:style>
  <w:style w:type="paragraph" w:styleId="TOC3">
    <w:name w:val="toc 3"/>
    <w:basedOn w:val="Normal"/>
    <w:next w:val="Normal"/>
    <w:autoRedefine/>
    <w:uiPriority w:val="39"/>
    <w:unhideWhenUsed/>
    <w:rsid w:val="00592E03"/>
    <w:pPr>
      <w:spacing w:after="100"/>
      <w:ind w:left="440"/>
    </w:pPr>
  </w:style>
  <w:style w:type="paragraph" w:styleId="Header">
    <w:name w:val="header"/>
    <w:basedOn w:val="Normal"/>
    <w:link w:val="HeaderChar"/>
    <w:uiPriority w:val="99"/>
    <w:unhideWhenUsed/>
    <w:rsid w:val="00592E03"/>
    <w:pPr>
      <w:tabs>
        <w:tab w:val="center" w:pos="4680"/>
        <w:tab w:val="right" w:pos="9360"/>
      </w:tabs>
    </w:pPr>
  </w:style>
  <w:style w:type="character" w:customStyle="1" w:styleId="HeaderChar">
    <w:name w:val="Header Char"/>
    <w:basedOn w:val="DefaultParagraphFont"/>
    <w:link w:val="Header"/>
    <w:uiPriority w:val="99"/>
    <w:rsid w:val="00592E03"/>
  </w:style>
  <w:style w:type="paragraph" w:styleId="Footer">
    <w:name w:val="footer"/>
    <w:basedOn w:val="Normal"/>
    <w:link w:val="FooterChar"/>
    <w:uiPriority w:val="99"/>
    <w:unhideWhenUsed/>
    <w:rsid w:val="00592E03"/>
    <w:pPr>
      <w:tabs>
        <w:tab w:val="center" w:pos="4680"/>
        <w:tab w:val="right" w:pos="9360"/>
      </w:tabs>
    </w:pPr>
  </w:style>
  <w:style w:type="character" w:customStyle="1" w:styleId="FooterChar">
    <w:name w:val="Footer Char"/>
    <w:basedOn w:val="DefaultParagraphFont"/>
    <w:link w:val="Footer"/>
    <w:uiPriority w:val="99"/>
    <w:rsid w:val="00592E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8726</Words>
  <Characters>49742</Characters>
  <Application>Microsoft Office Word</Application>
  <DocSecurity>0</DocSecurity>
  <Lines>414</Lines>
  <Paragraphs>116</Paragraphs>
  <ScaleCrop>false</ScaleCrop>
  <Company/>
  <LinksUpToDate>false</LinksUpToDate>
  <CharactersWithSpaces>58352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Data Model for Private Markets</dc:title>
  <dc:creator>Kartik Muddu / Ontollogix</dc:creator>
  <dc:description>Product → Fund → Vehicle → Offering — Design decisions and reference dataset</dc:description>
  <cp:lastModifiedBy>Venkatesh Muddu</cp:lastModifiedBy>
  <cp:revision>3</cp:revision>
  <dcterms:created xsi:type="dcterms:W3CDTF">2026-08-11T14:27:00Z</dcterms:created>
  <dcterms:modified xsi:type="dcterms:W3CDTF">2026-08-11T14:45:00Z</dcterms:modified>
</cp:coreProperties>
</file>