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60"/>
          <w:szCs w:val="60"/>
        </w:rPr>
        <w:t xml:space="preserve">Transaction E2E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8"/>
          <w:szCs w:val="28"/>
        </w:rPr>
        <w:t xml:space="preserve">PE Fund Transaction Flow — End to End</w:t>
      </w:r>
    </w:p>
    <w:p>
      <w:pPr>
        <w:pBdr>
          <w:bottom w:val="single" w:color="D0D7E8" w:sz="6"/>
        </w:pBd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4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Covers: Transfer Agency  ·  Fund Administration  ·  Custodian  ·  Regulatory  ·  External Audit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Drawdown Fund (Traditional PE)  ·  Evergreen Fund (Semi-liquid / Open-ended)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2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Apollo Advisors  ·  August 2026</w:t>
      </w:r>
    </w:p>
    <w:p>
      <w:pPr>
        <w:spacing w:after="0" w:before="0"/>
      </w:pPr>
      <w:r>
        <w:br w:type="page"/>
      </w:r>
    </w:p>
    <w:p>
      <w:pPr>
        <w:pStyle w:val="Heading1"/>
        <w:spacing w:after="100" w:before="240"/>
      </w:pPr>
      <w:r>
        <w:t xml:space="preserve">1.  Drawdown Fund — Transaction Flow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A Drawdown (or closed-end) fund requires LPs to commit capital upfront. The GP issues capital calls as investments are identified, drawing down committed but unfunded capital on a deal-by-deal basis. Distributions are returned to LPs upon exit. The fund has a defined life (typically 10–12 years) with an investment period of 4–6 years.</w:t>
      </w:r>
    </w:p>
    <w:p>
      <w:pPr>
        <w:pStyle w:val="Heading2"/>
        <w:spacing w:after="100" w:before="240"/>
      </w:pPr>
      <w:r>
        <w:t xml:space="preserve">1.1  Swimlane Diagram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Rows represent service providers; columns represent lifecycle phases. Each cell shows the actions taken by that party in that phase.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700"/>
        <w:gridCol w:w="2700"/>
        <w:gridCol w:w="2700"/>
        <w:gridCol w:w="2700"/>
        <w:gridCol w:w="2700"/>
      </w:tblGrid>
      <w:tr>
        <w:trPr>
          <w:tblHeader/>
        </w:trP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7B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① Commitment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38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② Capital Call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8B5C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③ Investment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59E0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④ Monitor &amp; Report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F44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⑤ Exit &amp; Distribute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3E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Executes Subscription Docs &amp; LPA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Confirms Commitment Amount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Capital Call Notice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Wires Funds (within 10 days)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Awaits deployment confirmation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Reviews Quarterly Reports &amp; K-1 / Schedule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Distribution Payment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556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KYC / AML / Sanctions Screening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Register &amp; Cap Table Setup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Issues &amp; Distributes Call Notices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Tracks Received Wires / Defaults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Updates Unfunded Commitment Ledger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Maintains LP Ownership Records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Distributes Quarterly Statements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Distribution Instructions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Processes Payments to LP Bank Accounts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6A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Fund Administrator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Reviews Subscription Docs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Opens Fund GL / Books Commitment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Records Capital Call in GL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Confirms Wire Receipt from Custodian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Books Investment at Cost in GL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Updates Portfolio Schedule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Prepares NAV / Financial Statements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Capital Account Statements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Provides Audit Support Package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Calculates Waterfall &amp; Carried Interest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Books Distribution in GL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Issues Distribution Instruction to TA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Closes Fund / Investment Period Begins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Establishes IC &amp; Investment Policy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IC Approves Deal &amp; Authorises Call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Instructs TA to Issue Capital Call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Executes SPA / Investment Docs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Instructs Custodian to Wire Purchase Price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Manages Portfolio Company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Provides Quarterly Fair Value Marks (IPEV)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Board Representation at Portfolio Cos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Negotiates Exit (Trade Sale / IPO / Secondary)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Exit Proceeds &amp; Authorises Distribution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A3E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Custodian / Bank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Opens Fund Custody Account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LP Wire Proceeds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Confirms Receipt to Fund Admin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Wires Purchase Price to Seller on GP Instruction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Holds Fund Assets &amp; Cash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Provides Cash &amp; Position Reconciliation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Exit Proceeds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Executes Distribution Wires to LPs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B3F2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Regulatory Bodies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Registration (SEC / FCA / AIFMD)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AML / Sanctions Check at LP Onboarding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CFIUS / FARA if cross-border (if applicable)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Form PF / AIFMD Annex IV Filing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FATCA / CRS Annual Reporting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ADV Updates (if RIA registered)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Large Disposal Notifications (if required)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Wind-down / Fund Deregistration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4A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Reviews LPA &amp; Fund Docs at Inception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Agrees Accounting Policies (ASC 946 / IFRS)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Financial Statement Audit (PCAOB / IAASB)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Validates Fair Value Methodology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Issues Audit Opinion to LPs</w:t>
            </w:r>
          </w:p>
        </w:tc>
        <w:tc>
          <w:tcPr>
            <w:tcW w:type="dxa" w:w="27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Audits Final Distribution &amp; Wind-down Accounts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7BE5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Commitment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B38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Capital 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5CF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Investment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59E0B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Monitor &amp; 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F4444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Exit &amp; Distribute</w:t>
      </w:r>
    </w:p>
    <w:p>
      <w:pPr>
        <w:spacing w:after="0" w:before="0"/>
      </w:pPr>
      <w:r>
        <w:br w:type="page"/>
      </w:r>
    </w:p>
    <w:p>
      <w:pPr>
        <w:pStyle w:val="Heading2"/>
        <w:spacing w:after="100" w:before="240"/>
      </w:pPr>
      <w:r>
        <w:t xml:space="preserve">1.2  Sequence Diagram — Message Flow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Step-by-step message flow between all parties. Read sequentially from step 1 (LP onboarding) through step 39 (final audit opinion).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1400"/>
        <w:gridCol w:w="1560"/>
        <w:gridCol w:w="1560"/>
        <w:gridCol w:w="9320"/>
      </w:tblGrid>
      <w:tr>
        <w:trPr>
          <w:tblHeader/>
        </w:trPr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93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 / Message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Submit Subscription Docs &amp; LPA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KYC / AML / Sanctions Screening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 Cleared — Onboarding Approved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Register LP in Cap Table &amp; GL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Account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Subscription Confirmation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Registration (SEC / FCA / AIFMD)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IC Approval — Initiate Capital Call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 Capital Call Instruction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Distribute Capital Call Notice (10-day wire deadline)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Funds to Fund Account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Receipt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Record Capital Call in General Ledger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Capital Available —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Capital Call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 Unfunded Commitment Ledger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Investment Approval (IC Memo + SPA)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Release Purchase Price Wire (per GP instruction)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Execution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 Investment at Cost in GL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 Portfolio Schedule for LPs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Quarterly Fair Value Marks (IPEV Guidelines)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Prepare NAV &amp; Financial Statements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 LP Capital Account Statements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Quarterly Report &amp; K-1 / Tax Schedule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Provide Annual Audit Support Package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Audit (ASC 946 / IFRS 10) — Fair Value Review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Audited Financial Statements Distributed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File Form PF / AIFMD Annex IV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Monitor &amp; Report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B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FATCA / CRS Annual Reporting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 Exit Proceeds (Trade Sale / IPO)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Exit Proceeds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Calculate Distribution Waterfall &amp; Carried Interest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Waterfall Calculation — Approval Request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Distribution Authorised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 Distribution Instructions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Payment Instructions per LP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LP / 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Distribution Proceeds to LP Bank Accounts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Wind-down Financial Statements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Exit &amp; Distribute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Final Audit Opinion Issued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7BE5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Commitment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B38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Capital 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5CF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Investment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59E0B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Monitor &amp; 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F4444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Exit &amp; Distribute</w:t>
      </w:r>
    </w:p>
    <w:p>
      <w:pPr>
        <w:spacing w:after="0" w:before="0"/>
      </w:pPr>
      <w:r>
        <w:br w:type="page"/>
      </w:r>
    </w:p>
    <w:p>
      <w:pPr>
        <w:pStyle w:val="Heading1"/>
        <w:spacing w:after="100" w:before="240"/>
      </w:pPr>
      <w:r>
        <w:t xml:space="preserve">2.  Evergreen Fund — Transaction Flow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An Evergreen (open-ended or semi-liquid) fund accepts subscriptions on a recurring basis (monthly or quarterly) at NAV and allows periodic redemptions subject to gates and lock-up periods. Capital is continuously recycled — exit proceeds are redeployed rather than distributed. NAV is calculated regularly and acts as the pricing mechanism for both subscriptions and redemptions.</w:t>
      </w:r>
    </w:p>
    <w:p>
      <w:pPr>
        <w:pStyle w:val="Heading2"/>
        <w:spacing w:after="100" w:before="240"/>
      </w:pPr>
      <w:r>
        <w:t xml:space="preserve">2.1  Swimlane Diagram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Subscription and Redemption phases can run concurrently with Ongoing Operations. The fund has no fixed end date.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375"/>
        <w:gridCol w:w="3375"/>
        <w:gridCol w:w="3375"/>
        <w:gridCol w:w="3375"/>
      </w:tblGrid>
      <w:tr>
        <w:trPr>
          <w:tblHeader/>
        </w:trP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3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7B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① Subscription</w:t>
            </w:r>
          </w:p>
        </w:tc>
        <w:tc>
          <w:tcPr>
            <w:tcW w:type="dxa" w:w="33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8B5C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② Deployment</w:t>
            </w:r>
          </w:p>
        </w:tc>
        <w:tc>
          <w:tcPr>
            <w:tcW w:type="dxa" w:w="33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38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③ Ongoing Operations</w:t>
            </w:r>
          </w:p>
        </w:tc>
        <w:tc>
          <w:tcPr>
            <w:tcW w:type="dxa" w:w="33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F44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④ Redemption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3E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Investor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Submits Subscription Form &amp; KYC Docs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Wires Subscription Amount at NAV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Unit / Share Confirmation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Awaits deployment updates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Periodic NAV Statements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Income Distributions (if applicable)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Submits Redemption Request (subject to gate / lock-up)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Redemption Proceeds at NAV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556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KYC / AML / Accreditation / Suitability Check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Creates Investor Account in Share Register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Issues Shares / Units at Current NAV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Updates pipeline if staged capital deployment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Maintains Share Register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Processes Secondary Transfers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Distributes Investor Statements &amp; Tax Docs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Validates Gate / Lock-up Eligibility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Cancels Units — Updates Share Register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Sends Payment Instruction to Custodian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6A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Fund Administrator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Books Subscription in GL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Calculates NAV per Share (Subscription Date)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Records Investment Cost / Portfolio Draw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Reconciles Cash Deployed vs. Subscribed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Monthly / Quarterly NAV Calculation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 Capital Account Statements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Income Distribution Calculation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Liquidity Sleeve Monitoring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Financial Statements for Audit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Calculates Redemption NAV per Share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Books Redemption in GL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Issues Payment Instruction to Custodian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Sets Subscription Policy, NAV Frequency &amp; Pricing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Defines Eligible Investor Criteria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IC Approves Investments Continuously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Deploys Capital into PE / Credit Assets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Manages Portfolio — Fair Value Marks (IPEV / ASC 820)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Manages Liquid Sleeve for Redemptions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Determines Gate / Side-pocket Triggers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Approves / Gates Redemption Queue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Manages Liquidity to Fund Redemptions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A3E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Custodian / Bank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Receives Investor Subscription Wire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Confirms Receipt to TA &amp; Fund Admin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Executes Investment Wires on GP Instruction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Holds Fund Assets, Cash &amp; Liquid Sleeve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Provides Cash &amp; Position Reconciliation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Wires Redemption Proceeds to Investor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B3F2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Regulatory Bodies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Registration (40 Act / AIFMD / FCA)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 Suitability &amp; Accreditation Rules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Concentration / Leverage Limit Monitoring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Form PF / ADV / AIFMD Annex IV Reporting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FATCA / CRS Annual Filing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NAV Valuation Policy Oversight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Gate / Side-pocket Disclosure Requirements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Liquidity Risk Reporting (AIFMD Art. 16)</w:t>
            </w:r>
          </w:p>
        </w:tc>
      </w:tr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4A6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Reviews Subscription &amp; Valuation Policies at Launch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Agrees Accounting Framework (IFRS / US GAAP)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—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Financial Statement Audit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NAV Methodology &amp; Fair Value Testing (ASC 820)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SOC 1 / ISAE 3402 — Fund Admin Controls Review</w:t>
            </w:r>
          </w:p>
        </w:tc>
        <w:tc>
          <w:tcPr>
            <w:tcW w:type="dxa" w:w="3375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›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Reviews Gate &amp; Side-pocket Disclosures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7BE5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Subscription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5CF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Deployment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B38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Ongoing Operations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F4444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Redemption</w:t>
      </w:r>
    </w:p>
    <w:p>
      <w:pPr>
        <w:spacing w:after="0" w:before="0"/>
      </w:pPr>
      <w:r>
        <w:br w:type="page"/>
      </w:r>
    </w:p>
    <w:p>
      <w:pPr>
        <w:pStyle w:val="Heading2"/>
        <w:spacing w:after="100" w:before="240"/>
      </w:pPr>
      <w:r>
        <w:t xml:space="preserve">2.2  Sequence Diagram — Message Flow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Step-by-step message flow across all parties. Steps 1–9 cover subscription; 10–14 deployment; 15–24 ongoing operations; 25–34 redemption.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1400"/>
        <w:gridCol w:w="1560"/>
        <w:gridCol w:w="1560"/>
        <w:gridCol w:w="9320"/>
      </w:tblGrid>
      <w:tr>
        <w:trPr>
          <w:tblHeader/>
        </w:trPr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93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 / Message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Submit Subscription Form &amp; KYC Docs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AML / Accreditation / Suitability Check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 Approved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Current NAV per Share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Issue Units / Shares at NAV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Subscription Amount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Subscription Wire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 Subscription in GL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Registration (40 Act / AIFMD / FCA)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Investment Decision (IC Approval)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Instruct Investment Wire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Execution Confirmed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 Investment at Cost in GL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3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 Portfolio / Investor Capital Accounts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Monthly Fair Value Marks (ASC 820 / IPEV)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Calculate NAV per Share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Updated NAV &amp; Capital Account Data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Periodic Statements &amp; Tax Documents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19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Cash &amp; Position Reconciliation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Financial Statements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Annual Audit + NAV Methodology Review + SOC 1 / ISAE 3402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External Audit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Audited Financials Distributed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Form PF / ADV / AIFMD Annex IV Filing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Ongoing Ops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6F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FATCA / CRS Annual Reporting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25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Submit Redemption Request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26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Gate / Lock-up Eligibility Check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27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Approved (or gated / queued)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Redemption NAV per Share (as of dealing date)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29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Cancel Units in Share Register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30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Transfer Agent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Redemption Booking Instruction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31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Book Redemption in GL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32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Fund Admin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Payment Instruction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33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Custodian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Investor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Wire Redemption Proceeds</w:t>
            </w:r>
          </w:p>
        </w:tc>
      </w:tr>
      <w:tr>
        <w:tc>
          <w:tcPr>
            <w:tcW w:type="dxa" w:w="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34</w:t>
            </w:r>
          </w:p>
        </w:tc>
        <w:tc>
          <w:tcPr>
            <w:tcW w:type="dxa" w:w="1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5"/>
                <w:szCs w:val="15"/>
              </w:rPr>
              <w:t xml:space="preserve">Redemption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GP / Manager</w:t>
            </w:r>
          </w:p>
        </w:tc>
        <w:tc>
          <w:tcPr>
            <w:tcW w:type="dxa" w:w="156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Regulatory</w:t>
            </w:r>
          </w:p>
        </w:tc>
        <w:tc>
          <w:tcPr>
            <w:tcW w:type="dxa" w:w="932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E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Gate / Side-pocket Disclosure (if triggered)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7BE5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Subscription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5CF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Deployment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B386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Ongoing Operations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F4444"/>
          <w:sz w:val="16"/>
          <w:szCs w:val="16"/>
        </w:rPr>
        <w:t xml:space="preserve">■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Redemption</w:t>
      </w:r>
    </w:p>
    <w:p>
      <w:pPr>
        <w:spacing w:after="0" w:before="0"/>
      </w:pPr>
      <w:r>
        <w:br w:type="page"/>
      </w:r>
    </w:p>
    <w:p>
      <w:pPr>
        <w:pStyle w:val="Heading1"/>
        <w:spacing w:after="100" w:before="240"/>
      </w:pPr>
      <w:r>
        <w:t xml:space="preserve">3.  Key Participants &amp; Roles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8"/>
          <w:szCs w:val="18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&amp; Responsibilities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LP / Investor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8FA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Commits capital (drawdown) or subscribes at NAV (evergreen). Receives distributions or redemption proceeds. Reviews audited financials and regulatory filings.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Transfer Agent (TA)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Performs investor onboarding (KYC/AML), maintains the share / LP register, distributes capital call notices and investor statements, and executes payment instructions.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Fund Administrator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8FA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Maintains the fund's general ledger, calculates NAV, prepares financial statements, tracks portfolio valuations, and produces LP / investor capital account statements. Serves as the primary counterparty to the auditor.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GP / Manager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Makes all investment decisions via the Investment Committee, issues capital calls (drawdown) or sets subscription policy (evergreen), manages portfolio companies, determines fair value marks, and authorises distributions.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Custodian / Bank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8FA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Holds fund assets and cash, settles wires (subscription receipts, investment disbursements, distributions, redemption payments), and provides daily cash and position reconciliation to the Fund Admin.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4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Regulatory Bodies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Include the SEC (Form PF, ADV), FCA / ESMA (AIFMD Annex IV), tax authorities (FATCA / CRS), and any local regulators. The Fund Admin typically files on behalf of the fund.</w:t>
            </w:r>
          </w:p>
        </w:tc>
      </w:tr>
      <w:tr>
        <w:tc>
          <w:tcPr>
            <w:tcW w:type="dxa" w:w="24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EB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External Auditor</w:t>
            </w:r>
          </w:p>
        </w:tc>
        <w:tc>
          <w:tcPr>
            <w:tcW w:type="dxa" w:w="12000"/>
            <w:tcBorders>
              <w:top w:val="single" w:color="D0D7E8" w:sz="4"/>
              <w:left w:val="single" w:color="D0D7E8" w:sz="4"/>
              <w:bottom w:val="single" w:color="D0D7E8" w:sz="4"/>
              <w:right w:val="single" w:color="D0D7E8" w:sz="4"/>
            </w:tcBorders>
            <w:shd w:fill="F8FA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Conducts annual financial statement audits (ASC 946 / IFRS 10), validates fair value methodology (ASC 820 / IPEV), reviews Fund Admin controls (SOC 1 / ISAE 3402), and issues the audit opinion distributed to investors.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E2E — PE Fund Transaction Flow</dc:title>
  <dc:creator>Apollo Advisors</dc:creator>
  <dc:description>End-to-end transaction flow for Drawdown and Evergreen PE funds</dc:description>
  <cp:lastModifiedBy>Un-named</cp:lastModifiedBy>
  <cp:revision>1</cp:revision>
  <dcterms:created xsi:type="dcterms:W3CDTF">2026-08-12T15:54:19.577Z</dcterms:created>
  <dcterms:modified xsi:type="dcterms:W3CDTF">2026-08-12T15:54:19.579Z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