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pPr>
    </w:p>
    <w:p>
      <w:pPr>
        <w:pStyle w:val="Heading1"/>
        <w:spacing w:after="100" w:before="280"/>
      </w:pPr>
      <w:r>
        <w:rPr>
          <w:rFonts w:ascii="Calibri" w:cs="Calibri" w:eastAsia="Calibri" w:hAnsi="Calibri"/>
          <w:b/>
          <w:bCs/>
          <w:color w:val="1F2937"/>
          <w:sz w:val="30"/>
          <w:szCs w:val="30"/>
        </w:rPr>
        <w:t xml:space="preserve">Part 5 — Handling Sparse Data: Name-Change &amp; Team Update Detection</w:t>
      </w:r>
    </w:p>
    <w:p>
      <w:pPr>
        <w:spacing w:after="80" w:before="0"/>
      </w:pPr>
      <w:r>
        <w:rPr>
          <w:rFonts w:ascii="Calibri" w:cs="Calibri" w:eastAsia="Calibri" w:hAnsi="Calibri"/>
          <w:i w:val="false"/>
          <w:iCs w:val="false"/>
          <w:color w:val="1F2937"/>
          <w:sz w:val="22"/>
          <w:szCs w:val="22"/>
        </w:rPr>
        <w:t xml:space="preserve">This section addresses the hardest real-world constraint: source feeds contain only team_name, firm_name, lead_name, and a sparsely populated address field. There are no source record IDs, no CRD numbers, no email addresses, no phone numbers, and no member lists. This changes the matching and update-detection strategy fundamentally.</w:t>
      </w:r>
    </w:p>
    <w:p>
      <w:pPr>
        <w:spacing w:after="60" w:before="0"/>
      </w:pPr>
    </w:p>
    <w:p>
      <w:pPr>
        <w:pStyle w:val="Heading2"/>
        <w:spacing w:after="80" w:before="220"/>
      </w:pPr>
      <w:r>
        <w:rPr>
          <w:rFonts w:ascii="Calibri" w:cs="Calibri" w:eastAsia="Calibri" w:hAnsi="Calibri"/>
          <w:b/>
          <w:bCs/>
          <w:color w:val="1F2937"/>
          <w:sz w:val="25"/>
          <w:szCs w:val="25"/>
        </w:rPr>
        <w:t xml:space="preserve">5.1  Why CRD Numbers Are Absent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5480"/>
        <w:gridCol w:w="2400"/>
      </w:tblGrid>
      <w:tr>
        <w:trPr>
          <w:tblHeader/>
        </w:trPr>
        <w:tc>
          <w:tcPr>
            <w:tcW w:type="dxa" w:w="220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Reason</w:t>
            </w:r>
          </w:p>
        </w:tc>
        <w:tc>
          <w:tcPr>
            <w:tcW w:type="dxa" w:w="548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Detail</w:t>
            </w:r>
          </w:p>
        </w:tc>
        <w:tc>
          <w:tcPr>
            <w:tcW w:type="dxa" w:w="240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Prevalence</w:t>
            </w:r>
          </w:p>
        </w:tc>
      </w:tr>
      <w:tr>
        <w:tc>
          <w:tcPr>
            <w:tcW w:type="dxa" w:w="22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F2937"/>
                <w:sz w:val="21"/>
                <w:szCs w:val="21"/>
              </w:rPr>
              <w:t xml:space="preserve">RIA-only firm</w:t>
            </w:r>
          </w:p>
        </w:tc>
        <w:tc>
          <w:tcPr>
            <w:tcW w:type="dxa" w:w="5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SEC or state-registered investment advisors are not FINRA members and have no FINRA CRD. They may carry an SEC registration number instead.</w:t>
            </w:r>
          </w:p>
        </w:tc>
        <w:tc>
          <w:tcPr>
            <w:tcW w:type="dxa" w:w="24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~25–30% of boutique/family-office firms</w:t>
            </w:r>
          </w:p>
        </w:tc>
      </w:tr>
      <w:tr>
        <w:tc>
          <w:tcPr>
            <w:tcW w:type="dxa" w:w="22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F2937"/>
                <w:sz w:val="21"/>
                <w:szCs w:val="21"/>
              </w:rPr>
              <w:t xml:space="preserve">Sub-office location</w:t>
            </w:r>
          </w:p>
        </w:tc>
        <w:tc>
          <w:tcPr>
            <w:tcW w:type="dxa" w:w="5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A team operating out of a branch that is not independently registered carries the parent firm's CRD — not a team-level CRD — so providers omit it.</w:t>
            </w:r>
          </w:p>
        </w:tc>
        <w:tc>
          <w:tcPr>
            <w:tcW w:type="dxa" w:w="24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~15–20% of FINRA-affiliated teams</w:t>
            </w:r>
          </w:p>
        </w:tc>
      </w:tr>
      <w:tr>
        <w:tc>
          <w:tcPr>
            <w:tcW w:type="dxa" w:w="22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F2937"/>
                <w:sz w:val="21"/>
                <w:szCs w:val="21"/>
              </w:rPr>
              <w:t xml:space="preserve">Provider gap</w:t>
            </w:r>
          </w:p>
        </w:tc>
        <w:tc>
          <w:tcPr>
            <w:tcW w:type="dxa" w:w="5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Some providers (Broadridge, Discovery) simply do not source CRD for every record, especially for smaller teams or those added via referral data.</w:t>
            </w:r>
          </w:p>
        </w:tc>
        <w:tc>
          <w:tcPr>
            <w:tcW w:type="dxa" w:w="24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Varies; 40–60% of Discovery records</w:t>
            </w:r>
          </w:p>
        </w:tc>
      </w:tr>
      <w:tr>
        <w:tc>
          <w:tcPr>
            <w:tcW w:type="dxa" w:w="22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991B1B"/>
                <w:sz w:val="21"/>
                <w:szCs w:val="21"/>
              </w:rPr>
              <w:t xml:space="preserve">Practical implication</w:t>
            </w:r>
          </w:p>
        </w:tc>
        <w:tc>
          <w:tcPr>
            <w:tcW w:type="dxa" w:w="5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iCs/>
                <w:color w:val="1F2937"/>
                <w:sz w:val="21"/>
                <w:szCs w:val="21"/>
              </w:rPr>
              <w:t xml:space="preserve">CRD cannot be used as a reliable blocking key or auto-link trigger. It is a supporting signal when present, not a foundation.</w:t>
            </w:r>
          </w:p>
        </w:tc>
        <w:tc>
          <w:tcPr>
            <w:tcW w:type="dxa" w:w="24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w:t>
            </w:r>
          </w:p>
        </w:tc>
      </w:tr>
    </w:tbl>
    <w:p>
      <w:pPr>
        <w:pBdr>
          <w:left w:val="single" w:color="1D4ED8" w:sz="6"/>
        </w:pBdr>
        <w:spacing w:after="80" w:before="80"/>
        <w:ind w:left="360"/>
      </w:pPr>
      <w:r>
        <w:rPr>
          <w:rFonts w:ascii="Calibri" w:cs="Calibri" w:eastAsia="Calibri" w:hAnsi="Calibri"/>
          <w:i/>
          <w:iCs/>
          <w:color w:val="6B7280"/>
          <w:sz w:val="20"/>
          <w:szCs w:val="20"/>
        </w:rPr>
        <w:t xml:space="preserve">Do not treat a missing CRD as a data quality failure. For ~35% of teams in PE/wire-house feeds, absence of CRD is a structural business fact, not a provider error.</w:t>
      </w:r>
    </w:p>
    <w:p>
      <w:pPr>
        <w:pStyle w:val="Heading2"/>
        <w:spacing w:after="80" w:before="220"/>
      </w:pPr>
      <w:r>
        <w:rPr>
          <w:rFonts w:ascii="Calibri" w:cs="Calibri" w:eastAsia="Calibri" w:hAnsi="Calibri"/>
          <w:b/>
          <w:bCs/>
          <w:color w:val="1F2937"/>
          <w:sz w:val="25"/>
          <w:szCs w:val="25"/>
        </w:rPr>
        <w:t xml:space="preserve">5.2  The Synthetic Stable Key: Lead-Firm Anchor</w:t>
      </w:r>
    </w:p>
    <w:p>
      <w:pPr>
        <w:spacing w:after="80" w:before="0"/>
      </w:pPr>
      <w:r>
        <w:rPr>
          <w:rFonts w:ascii="Calibri" w:cs="Calibri" w:eastAsia="Calibri" w:hAnsi="Calibri"/>
          <w:i w:val="false"/>
          <w:iCs w:val="false"/>
          <w:color w:val="1F2937"/>
          <w:sz w:val="22"/>
          <w:szCs w:val="22"/>
        </w:rPr>
        <w:t xml:space="preserve">Without CRD, email, or source record ID, the lead advisor's name combined with the firm canonical token is the closest available substitute for a stable entity identifier. In practice, one named lead advisor manages one team at one firm — making this combination nearly unique.</w:t>
      </w:r>
    </w:p>
    <w:p>
      <w:pPr>
        <w:spacing w:after="60" w:before="0"/>
      </w:pPr>
    </w:p>
    <w:p>
      <w:pPr>
        <w:spacing w:after="80" w:before="80"/>
        <w:jc w:val="center"/>
      </w:pPr>
      <w:r>
        <w:rPr>
          <w:rFonts w:ascii="Courier New" w:cs="Courier New" w:eastAsia="Courier New" w:hAnsi="Courier New"/>
          <w:b/>
          <w:bCs/>
          <w:color w:val="1F2937"/>
          <w:sz w:val="23"/>
          <w:szCs w:val="23"/>
        </w:rPr>
        <w:t xml:space="preserve">lead_last_name  +  lead_first_initial  +  firm_canonical  →  synthetic anchor key</w:t>
      </w:r>
    </w:p>
    <w:p>
      <w:pPr>
        <w:spacing w:after="60" w:before="0"/>
      </w:pPr>
    </w:p>
    <w:p>
      <w:pPr>
        <w:spacing w:after="80" w:before="0"/>
      </w:pPr>
      <w:r>
        <w:rPr>
          <w:rFonts w:ascii="Calibri" w:cs="Calibri" w:eastAsia="Calibri" w:hAnsi="Calibri"/>
          <w:i w:val="false"/>
          <w:iCs w:val="false"/>
          <w:color w:val="1F2937"/>
          <w:sz w:val="22"/>
          <w:szCs w:val="22"/>
        </w:rPr>
        <w:t xml:space="preserve">Examples:</w:t>
      </w:r>
    </w:p>
    <w:p>
      <w:pPr>
        <w:spacing w:after="80" w:before="0"/>
      </w:pPr>
      <w:r>
        <w:rPr>
          <w:rFonts w:ascii="Calibri" w:cs="Calibri" w:eastAsia="Calibri" w:hAnsi="Calibri"/>
          <w:i/>
          <w:iCs/>
          <w:color w:val="1F2937"/>
          <w:sz w:val="22"/>
          <w:szCs w:val="22"/>
        </w:rPr>
        <w:t xml:space="preserve">  "William Smith" at "Merrill Lynch"  →  anchor: smith.w|merrill</w:t>
      </w:r>
    </w:p>
    <w:p>
      <w:pPr>
        <w:spacing w:after="80" w:before="0"/>
      </w:pPr>
      <w:r>
        <w:rPr>
          <w:rFonts w:ascii="Calibri" w:cs="Calibri" w:eastAsia="Calibri" w:hAnsi="Calibri"/>
          <w:i/>
          <w:iCs/>
          <w:color w:val="1F2937"/>
          <w:sz w:val="22"/>
          <w:szCs w:val="22"/>
        </w:rPr>
        <w:t xml:space="preserve">  "John Garcia"   at "LPL Financial"  →  anchor: garcia.j|lpl</w:t>
      </w:r>
    </w:p>
    <w:p>
      <w:pPr>
        <w:spacing w:after="60" w:before="0"/>
      </w:pPr>
    </w:p>
    <w:p>
      <w:pPr>
        <w:pBdr>
          <w:left w:val="single" w:color="1D4ED8" w:sz="6"/>
        </w:pBdr>
        <w:spacing w:after="80" w:before="80"/>
        <w:ind w:left="360"/>
      </w:pPr>
      <w:r>
        <w:rPr>
          <w:rFonts w:ascii="Calibri" w:cs="Calibri" w:eastAsia="Calibri" w:hAnsi="Calibri"/>
          <w:i/>
          <w:iCs/>
          <w:color w:val="6B7280"/>
          <w:sz w:val="20"/>
          <w:szCs w:val="20"/>
        </w:rPr>
        <w:t xml:space="preserve">Limitation: collisions occur when two advisors share a last name, first initial, and firm (e.g., two 'J. Smith' at Morgan Stanley in different cities). Address ZIP is the tiebreaker when available. When address is also absent, both records are treated as distinct pending human review.</w:t>
      </w:r>
    </w:p>
    <w:p>
      <w:pPr>
        <w:pStyle w:val="Heading2"/>
        <w:spacing w:after="80" w:before="220"/>
      </w:pPr>
      <w:r>
        <w:rPr>
          <w:rFonts w:ascii="Calibri" w:cs="Calibri" w:eastAsia="Calibri" w:hAnsi="Calibri"/>
          <w:b/>
          <w:bCs/>
          <w:color w:val="1F2937"/>
          <w:sz w:val="25"/>
          <w:szCs w:val="25"/>
        </w:rPr>
        <w:t xml:space="preserve">5.3  Two-Layer Matching for Sparse Data</w:t>
      </w:r>
    </w:p>
    <w:p>
      <w:pPr>
        <w:spacing w:after="80" w:before="0"/>
      </w:pPr>
      <w:r>
        <w:rPr>
          <w:rFonts w:ascii="Calibri" w:cs="Calibri" w:eastAsia="Calibri" w:hAnsi="Calibri"/>
          <w:i w:val="false"/>
          <w:iCs w:val="false"/>
          <w:color w:val="1F2937"/>
          <w:sz w:val="22"/>
          <w:szCs w:val="22"/>
        </w:rPr>
        <w:t xml:space="preserve">Replace the single composite score with two independent layers applied in sequence.</w:t>
      </w:r>
    </w:p>
    <w:p>
      <w:pPr>
        <w:spacing w:after="60" w:before="0"/>
      </w:pPr>
    </w:p>
    <w:p>
      <w:pPr>
        <w:spacing w:after="60" w:before="160"/>
      </w:pPr>
      <w:r>
        <w:rPr>
          <w:rFonts w:ascii="Calibri" w:cs="Calibri" w:eastAsia="Calibri" w:hAnsi="Calibri"/>
          <w:b/>
          <w:bCs/>
          <w:color w:val="1F2937"/>
          <w:sz w:val="22"/>
          <w:szCs w:val="22"/>
        </w:rPr>
        <w:t xml:space="preserve">Layer 1 — Lead-firm anchor score (name-agnostic)</w:t>
      </w:r>
    </w:p>
    <w:p>
      <w:pPr>
        <w:spacing w:after="80" w:before="0"/>
      </w:pPr>
      <w:r>
        <w:rPr>
          <w:rFonts w:ascii="Calibri" w:cs="Calibri" w:eastAsia="Calibri" w:hAnsi="Calibri"/>
          <w:i w:val="false"/>
          <w:iCs w:val="false"/>
          <w:color w:val="1F2937"/>
          <w:sz w:val="22"/>
          <w:szCs w:val="22"/>
        </w:rPr>
        <w:t xml:space="preserve">Determines whether the incoming record refers to the same person, regardless of what their team is called.</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5080"/>
        <w:gridCol w:w="3000"/>
      </w:tblGrid>
      <w:tr>
        <w:trPr>
          <w:tblHeader/>
        </w:trPr>
        <w:tc>
          <w:tcPr>
            <w:tcW w:type="dxa" w:w="200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Signal</w:t>
            </w:r>
          </w:p>
        </w:tc>
        <w:tc>
          <w:tcPr>
            <w:tcW w:type="dxa" w:w="508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Method</w:t>
            </w:r>
          </w:p>
        </w:tc>
        <w:tc>
          <w:tcPr>
            <w:tcW w:type="dxa" w:w="300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Weight</w:t>
            </w:r>
          </w:p>
        </w:tc>
      </w:tr>
      <w:tr>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F2937"/>
                <w:sz w:val="21"/>
                <w:szCs w:val="21"/>
              </w:rPr>
              <w:t xml:space="preserve">Lead last name</w:t>
            </w:r>
          </w:p>
        </w:tc>
        <w:tc>
          <w:tcPr>
            <w:tcW w:type="dxa" w:w="50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Jaro-Winkler ≥ 0.88 (handles OCR noise, minor misspellings)</w:t>
            </w:r>
          </w:p>
        </w:tc>
        <w:tc>
          <w:tcPr>
            <w:tcW w:type="dxa" w:w="3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F2937"/>
                <w:sz w:val="21"/>
                <w:szCs w:val="21"/>
              </w:rPr>
              <w:t xml:space="preserve">0.50</w:t>
            </w:r>
          </w:p>
        </w:tc>
      </w:tr>
      <w:tr>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F2937"/>
                <w:sz w:val="21"/>
                <w:szCs w:val="21"/>
              </w:rPr>
              <w:t xml:space="preserve">Firm canonical token</w:t>
            </w:r>
          </w:p>
        </w:tc>
        <w:tc>
          <w:tcPr>
            <w:tcW w:type="dxa" w:w="50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Exact match after stop-word removal and synonym expansion (see firm synonym table)</w:t>
            </w:r>
          </w:p>
        </w:tc>
        <w:tc>
          <w:tcPr>
            <w:tcW w:type="dxa" w:w="3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F2937"/>
                <w:sz w:val="21"/>
                <w:szCs w:val="21"/>
              </w:rPr>
              <w:t xml:space="preserve">0.35</w:t>
            </w:r>
          </w:p>
        </w:tc>
      </w:tr>
      <w:tr>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F2937"/>
                <w:sz w:val="21"/>
                <w:szCs w:val="21"/>
              </w:rPr>
              <w:t xml:space="preserve">ZIP code</w:t>
            </w:r>
          </w:p>
        </w:tc>
        <w:tc>
          <w:tcPr>
            <w:tcW w:type="dxa" w:w="50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Exact 5-digit match (when address is present). Skipped if null in either record.</w:t>
            </w:r>
          </w:p>
        </w:tc>
        <w:tc>
          <w:tcPr>
            <w:tcW w:type="dxa" w:w="3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0.15 (redistributed if null)</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5280"/>
      </w:tblGrid>
      <w:tr>
        <w:trPr>
          <w:tblHeader/>
        </w:trPr>
        <w:tc>
          <w:tcPr>
            <w:tcW w:type="dxa" w:w="180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Layer 1 score</w:t>
            </w:r>
          </w:p>
        </w:tc>
        <w:tc>
          <w:tcPr>
            <w:tcW w:type="dxa" w:w="300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Interpretation</w:t>
            </w:r>
          </w:p>
        </w:tc>
        <w:tc>
          <w:tcPr>
            <w:tcW w:type="dxa" w:w="528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Next step</w:t>
            </w:r>
          </w:p>
        </w:tc>
      </w:tr>
      <w:tr>
        <w:tc>
          <w:tcPr>
            <w:tcW w:type="dxa" w:w="1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66534"/>
                <w:sz w:val="21"/>
                <w:szCs w:val="21"/>
              </w:rPr>
              <w:t xml:space="preserve">≥ 0.85</w:t>
            </w:r>
          </w:p>
        </w:tc>
        <w:tc>
          <w:tcPr>
            <w:tcW w:type="dxa" w:w="3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Same person identified</w:t>
            </w:r>
          </w:p>
        </w:tc>
        <w:tc>
          <w:tcPr>
            <w:tcW w:type="dxa" w:w="52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Proceed to Layer 2 (name change detection)</w:t>
            </w:r>
          </w:p>
        </w:tc>
      </w:tr>
      <w:tr>
        <w:tc>
          <w:tcPr>
            <w:tcW w:type="dxa" w:w="1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92400E"/>
                <w:sz w:val="21"/>
                <w:szCs w:val="21"/>
              </w:rPr>
              <w:t xml:space="preserve">0.70 – 0.84</w:t>
            </w:r>
          </w:p>
        </w:tc>
        <w:tc>
          <w:tcPr>
            <w:tcW w:type="dxa" w:w="3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Possible match, ambiguous anchor</w:t>
            </w:r>
          </w:p>
        </w:tc>
        <w:tc>
          <w:tcPr>
            <w:tcW w:type="dxa" w:w="52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Add ZIP tiebreaker; if still ambiguous → human review</w:t>
            </w:r>
          </w:p>
        </w:tc>
      </w:tr>
      <w:tr>
        <w:tc>
          <w:tcPr>
            <w:tcW w:type="dxa" w:w="1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991B1B"/>
                <w:sz w:val="21"/>
                <w:szCs w:val="21"/>
              </w:rPr>
              <w:t xml:space="preserve">&lt; 0.70</w:t>
            </w:r>
          </w:p>
        </w:tc>
        <w:tc>
          <w:tcPr>
            <w:tcW w:type="dxa" w:w="3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Different person</w:t>
            </w:r>
          </w:p>
        </w:tc>
        <w:tc>
          <w:tcPr>
            <w:tcW w:type="dxa" w:w="52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Treat as new team candidate; fall through to probabilistic scoring</w:t>
            </w:r>
          </w:p>
        </w:tc>
      </w:tr>
    </w:tbl>
    <w:p>
      <w:pPr>
        <w:spacing w:after="60" w:before="160"/>
      </w:pPr>
      <w:r>
        <w:rPr>
          <w:rFonts w:ascii="Calibri" w:cs="Calibri" w:eastAsia="Calibri" w:hAnsi="Calibri"/>
          <w:b/>
          <w:bCs/>
          <w:color w:val="1F2937"/>
          <w:sz w:val="22"/>
          <w:szCs w:val="22"/>
        </w:rPr>
        <w:t xml:space="preserve">Layer 2 — Team name comparison (rename detector)</w:t>
      </w:r>
    </w:p>
    <w:p>
      <w:pPr>
        <w:spacing w:after="80" w:before="0"/>
      </w:pPr>
      <w:r>
        <w:rPr>
          <w:rFonts w:ascii="Calibri" w:cs="Calibri" w:eastAsia="Calibri" w:hAnsi="Calibri"/>
          <w:i w:val="false"/>
          <w:iCs w:val="false"/>
          <w:color w:val="1F2937"/>
          <w:sz w:val="22"/>
          <w:szCs w:val="22"/>
        </w:rPr>
        <w:t xml:space="preserve">Only runs when Layer 1 score ≥ 0.85. Team name is now a change detector, not a primary match signal.</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5280"/>
      </w:tblGrid>
      <w:tr>
        <w:trPr>
          <w:tblHeader/>
        </w:trPr>
        <w:tc>
          <w:tcPr>
            <w:tcW w:type="dxa" w:w="200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Team name similarity</w:t>
            </w:r>
          </w:p>
        </w:tc>
        <w:tc>
          <w:tcPr>
            <w:tcW w:type="dxa" w:w="280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Interpretation</w:t>
            </w:r>
          </w:p>
        </w:tc>
        <w:tc>
          <w:tcPr>
            <w:tcW w:type="dxa" w:w="528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Action</w:t>
            </w:r>
          </w:p>
        </w:tc>
      </w:tr>
      <w:tr>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66534"/>
                <w:sz w:val="21"/>
                <w:szCs w:val="21"/>
              </w:rPr>
              <w:t xml:space="preserve">≥ 0.70</w:t>
            </w:r>
          </w:p>
        </w:tc>
        <w:tc>
          <w:tcPr>
            <w:tcW w:type="dxa" w:w="2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Same team, minor variation</w:t>
            </w:r>
          </w:p>
        </w:tc>
        <w:tc>
          <w:tcPr>
            <w:tcW w:type="dxa" w:w="52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Normal update — apply survivorship rules</w:t>
            </w:r>
          </w:p>
        </w:tc>
      </w:tr>
      <w:tr>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92400E"/>
                <w:sz w:val="21"/>
                <w:szCs w:val="21"/>
              </w:rPr>
              <w:t xml:space="preserve">0.40 – 0.69</w:t>
            </w:r>
          </w:p>
        </w:tc>
        <w:tc>
          <w:tcPr>
            <w:tcW w:type="dxa" w:w="2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Partial rename (shared tokens)</w:t>
            </w:r>
          </w:p>
        </w:tc>
        <w:tc>
          <w:tcPr>
            <w:tcW w:type="dxa" w:w="52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RENAME_CANDIDATE — route to review queue</w:t>
            </w:r>
          </w:p>
        </w:tc>
      </w:tr>
      <w:tr>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991B1B"/>
                <w:sz w:val="21"/>
                <w:szCs w:val="21"/>
              </w:rPr>
              <w:t xml:space="preserve">&lt; 0.40</w:t>
            </w:r>
          </w:p>
        </w:tc>
        <w:tc>
          <w:tcPr>
            <w:tcW w:type="dxa" w:w="2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Full rebrand</w:t>
            </w:r>
          </w:p>
        </w:tc>
        <w:tc>
          <w:tcPr>
            <w:tcW w:type="dxa" w:w="52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RENAME_CANDIDATE — route to review queue</w:t>
            </w:r>
          </w:p>
        </w:tc>
      </w:tr>
    </w:tbl>
    <w:p>
      <w:pPr>
        <w:pBdr>
          <w:left w:val="single" w:color="1D4ED8" w:sz="6"/>
        </w:pBdr>
        <w:spacing w:after="80" w:before="80"/>
        <w:ind w:left="360"/>
      </w:pPr>
      <w:r>
        <w:rPr>
          <w:rFonts w:ascii="Calibri" w:cs="Calibri" w:eastAsia="Calibri" w:hAnsi="Calibri"/>
          <w:i/>
          <w:iCs/>
          <w:color w:val="6B7280"/>
          <w:sz w:val="20"/>
          <w:szCs w:val="20"/>
        </w:rPr>
        <w:t xml:space="preserve">Team name is no longer a primary match signal when lead-firm anchor fires. A team can rebrand completely ('Smith Capital Management' → 'Pinnacle Wealth Advisors') and the pipeline will detect it as a rename rather than a duplicate or new record.</w:t>
      </w:r>
    </w:p>
    <w:p>
      <w:pPr>
        <w:pStyle w:val="Heading2"/>
        <w:spacing w:after="80" w:before="220"/>
      </w:pPr>
      <w:r>
        <w:rPr>
          <w:rFonts w:ascii="Calibri" w:cs="Calibri" w:eastAsia="Calibri" w:hAnsi="Calibri"/>
          <w:b/>
          <w:bCs/>
          <w:color w:val="1F2937"/>
          <w:sz w:val="25"/>
          <w:szCs w:val="25"/>
        </w:rPr>
        <w:t xml:space="preserve">5.4  Cross-Source Triangulation for Rename Confidence</w:t>
      </w:r>
    </w:p>
    <w:p>
      <w:pPr>
        <w:spacing w:after="80" w:before="0"/>
      </w:pPr>
      <w:r>
        <w:rPr>
          <w:rFonts w:ascii="Calibri" w:cs="Calibri" w:eastAsia="Calibri" w:hAnsi="Calibri"/>
          <w:i w:val="false"/>
          <w:iCs w:val="false"/>
          <w:color w:val="1F2937"/>
          <w:sz w:val="22"/>
          <w:szCs w:val="22"/>
        </w:rPr>
        <w:t xml:space="preserve">Because data is received from three sources daily, agreement across sources is a powerful confidence signal. A real rename propagates across sources within a few feed cycles. A spurious name variant typically stays isolated in one source.</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6080"/>
      </w:tblGrid>
      <w:tr>
        <w:trPr>
          <w:tblHeader/>
        </w:trPr>
        <w:tc>
          <w:tcPr>
            <w:tcW w:type="dxa" w:w="200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Sources: new name</w:t>
            </w:r>
          </w:p>
        </w:tc>
        <w:tc>
          <w:tcPr>
            <w:tcW w:type="dxa" w:w="200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Sources: old name</w:t>
            </w:r>
          </w:p>
        </w:tc>
        <w:tc>
          <w:tcPr>
            <w:tcW w:type="dxa" w:w="608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Decision</w:t>
            </w:r>
          </w:p>
        </w:tc>
      </w:tr>
      <w:tr>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66534"/>
                <w:sz w:val="21"/>
                <w:szCs w:val="21"/>
              </w:rPr>
              <w:t xml:space="preserve">2 or 3</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0 or 1</w:t>
            </w:r>
          </w:p>
        </w:tc>
        <w:tc>
          <w:tcPr>
            <w:tcW w:type="dxa" w:w="60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High confidence — auto-update Golden Record name; old source is stale</w:t>
            </w:r>
          </w:p>
        </w:tc>
      </w:tr>
      <w:tr>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92400E"/>
                <w:sz w:val="21"/>
                <w:szCs w:val="21"/>
              </w:rPr>
              <w:t xml:space="preserve">1</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2</w:t>
            </w:r>
          </w:p>
        </w:tc>
        <w:tc>
          <w:tcPr>
            <w:tcW w:type="dxa" w:w="60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Hold — likely a data error in the outlier source; do not update yet</w:t>
            </w:r>
          </w:p>
        </w:tc>
      </w:tr>
      <w:tr>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92400E"/>
                <w:sz w:val="21"/>
                <w:szCs w:val="21"/>
              </w:rPr>
              <w:t xml:space="preserve">1</w:t>
            </w:r>
          </w:p>
        </w:tc>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0 (only one source)</w:t>
            </w:r>
          </w:p>
        </w:tc>
        <w:tc>
          <w:tcPr>
            <w:tcW w:type="dxa" w:w="60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Single-source rename signal — add to review queue</w:t>
            </w:r>
          </w:p>
        </w:tc>
      </w:tr>
    </w:tbl>
    <w:p>
      <w:pPr>
        <w:pStyle w:val="Heading2"/>
        <w:spacing w:after="80" w:before="220"/>
      </w:pPr>
      <w:r>
        <w:rPr>
          <w:rFonts w:ascii="Calibri" w:cs="Calibri" w:eastAsia="Calibri" w:hAnsi="Calibri"/>
          <w:b/>
          <w:bCs/>
          <w:color w:val="1F2937"/>
          <w:sz w:val="25"/>
          <w:szCs w:val="25"/>
        </w:rPr>
        <w:t xml:space="preserve">5.5  Firm Synonym Table</w:t>
      </w:r>
    </w:p>
    <w:p>
      <w:pPr>
        <w:spacing w:after="80" w:before="0"/>
      </w:pPr>
      <w:r>
        <w:rPr>
          <w:rFonts w:ascii="Calibri" w:cs="Calibri" w:eastAsia="Calibri" w:hAnsi="Calibri"/>
          <w:i w:val="false"/>
          <w:iCs w:val="false"/>
          <w:color w:val="1F2937"/>
          <w:sz w:val="22"/>
          <w:szCs w:val="22"/>
        </w:rPr>
        <w:t xml:space="preserve">Without CRD, firm matching is critical. Build and maintain a canonical firm synonym table that maps all known variants of each firm to a single token. Apply at normalization time.</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dxa" w:w="200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Canonical token</w:t>
            </w:r>
          </w:p>
        </w:tc>
        <w:tc>
          <w:tcPr>
            <w:tcW w:type="dxa" w:w="808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Known variants</w:t>
            </w:r>
          </w:p>
        </w:tc>
      </w:tr>
      <w:tr>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ourier New" w:cs="Courier New" w:eastAsia="Courier New" w:hAnsi="Courier New"/>
                <w:b/>
                <w:bCs/>
                <w:i w:val="false"/>
                <w:iCs w:val="false"/>
                <w:color w:val="1F2937"/>
                <w:sz w:val="21"/>
                <w:szCs w:val="21"/>
              </w:rPr>
              <w:t xml:space="preserve">merrill</w:t>
            </w:r>
          </w:p>
        </w:tc>
        <w:tc>
          <w:tcPr>
            <w:tcW w:type="dxa" w:w="80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Merrill Lynch, Merrill Lynch Pierce Fenner &amp; Smith, ML, Merrill Lynch &amp; Co, MLPF&amp;S, BofA Merrill Lynch</w:t>
            </w:r>
          </w:p>
        </w:tc>
      </w:tr>
      <w:tr>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ourier New" w:cs="Courier New" w:eastAsia="Courier New" w:hAnsi="Courier New"/>
                <w:b/>
                <w:bCs/>
                <w:i w:val="false"/>
                <w:iCs w:val="false"/>
                <w:color w:val="1F2937"/>
                <w:sz w:val="21"/>
                <w:szCs w:val="21"/>
              </w:rPr>
              <w:t xml:space="preserve">morgan stanley</w:t>
            </w:r>
          </w:p>
        </w:tc>
        <w:tc>
          <w:tcPr>
            <w:tcW w:type="dxa" w:w="80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Morgan Stanley, Morgan Stanley Smith Barney, MSSB, Morgan Stanley WM, MS</w:t>
            </w:r>
          </w:p>
        </w:tc>
      </w:tr>
      <w:tr>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ourier New" w:cs="Courier New" w:eastAsia="Courier New" w:hAnsi="Courier New"/>
                <w:b/>
                <w:bCs/>
                <w:i w:val="false"/>
                <w:iCs w:val="false"/>
                <w:color w:val="1F2937"/>
                <w:sz w:val="21"/>
                <w:szCs w:val="21"/>
              </w:rPr>
              <w:t xml:space="preserve">ubs</w:t>
            </w:r>
          </w:p>
        </w:tc>
        <w:tc>
          <w:tcPr>
            <w:tcW w:type="dxa" w:w="80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UBS Financial Services, UBS FS, UBS Wealth Management, UBS AG, UBS</w:t>
            </w:r>
          </w:p>
        </w:tc>
      </w:tr>
      <w:tr>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ourier New" w:cs="Courier New" w:eastAsia="Courier New" w:hAnsi="Courier New"/>
                <w:b/>
                <w:bCs/>
                <w:i w:val="false"/>
                <w:iCs w:val="false"/>
                <w:color w:val="1F2937"/>
                <w:sz w:val="21"/>
                <w:szCs w:val="21"/>
              </w:rPr>
              <w:t xml:space="preserve">wells fargo</w:t>
            </w:r>
          </w:p>
        </w:tc>
        <w:tc>
          <w:tcPr>
            <w:tcW w:type="dxa" w:w="80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Wells Fargo Advisors, Wells Fargo Clearing Services, WFA, Wells Fargo &amp; Co, WF Advisors</w:t>
            </w:r>
          </w:p>
        </w:tc>
      </w:tr>
      <w:tr>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ourier New" w:cs="Courier New" w:eastAsia="Courier New" w:hAnsi="Courier New"/>
                <w:b/>
                <w:bCs/>
                <w:i w:val="false"/>
                <w:iCs w:val="false"/>
                <w:color w:val="1F2937"/>
                <w:sz w:val="21"/>
                <w:szCs w:val="21"/>
              </w:rPr>
              <w:t xml:space="preserve">raymond james</w:t>
            </w:r>
          </w:p>
        </w:tc>
        <w:tc>
          <w:tcPr>
            <w:tcW w:type="dxa" w:w="80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Raymond James &amp; Associates, Raymond James Financial, RJ, RJA, Raymond James Ltd</w:t>
            </w:r>
          </w:p>
        </w:tc>
      </w:tr>
      <w:tr>
        <w:tc>
          <w:tcPr>
            <w:tcW w:type="dxa" w:w="2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ourier New" w:cs="Courier New" w:eastAsia="Courier New" w:hAnsi="Courier New"/>
                <w:b/>
                <w:bCs/>
                <w:i w:val="false"/>
                <w:iCs w:val="false"/>
                <w:color w:val="1F2937"/>
                <w:sz w:val="21"/>
                <w:szCs w:val="21"/>
              </w:rPr>
              <w:t xml:space="preserve">lpl</w:t>
            </w:r>
          </w:p>
        </w:tc>
        <w:tc>
          <w:tcPr>
            <w:tcW w:type="dxa" w:w="80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LPL Financial, LPL Financial LLC, LPL Fin</w:t>
            </w:r>
          </w:p>
        </w:tc>
      </w:tr>
    </w:tbl>
    <w:p>
      <w:pPr>
        <w:spacing w:after="80" w:before="0"/>
      </w:pPr>
      <w:r>
        <w:rPr>
          <w:rFonts w:ascii="Calibri" w:cs="Calibri" w:eastAsia="Calibri" w:hAnsi="Calibri"/>
          <w:i/>
          <w:iCs/>
          <w:color w:val="1F2937"/>
          <w:sz w:val="22"/>
          <w:szCs w:val="22"/>
        </w:rPr>
        <w:t xml:space="preserve">Expand this table as new firm variants are observed in production. Store it as a managed reference table, not hardcoded in pipeline logic.</w:t>
      </w:r>
    </w:p>
    <w:p>
      <w:pPr>
        <w:pStyle w:val="Heading2"/>
        <w:spacing w:after="80" w:before="220"/>
      </w:pPr>
      <w:r>
        <w:rPr>
          <w:rFonts w:ascii="Calibri" w:cs="Calibri" w:eastAsia="Calibri" w:hAnsi="Calibri"/>
          <w:b/>
          <w:bCs/>
          <w:color w:val="1F2937"/>
          <w:sz w:val="25"/>
          <w:szCs w:val="25"/>
        </w:rPr>
        <w:t xml:space="preserve">5.6  Change Event Types and Storage</w:t>
      </w:r>
    </w:p>
    <w:p>
      <w:pPr>
        <w:spacing w:after="80" w:before="0"/>
      </w:pPr>
      <w:r>
        <w:rPr>
          <w:rFonts w:ascii="Calibri" w:cs="Calibri" w:eastAsia="Calibri" w:hAnsi="Calibri"/>
          <w:i w:val="false"/>
          <w:iCs w:val="false"/>
          <w:color w:val="1F2937"/>
          <w:sz w:val="22"/>
          <w:szCs w:val="22"/>
        </w:rPr>
        <w:t xml:space="preserve">Every confirmed change is recorded as an immutable event on the Golden Record. Downstream systems can subscribe to the change stream to stay in sync.</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4480"/>
      </w:tblGrid>
      <w:tr>
        <w:trPr>
          <w:tblHeader/>
        </w:trPr>
        <w:tc>
          <w:tcPr>
            <w:tcW w:type="dxa" w:w="180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Event type</w:t>
            </w:r>
          </w:p>
        </w:tc>
        <w:tc>
          <w:tcPr>
            <w:tcW w:type="dxa" w:w="380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Trigger</w:t>
            </w:r>
          </w:p>
        </w:tc>
        <w:tc>
          <w:tcPr>
            <w:tcW w:type="dxa" w:w="448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Golden Record action</w:t>
            </w:r>
          </w:p>
        </w:tc>
      </w:tr>
      <w:tr>
        <w:tc>
          <w:tcPr>
            <w:tcW w:type="dxa" w:w="1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D4ED8"/>
                <w:sz w:val="21"/>
                <w:szCs w:val="21"/>
              </w:rPr>
              <w:t xml:space="preserve">RENAME</w:t>
            </w:r>
          </w:p>
        </w:tc>
        <w:tc>
          <w:tcPr>
            <w:tcW w:type="dxa" w:w="3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Layer 1 ≥ 0.85, team name similarity &lt; 0.70, confirmed by review or cross-source majority</w:t>
            </w:r>
          </w:p>
        </w:tc>
        <w:tc>
          <w:tcPr>
            <w:tcW w:type="dxa" w:w="4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Update team_name; move old name to name_history[]</w:t>
            </w:r>
          </w:p>
        </w:tc>
      </w:tr>
      <w:tr>
        <w:tc>
          <w:tcPr>
            <w:tcW w:type="dxa" w:w="1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66534"/>
                <w:sz w:val="21"/>
                <w:szCs w:val="21"/>
              </w:rPr>
              <w:t xml:space="preserve">UPDATE</w:t>
            </w:r>
          </w:p>
        </w:tc>
        <w:tc>
          <w:tcPr>
            <w:tcW w:type="dxa" w:w="3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Layer 1 ≥ 0.85, name similarity ≥ 0.70 — normal feed update</w:t>
            </w:r>
          </w:p>
        </w:tc>
        <w:tc>
          <w:tcPr>
            <w:tcW w:type="dxa" w:w="4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Apply survivorship rules; log field-level deltas</w:t>
            </w:r>
          </w:p>
        </w:tc>
      </w:tr>
      <w:tr>
        <w:tc>
          <w:tcPr>
            <w:tcW w:type="dxa" w:w="1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5B21B6"/>
                <w:sz w:val="21"/>
                <w:szCs w:val="21"/>
              </w:rPr>
              <w:t xml:space="preserve">MERGE</w:t>
            </w:r>
          </w:p>
        </w:tc>
        <w:tc>
          <w:tcPr>
            <w:tcW w:type="dxa" w:w="3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Two Golden Records now share the same lead+firm anchor</w:t>
            </w:r>
          </w:p>
        </w:tc>
        <w:tc>
          <w:tcPr>
            <w:tcW w:type="dxa" w:w="4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Consolidate into one GR; archive the other with MERGED_INTO pointer</w:t>
            </w:r>
          </w:p>
        </w:tc>
      </w:tr>
      <w:tr>
        <w:tc>
          <w:tcPr>
            <w:tcW w:type="dxa" w:w="1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92400E"/>
                <w:sz w:val="21"/>
                <w:szCs w:val="21"/>
              </w:rPr>
              <w:t xml:space="preserve">SPLIT</w:t>
            </w:r>
          </w:p>
        </w:tc>
        <w:tc>
          <w:tcPr>
            <w:tcW w:type="dxa" w:w="3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One GR's anchor maps to two distinct source records at same firm</w:t>
            </w:r>
          </w:p>
        </w:tc>
        <w:tc>
          <w:tcPr>
            <w:tcW w:type="dxa" w:w="4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Create second GR; flag both for human review</w:t>
            </w:r>
          </w:p>
        </w:tc>
      </w:tr>
      <w:tr>
        <w:tc>
          <w:tcPr>
            <w:tcW w:type="dxa" w:w="1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92400E"/>
                <w:sz w:val="21"/>
                <w:szCs w:val="21"/>
              </w:rPr>
              <w:t xml:space="preserve">SUCCESSION</w:t>
            </w:r>
          </w:p>
        </w:tc>
        <w:tc>
          <w:tcPr>
            <w:tcW w:type="dxa" w:w="3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Lead changed but team name unchanged (senior left, junior took over)</w:t>
            </w:r>
          </w:p>
        </w:tc>
        <w:tc>
          <w:tcPr>
            <w:tcW w:type="dxa" w:w="4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Update lead; store old lead in lead_history[]; flag for review</w:t>
            </w:r>
          </w:p>
        </w:tc>
      </w:tr>
      <w:tr>
        <w:tc>
          <w:tcPr>
            <w:tcW w:type="dxa" w:w="1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991B1B"/>
                <w:sz w:val="21"/>
                <w:szCs w:val="21"/>
              </w:rPr>
              <w:t xml:space="preserve">INACTIVE</w:t>
            </w:r>
          </w:p>
        </w:tc>
        <w:tc>
          <w:tcPr>
            <w:tcW w:type="dxa" w:w="38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Team absent from all sources for N consecutive daily feeds (N=5 suggested)</w:t>
            </w:r>
          </w:p>
        </w:tc>
        <w:tc>
          <w:tcPr>
            <w:tcW w:type="dxa" w:w="44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Mark status=INACTIVE; retain Golden Record for audit history</w:t>
            </w:r>
          </w:p>
        </w:tc>
      </w:tr>
    </w:tbl>
    <w:p>
      <w:pPr>
        <w:pStyle w:val="Heading2"/>
        <w:spacing w:after="80" w:before="220"/>
      </w:pPr>
      <w:r>
        <w:rPr>
          <w:rFonts w:ascii="Calibri" w:cs="Calibri" w:eastAsia="Calibri" w:hAnsi="Calibri"/>
          <w:b/>
          <w:bCs/>
          <w:color w:val="1F2937"/>
          <w:sz w:val="25"/>
          <w:szCs w:val="25"/>
        </w:rPr>
        <w:t xml:space="preserve">5.7  Golden Record Schema — Sparse Data Version</w:t>
      </w:r>
    </w:p>
    <w:p>
      <w:pPr>
        <w:spacing w:after="80" w:before="0"/>
      </w:pPr>
      <w:r>
        <w:rPr>
          <w:rFonts w:ascii="Calibri" w:cs="Calibri" w:eastAsia="Calibri" w:hAnsi="Calibri"/>
          <w:i w:val="false"/>
          <w:iCs w:val="false"/>
          <w:color w:val="1F2937"/>
          <w:sz w:val="22"/>
          <w:szCs w:val="22"/>
        </w:rPr>
        <w:t xml:space="preserve">The Golden Record must carry enough history to support downstream systems still querying old names, and to support the change detection logic on subsequent feeds.</w:t>
      </w:r>
    </w:p>
    <w:p>
      <w:pPr>
        <w:spacing w:after="60" w:before="0"/>
      </w:pPr>
    </w:p>
    <w:p>
      <w:pPr>
        <w:spacing w:after="60" w:before="60"/>
      </w:pPr>
      <w:r>
        <w:rPr>
          <w:rFonts w:ascii="Courier New" w:cs="Courier New" w:eastAsia="Courier New" w:hAnsi="Courier New"/>
          <w:color w:val="1F2937"/>
          <w:sz w:val="19"/>
          <w:szCs w:val="19"/>
        </w:rPr>
        <w:t xml:space="preserve">{
  "golden_id":       "GR-00123",
  "anchor_key":      "smith.w|merrill",
  "current_name":    "Pinnacle Wealth Advisors",
  "current_firm":    "Merrill Lynch",
  "firm_canonical":  "merrill",
  "current_lead":    "William Smith",
  "has_crd":         false,
  "crd":             null,
  "crd_note":        "sub-office — no independent FINRA CRD",
  "status":          "ACTIVE",
  "name_history": [
    { "name": "Smith Capital Management", "last_seen": "2025-02-28",
      "sources": ["broadridge","discovery"] },
    { "name": "Smith Advisors Group", "last_seen": "2024-11-15",
      "sources": ["bloomberg"] }
  ],
  "lead_history": [],
  "change_events": [
    { "type": "RENAME", "old": "Smith Capital Management",
      "new": "Pinnacle Wealth Advisors",
      "detected": "2025-03-01", "source_agreement": 2,
      "anchor_score": 0.93, "name_similarity": 0.21 }
  ]
}</w:t>
      </w:r>
    </w:p>
    <w:p>
      <w:pPr>
        <w:pStyle w:val="Heading2"/>
        <w:spacing w:after="80" w:before="220"/>
      </w:pPr>
      <w:r>
        <w:rPr>
          <w:rFonts w:ascii="Calibri" w:cs="Calibri" w:eastAsia="Calibri" w:hAnsi="Calibri"/>
          <w:b/>
          <w:bCs/>
          <w:color w:val="1F2937"/>
          <w:sz w:val="25"/>
          <w:szCs w:val="25"/>
        </w:rPr>
        <w:t xml:space="preserve">5.8  Edge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680"/>
      </w:tblGrid>
      <w:tr>
        <w:trPr>
          <w:tblHeader/>
        </w:trPr>
        <w:tc>
          <w:tcPr>
            <w:tcW w:type="dxa" w:w="220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Scenario</w:t>
            </w:r>
          </w:p>
        </w:tc>
        <w:tc>
          <w:tcPr>
            <w:tcW w:type="dxa" w:w="320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Signals</w:t>
            </w:r>
          </w:p>
        </w:tc>
        <w:tc>
          <w:tcPr>
            <w:tcW w:type="dxa" w:w="468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Recommended handling</w:t>
            </w:r>
          </w:p>
        </w:tc>
      </w:tr>
      <w:tr>
        <w:tc>
          <w:tcPr>
            <w:tcW w:type="dxa" w:w="22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F2937"/>
                <w:sz w:val="21"/>
                <w:szCs w:val="21"/>
              </w:rPr>
              <w:t xml:space="preserve">Lead moved firms AND team renamed</w:t>
            </w:r>
          </w:p>
        </w:tc>
        <w:tc>
          <w:tcPr>
            <w:tcW w:type="dxa" w:w="32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Layer 1 fails (firm mismatch) AND team name different → no anchor fires at all</w:t>
            </w:r>
          </w:p>
        </w:tc>
        <w:tc>
          <w:tcPr>
            <w:tcW w:type="dxa" w:w="46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Treat as potential new team. Flag for human review with note: 'prior GR exists for this lead at previous firm'</w:t>
            </w:r>
          </w:p>
        </w:tc>
      </w:tr>
      <w:tr>
        <w:tc>
          <w:tcPr>
            <w:tcW w:type="dxa" w:w="22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F2937"/>
                <w:sz w:val="21"/>
                <w:szCs w:val="21"/>
              </w:rPr>
              <w:t xml:space="preserve">Two advisors: same last name, same first initial, same firm</w:t>
            </w:r>
          </w:p>
        </w:tc>
        <w:tc>
          <w:tcPr>
            <w:tcW w:type="dxa" w:w="32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Anchor key collision. Layer 1 = 0.85 but records differ</w:t>
            </w:r>
          </w:p>
        </w:tc>
        <w:tc>
          <w:tcPr>
            <w:tcW w:type="dxa" w:w="46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Use ZIP tiebreaker. If ZIP also matches, split into two GRs and flag for review</w:t>
            </w:r>
          </w:p>
        </w:tc>
      </w:tr>
      <w:tr>
        <w:tc>
          <w:tcPr>
            <w:tcW w:type="dxa" w:w="22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F2937"/>
                <w:sz w:val="21"/>
                <w:szCs w:val="21"/>
              </w:rPr>
              <w:t xml:space="preserve">OCR noise corrupts lead last name severely</w:t>
            </w:r>
          </w:p>
        </w:tc>
        <w:tc>
          <w:tcPr>
            <w:tcW w:type="dxa" w:w="32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Jaro-Winkler &lt; 0.88 even though it's the same person (e.g. 'Jonhson' vs 'Johnson')</w:t>
            </w:r>
          </w:p>
        </w:tc>
        <w:tc>
          <w:tcPr>
            <w:tcW w:type="dxa" w:w="46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Soundex/phonetic fallback: if phonetic code matches + firm matches → Layer 1 still fires at reduced confidence (0.70–0.84 band)</w:t>
            </w:r>
          </w:p>
        </w:tc>
      </w:tr>
      <w:tr>
        <w:tc>
          <w:tcPr>
            <w:tcW w:type="dxa" w:w="22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F2937"/>
                <w:sz w:val="21"/>
                <w:szCs w:val="21"/>
              </w:rPr>
              <w:t xml:space="preserve">Senior advisor retired, junior promoted to lead</w:t>
            </w:r>
          </w:p>
        </w:tc>
        <w:tc>
          <w:tcPr>
            <w:tcW w:type="dxa" w:w="32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Layer 1 fails on lead. Team name still matches (≥ 0.70). Firm matches.</w:t>
            </w:r>
          </w:p>
        </w:tc>
        <w:tc>
          <w:tcPr>
            <w:tcW w:type="dxa" w:w="46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SUCCESSION_CANDIDATE: firm + team name match without lead match. Route to review. Reviewer confirms → update lead, log SUCCESSION event</w:t>
            </w:r>
          </w:p>
        </w:tc>
      </w:tr>
      <w:tr>
        <w:tc>
          <w:tcPr>
            <w:tcW w:type="dxa" w:w="22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F2937"/>
                <w:sz w:val="21"/>
                <w:szCs w:val="21"/>
              </w:rPr>
              <w:t xml:space="preserve">Firm acquired (e.g. UBS acquires boutique)</w:t>
            </w:r>
          </w:p>
        </w:tc>
        <w:tc>
          <w:tcPr>
            <w:tcW w:type="dxa" w:w="32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Firm token changes. Lead same. Team name same.</w:t>
            </w:r>
          </w:p>
        </w:tc>
        <w:tc>
          <w:tcPr>
            <w:tcW w:type="dxa" w:w="46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Layer 1 partially fires (lead matches, firm doesn't). Flag as FIRM_CHANGE event. Update firm_canonical after review.</w:t>
            </w:r>
          </w:p>
        </w:tc>
      </w:tr>
      <w:tr>
        <w:tc>
          <w:tcPr>
            <w:tcW w:type="dxa" w:w="22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F2937"/>
                <w:sz w:val="21"/>
                <w:szCs w:val="21"/>
              </w:rPr>
              <w:t xml:space="preserve">Team name change AND address change simultaneously</w:t>
            </w:r>
          </w:p>
        </w:tc>
        <w:tc>
          <w:tcPr>
            <w:tcW w:type="dxa" w:w="32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All surface features different. Only lead name matches.</w:t>
            </w:r>
          </w:p>
        </w:tc>
        <w:tc>
          <w:tcPr>
            <w:tcW w:type="dxa" w:w="46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Layer 1 fires on lead + old firm canonical only. Reduced confidence. Human review required before any update.</w:t>
            </w:r>
          </w:p>
        </w:tc>
      </w:tr>
    </w:tbl>
    <w:p>
      <w:pPr>
        <w:pStyle w:val="Heading2"/>
        <w:spacing w:after="80" w:before="220"/>
      </w:pPr>
      <w:r>
        <w:rPr>
          <w:rFonts w:ascii="Calibri" w:cs="Calibri" w:eastAsia="Calibri" w:hAnsi="Calibri"/>
          <w:b/>
          <w:bCs/>
          <w:color w:val="1F2937"/>
          <w:sz w:val="25"/>
          <w:szCs w:val="25"/>
        </w:rPr>
        <w:t xml:space="preserve">5.9  Updated Matching Architecture for Sparse Data</w:t>
      </w:r>
    </w:p>
    <w:p>
      <w:pPr>
        <w:spacing w:after="80" w:before="0"/>
      </w:pPr>
      <w:r>
        <w:rPr>
          <w:rFonts w:ascii="Calibri" w:cs="Calibri" w:eastAsia="Calibri" w:hAnsi="Calibri"/>
          <w:i w:val="false"/>
          <w:iCs w:val="false"/>
          <w:color w:val="1F2937"/>
          <w:sz w:val="22"/>
          <w:szCs w:val="22"/>
        </w:rPr>
        <w:t xml:space="preserve">The pipeline phases from Part 2 still apply, but with the following modifications for sparse data sources:</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Original phase</w:t>
            </w:r>
          </w:p>
        </w:tc>
        <w:tc>
          <w:tcPr>
            <w:tcW w:type="dxa" w:w="7080"/>
            <w:tcBorders>
              <w:top w:val="none" w:color="FFFFFF" w:sz="0"/>
              <w:left w:val="none" w:color="FFFFFF" w:sz="0"/>
              <w:bottom w:val="none" w:color="FFFFFF" w:sz="0"/>
              <w:right w:val="none" w:color="FFFFFF" w:sz="0"/>
            </w:tcBorders>
            <w:shd w:fill="334155" w:val="clear"/>
            <w:tcMar>
              <w:top w:type="dxa" w:w="60"/>
              <w:left w:type="dxa" w:w="80"/>
              <w:bottom w:type="dxa" w:w="60"/>
              <w:right w:type="dxa" w:w="80"/>
            </w:tcMar>
          </w:tcPr>
          <w:p>
            <w:pPr>
              <w:spacing w:after="0" w:before="0"/>
            </w:pPr>
            <w:r>
              <w:rPr>
                <w:rFonts w:ascii="Calibri" w:cs="Calibri" w:eastAsia="Calibri" w:hAnsi="Calibri"/>
                <w:b/>
                <w:bCs/>
                <w:color w:val="FFFFFF"/>
                <w:sz w:val="20"/>
                <w:szCs w:val="20"/>
              </w:rPr>
              <w:t xml:space="preserve">Modification for sparse data</w:t>
            </w:r>
          </w:p>
        </w:tc>
      </w:tr>
      <w:tr>
        <w:tc>
          <w:tcPr>
            <w:tcW w:type="dxa" w:w="3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F2937"/>
                <w:sz w:val="21"/>
                <w:szCs w:val="21"/>
              </w:rPr>
              <w:t xml:space="preserve">Phase 2 — Deterministic (D-1 to D-4)</w:t>
            </w:r>
          </w:p>
        </w:tc>
        <w:tc>
          <w:tcPr>
            <w:tcW w:type="dxa" w:w="70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D-1 (CRD) and D-2 (email) are largely unavailable. D-3 (phone) is unavailable. Only D-4 (vendor ID) may fire if provider supplies it. Deterministic auto-link is rare — most records go to probabilistic scoring.</w:t>
            </w:r>
          </w:p>
        </w:tc>
      </w:tr>
      <w:tr>
        <w:tc>
          <w:tcPr>
            <w:tcW w:type="dxa" w:w="3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F2937"/>
                <w:sz w:val="21"/>
                <w:szCs w:val="21"/>
              </w:rPr>
              <w:t xml:space="preserve">Phase 3 — Probabilistic (P-1 to P-7)</w:t>
            </w:r>
          </w:p>
        </w:tc>
        <w:tc>
          <w:tcPr>
            <w:tcW w:type="dxa" w:w="70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Replace with two-layer anchor scoring (Section 5.3). P-6 (AUM) and P-7 (Jaccard) are unavailable. Effective weights shift heavily to: lead name (0.50), firm (0.35), address/ZIP (0.15).</w:t>
            </w:r>
          </w:p>
        </w:tc>
      </w:tr>
      <w:tr>
        <w:tc>
          <w:tcPr>
            <w:tcW w:type="dxa" w:w="3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F2937"/>
                <w:sz w:val="21"/>
                <w:szCs w:val="21"/>
              </w:rPr>
              <w:t xml:space="preserve">Phase 5 — Member matching</w:t>
            </w:r>
          </w:p>
        </w:tc>
        <w:tc>
          <w:tcPr>
            <w:tcW w:type="dxa" w:w="70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Member data is not available in source feeds. Member-level rules (M-1 to M-5) and Jaccard overlap (P-7) are removed from the pipeline.</w:t>
            </w:r>
          </w:p>
        </w:tc>
      </w:tr>
      <w:tr>
        <w:tc>
          <w:tcPr>
            <w:tcW w:type="dxa" w:w="3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F2937"/>
                <w:sz w:val="21"/>
                <w:szCs w:val="21"/>
              </w:rPr>
              <w:t xml:space="preserve">Phase 6 — Negative blocking (N-1 to N-4)</w:t>
            </w:r>
          </w:p>
        </w:tc>
        <w:tc>
          <w:tcPr>
            <w:tcW w:type="dxa" w:w="70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N-1 (CRD mismatch block) is removed — CRD is absent. N-2 (firm family mismatch) becomes critical: firm canonical mismatch is a hard block. N-3 and N-4 still apply.</w:t>
            </w:r>
          </w:p>
        </w:tc>
      </w:tr>
      <w:tr>
        <w:tc>
          <w:tcPr>
            <w:tcW w:type="dxa" w:w="300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bCs/>
                <w:i w:val="false"/>
                <w:iCs w:val="false"/>
                <w:color w:val="1D4ED8"/>
                <w:sz w:val="21"/>
                <w:szCs w:val="21"/>
              </w:rPr>
              <w:t xml:space="preserve">New: Change detection layer</w:t>
            </w:r>
          </w:p>
        </w:tc>
        <w:tc>
          <w:tcPr>
            <w:tcW w:type="dxa" w:w="7080"/>
            <w:tcBorders>
              <w:top w:val="single" w:color="E5E7EB" w:sz="1"/>
              <w:left w:val="none" w:color="FFFFFF" w:sz="0"/>
              <w:bottom w:val="single" w:color="E5E7EB" w:sz="1"/>
              <w:right w:val="none" w:color="FFFFFF" w:sz="0"/>
            </w:tcBorders>
            <w:shd w:fill="FFFFFF" w:val="clear"/>
            <w:tcMar>
              <w:top w:type="dxa" w:w="60"/>
              <w:left w:type="dxa" w:w="80"/>
              <w:bottom w:type="dxa" w:w="60"/>
              <w:right w:type="dxa" w:w="80"/>
            </w:tcMar>
            <w:vAlign w:val="top"/>
          </w:tcPr>
          <w:p>
            <w:pPr>
              <w:spacing w:after="0" w:before="0"/>
              <w:jc w:val="left"/>
            </w:pPr>
            <w:r>
              <w:rPr>
                <w:rFonts w:ascii="Calibri" w:cs="Calibri" w:eastAsia="Calibri" w:hAnsi="Calibri"/>
                <w:b w:val="false"/>
                <w:bCs w:val="false"/>
                <w:i w:val="false"/>
                <w:iCs w:val="false"/>
                <w:color w:val="1F2937"/>
                <w:sz w:val="21"/>
                <w:szCs w:val="21"/>
              </w:rPr>
              <w:t xml:space="preserve">After every match, compare incoming record to current Golden Record values. Classify as UPDATE, RENAME, SUCCESSION, MERGE, SPLIT, or INACTIVE per Section 5.6.</w:t>
            </w:r>
          </w:p>
        </w:tc>
      </w:tr>
    </w:tbl>
    <w:p>
      <w:pPr>
        <w:pBdr>
          <w:left w:val="single" w:color="1D4ED8" w:sz="6"/>
        </w:pBdr>
        <w:spacing w:after="80" w:before="80"/>
        <w:ind w:left="360"/>
      </w:pPr>
      <w:r>
        <w:rPr>
          <w:rFonts w:ascii="Calibri" w:cs="Calibri" w:eastAsia="Calibri" w:hAnsi="Calibri"/>
          <w:i/>
          <w:iCs/>
          <w:color w:val="6B7280"/>
          <w:sz w:val="20"/>
          <w:szCs w:val="20"/>
        </w:rPr>
        <w:t xml:space="preserve">With sparse data, expect precision to drop from ≥95% to ≥88% and recall from ≥90% to ≥82% without additional signals. Invest in expanding the firm synonym table and the lead name alias table — these are the highest-leverage improvements available given the source constraints.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5 — Sparse Data Handling</dc:title>
  <dc:creator>Apollo Advisors</dc:creator>
  <cp:lastModifiedBy>Un-named</cp:lastModifiedBy>
  <cp:revision>1</cp:revision>
  <dcterms:created xsi:type="dcterms:W3CDTF">2026-08-19T14:21:58.852Z</dcterms:created>
  <dcterms:modified xsi:type="dcterms:W3CDTF">2026-08-19T14:21:58.856Z</dcterms:modified>
</cp:coreProperties>
</file>

<file path=docProps/custom.xml><?xml version="1.0" encoding="utf-8"?>
<Properties xmlns="http://schemas.openxmlformats.org/officeDocument/2006/custom-properties" xmlns:vt="http://schemas.openxmlformats.org/officeDocument/2006/docPropsVTypes"/>
</file>