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0d6e6e" w:sz="4"/>
        </w:pBdr>
        <w:spacing w:after="160" w:before="320"/>
      </w:pPr>
      <w:r>
        <w:br/>
        <w:t xml:space="preserve"/>
      </w:r>
      <w:r>
        <w:rPr>
          <w:rFonts w:ascii="Calibri" w:cs="Calibri" w:eastAsia="Calibri" w:hAnsi="Calibri"/>
          <w:b/>
          <w:bCs/>
          <w:color w:val="1a3a5c"/>
          <w:sz w:val="28"/>
          <w:szCs w:val="28"/>
        </w:rPr>
        <w:t xml:space="preserve">Part 7  —  Modeling Lifecycle Rules in Senzing</w:t>
      </w:r>
    </w:p>
    <w:p>
      <w:pPr>
        <w:spacing w:after="80" w:before="60"/>
      </w:pPr>
      <w:r>
        <w:rPr>
          <w:rFonts w:ascii="Calibri" w:cs="Calibri" w:eastAsia="Calibri" w:hAnsi="Calibri"/>
          <w:sz w:val="20"/>
          <w:szCs w:val="20"/>
        </w:rPr>
        <w:t xml:space="preserve">This part maps the detection rules from Part 6 to Senzing's principle-based entity resolution engine.  It covers the JSON record schema, g2config.json feature definitions, matching principles, custom comparator design, and the boundary between what Senzing handles natively, what requires a custom plugin, and what must be implemented in the application layer outside Senzing.</w:t>
      </w:r>
    </w:p>
    <w:p>
      <w:pPr>
        <w:spacing w:after="0" w:before="80"/>
      </w:pPr>
    </w:p>
    <w:p>
      <w:pPr>
        <w:pStyle w:val="Heading2"/>
        <w:spacing w:after="100" w:before="240"/>
      </w:pPr>
      <w:r>
        <w:rPr>
          <w:rFonts w:ascii="Calibri" w:cs="Calibri" w:eastAsia="Calibri" w:hAnsi="Calibri"/>
          <w:b/>
          <w:bCs/>
          <w:color w:val="0d6e6e"/>
          <w:sz w:val="23"/>
          <w:szCs w:val="23"/>
        </w:rPr>
        <w:t xml:space="preserve">7.1  Senzing Resolution Model — Key Concepts</w:t>
      </w:r>
    </w:p>
    <w:p>
      <w:pPr>
        <w:spacing w:after="80" w:before="60"/>
      </w:pPr>
      <w:r>
        <w:rPr>
          <w:rFonts w:ascii="Calibri" w:cs="Calibri" w:eastAsia="Calibri" w:hAnsi="Calibri"/>
          <w:sz w:val="20"/>
          <w:szCs w:val="20"/>
        </w:rPr>
        <w:t xml:space="preserve">Senzing ingests source records, extracts feature values from each record, generates candidate pairs via blocking, scores pairs with comparators, and fires matching principles when score thresholds are met.  Records that satisfy a principle resolve to the same entity.  Three behavioural settings govern how features interact:</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5080"/>
        <w:gridCol w:w="3400"/>
      </w:tblGrid>
      <w:tr>
        <w:tc>
          <w:tcPr>
            <w:tcW w:type="dxa" w:w="1600"/>
            <w:gridSpan w:val="1"/>
            <w:tcBorders>
              <w:top w:val="none" w:color="FFFFFF" w:sz="0"/>
              <w:left w:val="none" w:color="FFFFFF" w:sz="0"/>
              <w:bottom w:val="none" w:color="FFFFFF" w:sz="0"/>
              <w:right w:val="none" w:color="FFFFFF" w:sz="0"/>
            </w:tcBorders>
            <w:shd w:fill="1a3a5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Setting</w:t>
            </w:r>
          </w:p>
        </w:tc>
        <w:tc>
          <w:tcPr>
            <w:tcW w:type="dxa" w:w="5080"/>
            <w:gridSpan w:val="1"/>
            <w:tcBorders>
              <w:top w:val="none" w:color="FFFFFF" w:sz="0"/>
              <w:left w:val="none" w:color="FFFFFF" w:sz="0"/>
              <w:bottom w:val="none" w:color="FFFFFF" w:sz="0"/>
              <w:right w:val="none" w:color="FFFFFF" w:sz="0"/>
            </w:tcBorders>
            <w:shd w:fill="1a3a5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Meaning</w:t>
            </w:r>
          </w:p>
        </w:tc>
        <w:tc>
          <w:tcPr>
            <w:tcW w:type="dxa" w:w="3400"/>
            <w:gridSpan w:val="1"/>
            <w:tcBorders>
              <w:top w:val="none" w:color="FFFFFF" w:sz="0"/>
              <w:left w:val="none" w:color="FFFFFF" w:sz="0"/>
              <w:bottom w:val="none" w:color="FFFFFF" w:sz="0"/>
              <w:right w:val="none" w:color="FFFFFF" w:sz="0"/>
            </w:tcBorders>
            <w:shd w:fill="1a3a5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Our usage</w:t>
            </w:r>
          </w:p>
        </w:tc>
      </w:tr>
      <w:tr>
        <w:tc>
          <w:tcPr>
            <w:gridSpan w:val="1"/>
            <w:tcBorders>
              <w:top w:val="single" w:color="c0ccd8" w:sz="1"/>
              <w:left w:val="single" w:color="c0ccd8" w:sz="1"/>
              <w:bottom w:val="single" w:color="c0ccd8" w:sz="1"/>
              <w:right w:val="single" w:color="c0ccd8" w:sz="1"/>
            </w:tcBorders>
            <w:shd w:fill="d0dce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bCs/>
                <w:i w:val="false"/>
                <w:iCs w:val="false"/>
                <w:color w:val="111111"/>
                <w:sz w:val="18"/>
                <w:szCs w:val="18"/>
              </w:rPr>
              <w:t xml:space="preserve">FTYPE_EXCL = Yes
(EXCLUSIVE)</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Two records that have different non-null values for this feature will NOT be resolved together, even if everything else agrees.  Designed for hard identifiers like SSN or CRD.</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iCs/>
                <w:color w:val="111111"/>
                <w:sz w:val="19"/>
                <w:szCs w:val="19"/>
              </w:rPr>
              <w:t xml:space="preserve">Do NOT apply to email or lead_name — these legitimately differ across sources during transitions.  Apply only to a synthetic team-anchor feature to prevent over-merging splits.</w:t>
            </w:r>
          </w:p>
        </w:tc>
      </w:tr>
      <w:tr>
        <w:tc>
          <w:tcPr>
            <w:gridSpan w:val="1"/>
            <w:tcBorders>
              <w:top w:val="single" w:color="c0ccd8" w:sz="1"/>
              <w:left w:val="single" w:color="c0ccd8" w:sz="1"/>
              <w:bottom w:val="single" w:color="c0ccd8" w:sz="1"/>
              <w:right w:val="single" w:color="c0ccd8" w:sz="1"/>
            </w:tcBorders>
            <w:shd w:fill="d0dce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bCs/>
                <w:i w:val="false"/>
                <w:iCs w:val="false"/>
                <w:color w:val="111111"/>
                <w:sz w:val="18"/>
                <w:szCs w:val="18"/>
              </w:rPr>
              <w:t xml:space="preserve">FTYPE_STAB = Yes
(STABLE)</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Once a feature value is assigned to an entity, it cannot be overridden by a conflicting value from a new record.  Used for immutable identifiers.</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iCs/>
                <w:color w:val="111111"/>
                <w:sz w:val="19"/>
                <w:szCs w:val="19"/>
              </w:rPr>
              <w:t xml:space="preserve">Not used — all four source fields can change legitimately over time.</w:t>
            </w:r>
          </w:p>
        </w:tc>
      </w:tr>
      <w:tr>
        <w:tc>
          <w:tcPr>
            <w:gridSpan w:val="1"/>
            <w:tcBorders>
              <w:top w:val="single" w:color="c0ccd8" w:sz="1"/>
              <w:left w:val="single" w:color="c0ccd8" w:sz="1"/>
              <w:bottom w:val="single" w:color="c0ccd8" w:sz="1"/>
              <w:right w:val="single" w:color="c0ccd8" w:sz="1"/>
            </w:tcBorders>
            <w:shd w:fill="d0dce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bCs/>
                <w:i w:val="false"/>
                <w:iCs w:val="false"/>
                <w:color w:val="111111"/>
                <w:sz w:val="18"/>
                <w:szCs w:val="18"/>
              </w:rPr>
              <w:t xml:space="preserve">FTYPE_FREQ = NAME / COMMON</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Controls how the feature is indexed for candidate generation.  NAME = high-cardinality personal names.  COMMON = lower-cardinality shared values.</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iCs/>
                <w:color w:val="111111"/>
                <w:sz w:val="19"/>
                <w:szCs w:val="19"/>
              </w:rPr>
              <w:t xml:space="preserve">team_name → NAME_ORG (NAME).  firm_name → COMMON.  member names → NAME.</w:t>
            </w:r>
          </w:p>
        </w:tc>
      </w:tr>
    </w:tbl>
    <w:p>
      <w:pPr>
        <w:spacing w:after="0" w:before="80"/>
      </w:pPr>
    </w:p>
    <w:p>
      <w:pPr>
        <w:pStyle w:val="Heading2"/>
        <w:spacing w:after="100" w:before="240"/>
      </w:pPr>
      <w:r>
        <w:rPr>
          <w:rFonts w:ascii="Calibri" w:cs="Calibri" w:eastAsia="Calibri" w:hAnsi="Calibri"/>
          <w:b/>
          <w:bCs/>
          <w:color w:val="0d6e6e"/>
          <w:sz w:val="23"/>
          <w:szCs w:val="23"/>
        </w:rPr>
        <w:t xml:space="preserve">7.2  Source Record JSON Schema</w:t>
      </w:r>
    </w:p>
    <w:p>
      <w:pPr>
        <w:spacing w:after="80" w:before="60"/>
      </w:pPr>
      <w:r>
        <w:rPr>
          <w:rFonts w:ascii="Calibri" w:cs="Calibri" w:eastAsia="Calibri" w:hAnsi="Calibri"/>
          <w:sz w:val="20"/>
          <w:szCs w:val="20"/>
        </w:rPr>
        <w:t xml:space="preserve">Each source record loaded into Senzing must be serialised as a JSON object.  The pipe-delimited members field is split into individual NAME objects so Senzing treats each member as an independent name feature.  Email maps to Senzing's built-in EMAIL feature.  Firm is loaded as a passthrough attribute — it is used for candidate filtering via a custom principle but is not a matching feature itself.</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80"/>
      </w:tblGrid>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"DATA_SOURCE"    : "BROADRIDGE",</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"RECORD_TYPE"   : "ORGANIZATION",</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 team_name → NAME_ORG (org-name feature, fuzzy match)</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"NAME_ORG"      : "Smith Wealth Mgmt Grp",</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 firm_name → stored as attribute; used in custom principle filter</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"FIRM_CANONICAL": "morgan_stanley",</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 lead_name → NAME_FULL with TYPE=LEAD (person-name feature)</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"NAME_LIST": [</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 "NAME_TYPE": "LEAD",   "NAME_FULL": "Bill Smith" },</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 members[] — each pipe-split member becomes a NAME_FULL with TYPE=MEMBER</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 "NAME_TYPE": "MEMBER", "NAME_FULL": "Jane Doe"   },</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 "NAME_TYPE": "MEMBER", "NAME_FULL": "Bob Wilson" }</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 email → built-in EMAIL feature</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"EMAIL_ADDRESS" : "bill.smith@morganstanley.com",</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 address → built-in ADDR_FULL feature</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"ADDR_FULL"     : "123 Main St, New York, NY 10001",</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 synthetic anchor — used as near-exclusive feature to prevent split over-merge</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 computed before load: normalize(lead_last) + lead_first_initial + firm_canonical</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"TEAM_ANCHOR"   : "smith_b_morgan_stanley"</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none" w:color="FFFFFF" w:sz="0"/>
              <w:left w:val="none" w:color="FFFFFF" w:sz="0"/>
              <w:bottom w:val="none" w:color="FFFFFF" w:sz="0"/>
              <w:right w:val="none" w:color="FFFFFF" w:sz="0"/>
            </w:tcBorders>
            <w:shd w:fill="e0f0f0"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sz w:val="20"/>
                <w:szCs w:val="20"/>
              </w:rPr>
              <w:t xml:space="preserve">ℹ  TEAM_ANCHOR computation:  </w:t>
            </w:r>
            <w:r>
              <w:rPr>
                <w:rFonts w:ascii="Calibri" w:cs="Calibri" w:eastAsia="Calibri" w:hAnsi="Calibri"/>
                <w:sz w:val="20"/>
                <w:szCs w:val="20"/>
              </w:rPr>
              <w:t xml:space="preserve">TEAM_ANCHOR = normalize(lead_last_name) + '_' + first_initial + '_' + firm_canonical.  Set to empty string when lead_name is absent (null-safe).  This synthetic key is the field that prevents a SPLIT child from merging into its parent.</w:t>
            </w:r>
          </w:p>
        </w:tc>
      </w:tr>
    </w:tbl>
    <w:p>
      <w:pPr>
        <w:spacing w:after="0" w:before="80"/>
      </w:pPr>
    </w:p>
    <w:p>
      <w:pPr>
        <w:pStyle w:val="Heading2"/>
        <w:spacing w:after="100" w:before="240"/>
      </w:pPr>
      <w:r>
        <w:rPr>
          <w:rFonts w:ascii="Calibri" w:cs="Calibri" w:eastAsia="Calibri" w:hAnsi="Calibri"/>
          <w:b/>
          <w:bCs/>
          <w:color w:val="0d6e6e"/>
          <w:sz w:val="23"/>
          <w:szCs w:val="23"/>
        </w:rPr>
        <w:t xml:space="preserve">7.3  g2config.json Feature and Principle Configuration</w:t>
      </w:r>
    </w:p>
    <w:p>
      <w:pPr>
        <w:spacing w:after="80" w:before="60"/>
      </w:pPr>
      <w:r>
        <w:rPr>
          <w:rFonts w:ascii="Calibri" w:cs="Calibri" w:eastAsia="Calibri" w:hAnsi="Calibri"/>
          <w:sz w:val="20"/>
          <w:szCs w:val="20"/>
        </w:rPr>
        <w:t xml:space="preserve">The following feature types and principles are added to or modified in g2config.json.  NAME_ORG, NAME_FULL, EMAIL, and ADDR_FULL are Senzing built-ins; only their comparator weights need adjustment.  FIRM_CANONICAL and TEAM_ANCHOR are custom.</w:t>
      </w:r>
    </w:p>
    <w:p>
      <w:pPr>
        <w:spacing w:after="0" w:before="40"/>
      </w:pPr>
    </w:p>
    <w:p>
      <w:pPr>
        <w:pStyle w:val="Heading3"/>
        <w:spacing w:after="80" w:before="180"/>
      </w:pPr>
      <w:r>
        <w:rPr>
          <w:rFonts w:ascii="Calibri" w:cs="Calibri" w:eastAsia="Calibri" w:hAnsi="Calibri"/>
          <w:b/>
          <w:bCs/>
          <w:color w:val="4a5568"/>
          <w:sz w:val="21"/>
          <w:szCs w:val="21"/>
        </w:rPr>
        <w:t xml:space="preserve">7.3.1  Feature Type Definitions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1200"/>
        <w:gridCol w:w="1200"/>
        <w:gridCol w:w="2880"/>
      </w:tblGrid>
      <w:tr>
        <w:tc>
          <w:tcPr>
            <w:tcW w:type="dxa" w:w="2000"/>
            <w:gridSpan w:val="1"/>
            <w:tcBorders>
              <w:top w:val="none" w:color="FFFFFF" w:sz="0"/>
              <w:left w:val="none" w:color="FFFFFF" w:sz="0"/>
              <w:bottom w:val="none" w:color="FFFFFF" w:sz="0"/>
              <w:right w:val="none" w:color="FFFFFF" w:sz="0"/>
            </w:tcBorders>
            <w:shd w:fill="1a3a5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FTYPE_CODE</w:t>
            </w:r>
          </w:p>
        </w:tc>
        <w:tc>
          <w:tcPr>
            <w:tcW w:type="dxa" w:w="1600"/>
            <w:gridSpan w:val="1"/>
            <w:tcBorders>
              <w:top w:val="none" w:color="FFFFFF" w:sz="0"/>
              <w:left w:val="none" w:color="FFFFFF" w:sz="0"/>
              <w:bottom w:val="none" w:color="FFFFFF" w:sz="0"/>
              <w:right w:val="none" w:color="FFFFFF" w:sz="0"/>
            </w:tcBorders>
            <w:shd w:fill="1a3a5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Source field</w:t>
            </w:r>
          </w:p>
        </w:tc>
        <w:tc>
          <w:tcPr>
            <w:tcW w:type="dxa" w:w="1200"/>
            <w:gridSpan w:val="1"/>
            <w:tcBorders>
              <w:top w:val="none" w:color="FFFFFF" w:sz="0"/>
              <w:left w:val="none" w:color="FFFFFF" w:sz="0"/>
              <w:bottom w:val="none" w:color="FFFFFF" w:sz="0"/>
              <w:right w:val="none" w:color="FFFFFF" w:sz="0"/>
            </w:tcBorders>
            <w:shd w:fill="1a3a5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FTYPE_EXCL</w:t>
            </w:r>
          </w:p>
        </w:tc>
        <w:tc>
          <w:tcPr>
            <w:tcW w:type="dxa" w:w="1200"/>
            <w:gridSpan w:val="1"/>
            <w:tcBorders>
              <w:top w:val="none" w:color="FFFFFF" w:sz="0"/>
              <w:left w:val="none" w:color="FFFFFF" w:sz="0"/>
              <w:bottom w:val="none" w:color="FFFFFF" w:sz="0"/>
              <w:right w:val="none" w:color="FFFFFF" w:sz="0"/>
            </w:tcBorders>
            <w:shd w:fill="1a3a5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FTYPE_STAB</w:t>
            </w:r>
          </w:p>
        </w:tc>
        <w:tc>
          <w:tcPr>
            <w:tcW w:type="dxa" w:w="1200"/>
            <w:gridSpan w:val="1"/>
            <w:tcBorders>
              <w:top w:val="none" w:color="FFFFFF" w:sz="0"/>
              <w:left w:val="none" w:color="FFFFFF" w:sz="0"/>
              <w:bottom w:val="none" w:color="FFFFFF" w:sz="0"/>
              <w:right w:val="none" w:color="FFFFFF" w:sz="0"/>
            </w:tcBorders>
            <w:shd w:fill="1a3a5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FTYPE_FREQ</w:t>
            </w:r>
          </w:p>
        </w:tc>
        <w:tc>
          <w:tcPr>
            <w:tcW w:type="dxa" w:w="2880"/>
            <w:gridSpan w:val="1"/>
            <w:tcBorders>
              <w:top w:val="none" w:color="FFFFFF" w:sz="0"/>
              <w:left w:val="none" w:color="FFFFFF" w:sz="0"/>
              <w:bottom w:val="none" w:color="FFFFFF" w:sz="0"/>
              <w:right w:val="none" w:color="FFFFFF" w:sz="0"/>
            </w:tcBorders>
            <w:shd w:fill="1a3a5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Comparator</w:t>
            </w:r>
          </w:p>
        </w:tc>
      </w:tr>
      <w:tr>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bCs/>
                <w:i w:val="false"/>
                <w:iCs w:val="false"/>
                <w:color w:val="111111"/>
                <w:sz w:val="18"/>
                <w:szCs w:val="18"/>
              </w:rPr>
              <w:t xml:space="preserve">NAME_ORG</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team_name</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center"/>
            </w:pPr>
            <w:r>
              <w:rPr>
                <w:rFonts w:ascii="Calibri" w:cs="Calibri" w:eastAsia="Calibri" w:hAnsi="Calibri"/>
                <w:b w:val="false"/>
                <w:bCs w:val="false"/>
                <w:i w:val="false"/>
                <w:iCs w:val="false"/>
                <w:color w:val="111111"/>
                <w:sz w:val="19"/>
                <w:szCs w:val="19"/>
              </w:rPr>
              <w:t xml:space="preserve">No</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center"/>
            </w:pPr>
            <w:r>
              <w:rPr>
                <w:rFonts w:ascii="Calibri" w:cs="Calibri" w:eastAsia="Calibri" w:hAnsi="Calibri"/>
                <w:b w:val="false"/>
                <w:bCs w:val="false"/>
                <w:i w:val="false"/>
                <w:iCs w:val="false"/>
                <w:color w:val="111111"/>
                <w:sz w:val="19"/>
                <w:szCs w:val="19"/>
              </w:rPr>
              <w:t xml:space="preserve">No</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center"/>
            </w:pPr>
            <w:r>
              <w:rPr>
                <w:rFonts w:ascii="Calibri" w:cs="Calibri" w:eastAsia="Calibri" w:hAnsi="Calibri"/>
                <w:b w:val="false"/>
                <w:bCs w:val="false"/>
                <w:i w:val="false"/>
                <w:iCs w:val="false"/>
                <w:color w:val="111111"/>
                <w:sz w:val="19"/>
                <w:szCs w:val="19"/>
              </w:rPr>
              <w:t xml:space="preserve">NAME</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COMPANY_NAME_COMP (built-in; fuzzy token)</w:t>
            </w:r>
          </w:p>
        </w:tc>
      </w:tr>
      <w:tr>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bCs/>
                <w:i w:val="false"/>
                <w:iCs w:val="false"/>
                <w:color w:val="111111"/>
                <w:sz w:val="18"/>
                <w:szCs w:val="18"/>
              </w:rPr>
              <w:t xml:space="preserve">NAME_FULL
(TYPE=LEAD)</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lead_name</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center"/>
            </w:pPr>
            <w:r>
              <w:rPr>
                <w:rFonts w:ascii="Calibri" w:cs="Calibri" w:eastAsia="Calibri" w:hAnsi="Calibri"/>
                <w:b w:val="false"/>
                <w:bCs w:val="false"/>
                <w:i w:val="false"/>
                <w:iCs w:val="false"/>
                <w:color w:val="111111"/>
                <w:sz w:val="19"/>
                <w:szCs w:val="19"/>
              </w:rPr>
              <w:t xml:space="preserve">No</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center"/>
            </w:pPr>
            <w:r>
              <w:rPr>
                <w:rFonts w:ascii="Calibri" w:cs="Calibri" w:eastAsia="Calibri" w:hAnsi="Calibri"/>
                <w:b w:val="false"/>
                <w:bCs w:val="false"/>
                <w:i w:val="false"/>
                <w:iCs w:val="false"/>
                <w:color w:val="111111"/>
                <w:sz w:val="19"/>
                <w:szCs w:val="19"/>
              </w:rPr>
              <w:t xml:space="preserve">No</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center"/>
            </w:pPr>
            <w:r>
              <w:rPr>
                <w:rFonts w:ascii="Calibri" w:cs="Calibri" w:eastAsia="Calibri" w:hAnsi="Calibri"/>
                <w:b w:val="false"/>
                <w:bCs w:val="false"/>
                <w:i w:val="false"/>
                <w:iCs w:val="false"/>
                <w:color w:val="111111"/>
                <w:sz w:val="19"/>
                <w:szCs w:val="19"/>
              </w:rPr>
              <w:t xml:space="preserve">NAME</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PERSONAL_NAME_COMP (built-in; Jaro-Winkler + informal map)</w:t>
            </w:r>
          </w:p>
        </w:tc>
      </w:tr>
      <w:tr>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bCs/>
                <w:i w:val="false"/>
                <w:iCs w:val="false"/>
                <w:color w:val="111111"/>
                <w:sz w:val="18"/>
                <w:szCs w:val="18"/>
              </w:rPr>
              <w:t xml:space="preserve">NAME_FULL
(TYPE=MEMBER)</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members[]</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center"/>
            </w:pPr>
            <w:r>
              <w:rPr>
                <w:rFonts w:ascii="Calibri" w:cs="Calibri" w:eastAsia="Calibri" w:hAnsi="Calibri"/>
                <w:b w:val="false"/>
                <w:bCs w:val="false"/>
                <w:i w:val="false"/>
                <w:iCs w:val="false"/>
                <w:color w:val="111111"/>
                <w:sz w:val="19"/>
                <w:szCs w:val="19"/>
              </w:rPr>
              <w:t xml:space="preserve">No</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center"/>
            </w:pPr>
            <w:r>
              <w:rPr>
                <w:rFonts w:ascii="Calibri" w:cs="Calibri" w:eastAsia="Calibri" w:hAnsi="Calibri"/>
                <w:b w:val="false"/>
                <w:bCs w:val="false"/>
                <w:i w:val="false"/>
                <w:iCs w:val="false"/>
                <w:color w:val="111111"/>
                <w:sz w:val="19"/>
                <w:szCs w:val="19"/>
              </w:rPr>
              <w:t xml:space="preserve">No</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center"/>
            </w:pPr>
            <w:r>
              <w:rPr>
                <w:rFonts w:ascii="Calibri" w:cs="Calibri" w:eastAsia="Calibri" w:hAnsi="Calibri"/>
                <w:b w:val="false"/>
                <w:bCs w:val="false"/>
                <w:i w:val="false"/>
                <w:iCs w:val="false"/>
                <w:color w:val="111111"/>
                <w:sz w:val="19"/>
                <w:szCs w:val="19"/>
              </w:rPr>
              <w:t xml:space="preserve">NAME</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PERSONAL_NAME_COMP</w:t>
            </w:r>
          </w:p>
        </w:tc>
      </w:tr>
      <w:tr>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bCs/>
                <w:i w:val="false"/>
                <w:iCs w:val="false"/>
                <w:color w:val="111111"/>
                <w:sz w:val="18"/>
                <w:szCs w:val="18"/>
              </w:rPr>
              <w:t xml:space="preserve">EMAIL</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email</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center"/>
            </w:pPr>
            <w:r>
              <w:rPr>
                <w:rFonts w:ascii="Calibri" w:cs="Calibri" w:eastAsia="Calibri" w:hAnsi="Calibri"/>
                <w:b w:val="false"/>
                <w:bCs w:val="false"/>
                <w:i w:val="false"/>
                <w:iCs w:val="false"/>
                <w:color w:val="111111"/>
                <w:sz w:val="19"/>
                <w:szCs w:val="19"/>
              </w:rPr>
              <w:t xml:space="preserve">No</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center"/>
            </w:pPr>
            <w:r>
              <w:rPr>
                <w:rFonts w:ascii="Calibri" w:cs="Calibri" w:eastAsia="Calibri" w:hAnsi="Calibri"/>
                <w:b w:val="false"/>
                <w:bCs w:val="false"/>
                <w:i w:val="false"/>
                <w:iCs w:val="false"/>
                <w:color w:val="111111"/>
                <w:sz w:val="19"/>
                <w:szCs w:val="19"/>
              </w:rPr>
              <w:t xml:space="preserve">No</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center"/>
            </w:pPr>
            <w:r>
              <w:rPr>
                <w:rFonts w:ascii="Calibri" w:cs="Calibri" w:eastAsia="Calibri" w:hAnsi="Calibri"/>
                <w:b w:val="false"/>
                <w:bCs w:val="false"/>
                <w:i w:val="false"/>
                <w:iCs w:val="false"/>
                <w:color w:val="111111"/>
                <w:sz w:val="19"/>
                <w:szCs w:val="19"/>
              </w:rPr>
              <w:t xml:space="preserve">COMMON</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EMAIL_COMP (built-in; exact after normalization)</w:t>
            </w:r>
          </w:p>
        </w:tc>
      </w:tr>
      <w:tr>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bCs/>
                <w:i w:val="false"/>
                <w:iCs w:val="false"/>
                <w:color w:val="111111"/>
                <w:sz w:val="18"/>
                <w:szCs w:val="18"/>
              </w:rPr>
              <w:t xml:space="preserve">ADDR_FULL</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address</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center"/>
            </w:pPr>
            <w:r>
              <w:rPr>
                <w:rFonts w:ascii="Calibri" w:cs="Calibri" w:eastAsia="Calibri" w:hAnsi="Calibri"/>
                <w:b w:val="false"/>
                <w:bCs w:val="false"/>
                <w:i w:val="false"/>
                <w:iCs w:val="false"/>
                <w:color w:val="111111"/>
                <w:sz w:val="19"/>
                <w:szCs w:val="19"/>
              </w:rPr>
              <w:t xml:space="preserve">No</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center"/>
            </w:pPr>
            <w:r>
              <w:rPr>
                <w:rFonts w:ascii="Calibri" w:cs="Calibri" w:eastAsia="Calibri" w:hAnsi="Calibri"/>
                <w:b w:val="false"/>
                <w:bCs w:val="false"/>
                <w:i w:val="false"/>
                <w:iCs w:val="false"/>
                <w:color w:val="111111"/>
                <w:sz w:val="19"/>
                <w:szCs w:val="19"/>
              </w:rPr>
              <w:t xml:space="preserve">No</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center"/>
            </w:pPr>
            <w:r>
              <w:rPr>
                <w:rFonts w:ascii="Calibri" w:cs="Calibri" w:eastAsia="Calibri" w:hAnsi="Calibri"/>
                <w:b w:val="false"/>
                <w:bCs w:val="false"/>
                <w:i w:val="false"/>
                <w:iCs w:val="false"/>
                <w:color w:val="111111"/>
                <w:sz w:val="19"/>
                <w:szCs w:val="19"/>
              </w:rPr>
              <w:t xml:space="preserve">COMMON</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ADDR_COMP (built-in; token overlap + zip)</w:t>
            </w:r>
          </w:p>
        </w:tc>
      </w:tr>
      <w:tr>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bCs/>
                <w:i w:val="false"/>
                <w:iCs w:val="false"/>
                <w:color w:val="111111"/>
                <w:sz w:val="18"/>
                <w:szCs w:val="18"/>
              </w:rPr>
              <w:t xml:space="preserve">FIRM_CANONICAL</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firm_name→slug</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center"/>
            </w:pPr>
            <w:r>
              <w:rPr>
                <w:rFonts w:ascii="Calibri" w:cs="Calibri" w:eastAsia="Calibri" w:hAnsi="Calibri"/>
                <w:b w:val="false"/>
                <w:bCs w:val="false"/>
                <w:i w:val="false"/>
                <w:iCs w:val="false"/>
                <w:color w:val="111111"/>
                <w:sz w:val="19"/>
                <w:szCs w:val="19"/>
              </w:rPr>
              <w:t xml:space="preserve">No</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center"/>
            </w:pPr>
            <w:r>
              <w:rPr>
                <w:rFonts w:ascii="Calibri" w:cs="Calibri" w:eastAsia="Calibri" w:hAnsi="Calibri"/>
                <w:b w:val="false"/>
                <w:bCs w:val="false"/>
                <w:i w:val="false"/>
                <w:iCs w:val="false"/>
                <w:color w:val="111111"/>
                <w:sz w:val="19"/>
                <w:szCs w:val="19"/>
              </w:rPr>
              <w:t xml:space="preserve">No</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center"/>
            </w:pPr>
            <w:r>
              <w:rPr>
                <w:rFonts w:ascii="Calibri" w:cs="Calibri" w:eastAsia="Calibri" w:hAnsi="Calibri"/>
                <w:b w:val="false"/>
                <w:bCs w:val="false"/>
                <w:i w:val="false"/>
                <w:iCs w:val="false"/>
                <w:color w:val="111111"/>
                <w:sz w:val="19"/>
                <w:szCs w:val="19"/>
              </w:rPr>
              <w:t xml:space="preserve">COMMON</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STRING_COMP (exact slug match)</w:t>
            </w:r>
          </w:p>
        </w:tc>
      </w:tr>
      <w:tr>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bCs/>
                <w:i w:val="false"/>
                <w:iCs w:val="false"/>
                <w:color w:val="111111"/>
                <w:sz w:val="18"/>
                <w:szCs w:val="18"/>
              </w:rPr>
              <w:t xml:space="preserve">TEAM_ANCHOR</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computed</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center"/>
            </w:pPr>
            <w:r>
              <w:rPr>
                <w:rFonts w:ascii="Calibri" w:cs="Calibri" w:eastAsia="Calibri" w:hAnsi="Calibri"/>
                <w:b w:val="false"/>
                <w:bCs w:val="false"/>
                <w:i w:val="false"/>
                <w:iCs w:val="false"/>
                <w:color w:val="111111"/>
                <w:sz w:val="19"/>
                <w:szCs w:val="19"/>
              </w:rPr>
              <w:t xml:space="preserve">Yes*</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center"/>
            </w:pPr>
            <w:r>
              <w:rPr>
                <w:rFonts w:ascii="Calibri" w:cs="Calibri" w:eastAsia="Calibri" w:hAnsi="Calibri"/>
                <w:b w:val="false"/>
                <w:bCs w:val="false"/>
                <w:i w:val="false"/>
                <w:iCs w:val="false"/>
                <w:color w:val="111111"/>
                <w:sz w:val="19"/>
                <w:szCs w:val="19"/>
              </w:rPr>
              <w:t xml:space="preserve">No</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center"/>
            </w:pPr>
            <w:r>
              <w:rPr>
                <w:rFonts w:ascii="Calibri" w:cs="Calibri" w:eastAsia="Calibri" w:hAnsi="Calibri"/>
                <w:b w:val="false"/>
                <w:bCs w:val="false"/>
                <w:i w:val="false"/>
                <w:iCs w:val="false"/>
                <w:color w:val="111111"/>
                <w:sz w:val="19"/>
                <w:szCs w:val="19"/>
              </w:rPr>
              <w:t xml:space="preserve">COMMON</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STRING_COMP (exact; *near-exclusive, see 7.3.2)</w:t>
            </w:r>
          </w:p>
        </w:tc>
      </w:tr>
    </w:tbl>
    <w:p>
      <w:pPr>
        <w:spacing w:after="0" w:before="60"/>
      </w:pPr>
    </w:p>
    <w:p>
      <w:pPr>
        <w:pStyle w:val="Heading3"/>
        <w:spacing w:after="80" w:before="180"/>
      </w:pPr>
      <w:r>
        <w:rPr>
          <w:rFonts w:ascii="Calibri" w:cs="Calibri" w:eastAsia="Calibri" w:hAnsi="Calibri"/>
          <w:b/>
          <w:bCs/>
          <w:color w:val="4a5568"/>
          <w:sz w:val="21"/>
          <w:szCs w:val="21"/>
        </w:rPr>
        <w:t xml:space="preserve">7.3.2  TEAM_ANCHOR Near-Exclusive Behaviour</w:t>
      </w:r>
    </w:p>
    <w:p>
      <w:pPr>
        <w:spacing w:after="80" w:before="60"/>
      </w:pPr>
      <w:r>
        <w:rPr>
          <w:rFonts w:ascii="Calibri" w:cs="Calibri" w:eastAsia="Calibri" w:hAnsi="Calibri"/>
          <w:sz w:val="20"/>
          <w:szCs w:val="20"/>
        </w:rPr>
        <w:t xml:space="preserve">TEAM_ANCHOR is marked EXCLUSIVE in g2config.json.  This means Senzing will not resolve two records that have different non-empty TEAM_ANCHOR values, even if they share member names.  This is the primary guard against a SPLIT child being incorrectly merged into its parent — they share firm and some members but have different leads, producing different TEAM_ANCHOR values.</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none" w:color="FFFFFF" w:sz="0"/>
              <w:left w:val="none" w:color="FFFFFF" w:sz="0"/>
              <w:bottom w:val="none" w:color="FFFFFF" w:sz="0"/>
              <w:right w:val="none" w:color="FFFFFF" w:sz="0"/>
            </w:tcBorders>
            <w:shd w:fill="fff3cd"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sz w:val="20"/>
                <w:szCs w:val="20"/>
              </w:rPr>
              <w:t xml:space="preserve">⚠  Null handling:  </w:t>
            </w:r>
            <w:r>
              <w:rPr>
                <w:rFonts w:ascii="Calibri" w:cs="Calibri" w:eastAsia="Calibri" w:hAnsi="Calibri"/>
                <w:sz w:val="20"/>
                <w:szCs w:val="20"/>
              </w:rPr>
              <w:t xml:space="preserve">When lead_name is absent, set TEAM_ANCHOR to an empty string, not null.  Senzing treats null as 'no value' and ignores EXCLUSIVE for that record.  An empty string also bypasses EXCLUSIVE, allowing sparse records to still resolve via other signals.  Load logic: TEAM_ANCHOR = '' when lead absent.</w:t>
            </w:r>
          </w:p>
        </w:tc>
      </w:tr>
    </w:tbl>
    <w:p>
      <w:pPr>
        <w:spacing w:after="0" w:before="60"/>
      </w:pPr>
    </w:p>
    <w:p>
      <w:pPr>
        <w:pStyle w:val="Heading3"/>
        <w:spacing w:after="80" w:before="180"/>
      </w:pPr>
      <w:r>
        <w:rPr>
          <w:rFonts w:ascii="Calibri" w:cs="Calibri" w:eastAsia="Calibri" w:hAnsi="Calibri"/>
          <w:b/>
          <w:bCs/>
          <w:color w:val="4a5568"/>
          <w:sz w:val="21"/>
          <w:szCs w:val="21"/>
        </w:rPr>
        <w:t xml:space="preserve">7.3.3  Matching Principles</w:t>
      </w:r>
    </w:p>
    <w:p>
      <w:pPr>
        <w:spacing w:after="80" w:before="60"/>
      </w:pPr>
      <w:r>
        <w:rPr>
          <w:rFonts w:ascii="Calibri" w:cs="Calibri" w:eastAsia="Calibri" w:hAnsi="Calibri"/>
          <w:sz w:val="20"/>
          <w:szCs w:val="20"/>
        </w:rPr>
        <w:t xml:space="preserve">Principles fire in order; the first that fires determines the resolved entity.  All principles implicitly require that TEAM_ANCHOR either matches or is empty on at least one side (EXCLUSIVE enforcement).</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200"/>
        <w:gridCol w:w="3680"/>
      </w:tblGrid>
      <w:tr>
        <w:tc>
          <w:tcPr>
            <w:tcW w:type="dxa" w:w="1200"/>
            <w:gridSpan w:val="1"/>
            <w:tcBorders>
              <w:top w:val="none" w:color="FFFFFF" w:sz="0"/>
              <w:left w:val="none" w:color="FFFFFF" w:sz="0"/>
              <w:bottom w:val="none" w:color="FFFFFF" w:sz="0"/>
              <w:right w:val="none" w:color="FFFFFF" w:sz="0"/>
            </w:tcBorders>
            <w:shd w:fill="1a3a5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Principle ID</w:t>
            </w:r>
          </w:p>
        </w:tc>
        <w:tc>
          <w:tcPr>
            <w:tcW w:type="dxa" w:w="4000"/>
            <w:gridSpan w:val="1"/>
            <w:tcBorders>
              <w:top w:val="none" w:color="FFFFFF" w:sz="0"/>
              <w:left w:val="none" w:color="FFFFFF" w:sz="0"/>
              <w:bottom w:val="none" w:color="FFFFFF" w:sz="0"/>
              <w:right w:val="none" w:color="FFFFFF" w:sz="0"/>
            </w:tcBorders>
            <w:shd w:fill="1a3a5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Fires when</w:t>
            </w:r>
          </w:p>
        </w:tc>
        <w:tc>
          <w:tcPr>
            <w:tcW w:type="dxa" w:w="1200"/>
            <w:gridSpan w:val="1"/>
            <w:tcBorders>
              <w:top w:val="none" w:color="FFFFFF" w:sz="0"/>
              <w:left w:val="none" w:color="FFFFFF" w:sz="0"/>
              <w:bottom w:val="none" w:color="FFFFFF" w:sz="0"/>
              <w:right w:val="none" w:color="FFFFFF" w:sz="0"/>
            </w:tcBorders>
            <w:shd w:fill="1a3a5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Resolves</w:t>
            </w:r>
          </w:p>
        </w:tc>
        <w:tc>
          <w:tcPr>
            <w:tcW w:type="dxa" w:w="3680"/>
            <w:gridSpan w:val="1"/>
            <w:tcBorders>
              <w:top w:val="none" w:color="FFFFFF" w:sz="0"/>
              <w:left w:val="none" w:color="FFFFFF" w:sz="0"/>
              <w:bottom w:val="none" w:color="FFFFFF" w:sz="0"/>
              <w:right w:val="none" w:color="FFFFFF" w:sz="0"/>
            </w:tcBorders>
            <w:shd w:fill="1a3a5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Primary lifecycle event handled</w:t>
            </w:r>
          </w:p>
        </w:tc>
      </w:tr>
      <w:tr>
        <w:tc>
          <w:tcPr>
            <w:gridSpan w:val="1"/>
            <w:tcBorders>
              <w:top w:val="single" w:color="c0ccd8" w:sz="1"/>
              <w:left w:val="single" w:color="c0ccd8" w:sz="1"/>
              <w:bottom w:val="single" w:color="c0ccd8" w:sz="1"/>
              <w:right w:val="single" w:color="c0ccd8" w:sz="1"/>
            </w:tcBorders>
            <w:shd w:fill="d0dce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bCs/>
                <w:i w:val="false"/>
                <w:iCs w:val="false"/>
                <w:color w:val="111111"/>
                <w:sz w:val="18"/>
                <w:szCs w:val="18"/>
              </w:rPr>
              <w:t xml:space="preserve">P-1
EMAIL_MATCH</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EMAIL agrees exactly (post-normalization)
FIRM_CANONICAL agrees</w:t>
            </w:r>
          </w:p>
        </w:tc>
        <w:tc>
          <w:tcPr>
            <w:gridSpan w:val="1"/>
            <w:tcBorders>
              <w:top w:val="single" w:color="c0ccd8" w:sz="1"/>
              <w:left w:val="single" w:color="c0ccd8" w:sz="1"/>
              <w:bottom w:val="single" w:color="c0ccd8" w:sz="1"/>
              <w:right w:val="single" w:color="c0ccd8" w:sz="1"/>
            </w:tcBorders>
            <w:shd w:fill="d4edda" w:color="auto" w:val="clear"/>
            <w:tcMar>
              <w:top w:type="dxa" w:w="60"/>
              <w:left w:type="dxa" w:w="80"/>
              <w:bottom w:type="dxa" w:w="60"/>
              <w:right w:type="dxa" w:w="60"/>
            </w:tcMar>
          </w:tcPr>
          <w:p>
            <w:pPr>
              <w:spacing w:after="40" w:before="40"/>
              <w:ind w:left="60" w:right="40"/>
              <w:jc w:val="center"/>
            </w:pPr>
            <w:r>
              <w:rPr>
                <w:rFonts w:ascii="Calibri" w:cs="Calibri" w:eastAsia="Calibri" w:hAnsi="Calibri"/>
                <w:b/>
                <w:bCs/>
                <w:i w:val="false"/>
                <w:iCs w:val="false"/>
                <w:color w:val="1a7a4a"/>
                <w:sz w:val="19"/>
                <w:szCs w:val="19"/>
              </w:rPr>
              <w:t xml:space="preserve">YES</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RENAME (email survives the name change)
MEMBER_CHANGE (email survives)
General dedup</w:t>
            </w:r>
          </w:p>
        </w:tc>
      </w:tr>
      <w:tr>
        <w:tc>
          <w:tcPr>
            <w:gridSpan w:val="1"/>
            <w:tcBorders>
              <w:top w:val="single" w:color="c0ccd8" w:sz="1"/>
              <w:left w:val="single" w:color="c0ccd8" w:sz="1"/>
              <w:bottom w:val="single" w:color="c0ccd8" w:sz="1"/>
              <w:right w:val="single" w:color="c0ccd8" w:sz="1"/>
            </w:tcBorders>
            <w:shd w:fill="d0dce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bCs/>
                <w:i w:val="false"/>
                <w:iCs w:val="false"/>
                <w:color w:val="111111"/>
                <w:sz w:val="18"/>
                <w:szCs w:val="18"/>
              </w:rPr>
              <w:t xml:space="preserve">P-2
LEAD_FIRM</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NAME_FULL(LEAD) Jaro-Winkler ≥ 0.88 after informal mapping
FIRM_CANONICAL agrees exactly</w:t>
            </w:r>
          </w:p>
        </w:tc>
        <w:tc>
          <w:tcPr>
            <w:gridSpan w:val="1"/>
            <w:tcBorders>
              <w:top w:val="single" w:color="c0ccd8" w:sz="1"/>
              <w:left w:val="single" w:color="c0ccd8" w:sz="1"/>
              <w:bottom w:val="single" w:color="c0ccd8" w:sz="1"/>
              <w:right w:val="single" w:color="c0ccd8" w:sz="1"/>
            </w:tcBorders>
            <w:shd w:fill="d4edda" w:color="auto" w:val="clear"/>
            <w:tcMar>
              <w:top w:type="dxa" w:w="60"/>
              <w:left w:type="dxa" w:w="80"/>
              <w:bottom w:type="dxa" w:w="60"/>
              <w:right w:type="dxa" w:w="60"/>
            </w:tcMar>
          </w:tcPr>
          <w:p>
            <w:pPr>
              <w:spacing w:after="40" w:before="40"/>
              <w:ind w:left="60" w:right="40"/>
              <w:jc w:val="center"/>
            </w:pPr>
            <w:r>
              <w:rPr>
                <w:rFonts w:ascii="Calibri" w:cs="Calibri" w:eastAsia="Calibri" w:hAnsi="Calibri"/>
                <w:b/>
                <w:bCs/>
                <w:i w:val="false"/>
                <w:iCs w:val="false"/>
                <w:color w:val="1a7a4a"/>
                <w:sz w:val="19"/>
                <w:szCs w:val="19"/>
              </w:rPr>
              <w:t xml:space="preserve">YES</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General dedup when email absent
MEMBER_CHANGE (team name same, lead same across sources)</w:t>
            </w:r>
          </w:p>
        </w:tc>
      </w:tr>
      <w:tr>
        <w:tc>
          <w:tcPr>
            <w:gridSpan w:val="1"/>
            <w:tcBorders>
              <w:top w:val="single" w:color="c0ccd8" w:sz="1"/>
              <w:left w:val="single" w:color="c0ccd8" w:sz="1"/>
              <w:bottom w:val="single" w:color="c0ccd8" w:sz="1"/>
              <w:right w:val="single" w:color="c0ccd8" w:sz="1"/>
            </w:tcBorders>
            <w:shd w:fill="d0dce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bCs/>
                <w:i w:val="false"/>
                <w:iCs w:val="false"/>
                <w:color w:val="111111"/>
                <w:sz w:val="18"/>
                <w:szCs w:val="18"/>
              </w:rPr>
              <w:t xml:space="preserve">P-3
NAME_ORG_FIRM</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NAME_ORG token-set similarity ≥ 0.85
FIRM_CANONICAL agrees exactly</w:t>
            </w:r>
          </w:p>
        </w:tc>
        <w:tc>
          <w:tcPr>
            <w:gridSpan w:val="1"/>
            <w:tcBorders>
              <w:top w:val="single" w:color="c0ccd8" w:sz="1"/>
              <w:left w:val="single" w:color="c0ccd8" w:sz="1"/>
              <w:bottom w:val="single" w:color="c0ccd8" w:sz="1"/>
              <w:right w:val="single" w:color="c0ccd8" w:sz="1"/>
            </w:tcBorders>
            <w:shd w:fill="d4edda" w:color="auto" w:val="clear"/>
            <w:tcMar>
              <w:top w:type="dxa" w:w="60"/>
              <w:left w:type="dxa" w:w="80"/>
              <w:bottom w:type="dxa" w:w="60"/>
              <w:right w:type="dxa" w:w="60"/>
            </w:tcMar>
          </w:tcPr>
          <w:p>
            <w:pPr>
              <w:spacing w:after="40" w:before="40"/>
              <w:ind w:left="60" w:right="40"/>
              <w:jc w:val="center"/>
            </w:pPr>
            <w:r>
              <w:rPr>
                <w:rFonts w:ascii="Calibri" w:cs="Calibri" w:eastAsia="Calibri" w:hAnsi="Calibri"/>
                <w:b/>
                <w:bCs/>
                <w:i w:val="false"/>
                <w:iCs w:val="false"/>
                <w:color w:val="1a7a4a"/>
                <w:sz w:val="19"/>
                <w:szCs w:val="19"/>
              </w:rPr>
              <w:t xml:space="preserve">YES</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STABLE records across sources with consistent name
MEMBER_CHANGE (team name stable)</w:t>
            </w:r>
          </w:p>
        </w:tc>
      </w:tr>
      <w:tr>
        <w:tc>
          <w:tcPr>
            <w:gridSpan w:val="1"/>
            <w:tcBorders>
              <w:top w:val="single" w:color="c0ccd8" w:sz="1"/>
              <w:left w:val="single" w:color="c0ccd8" w:sz="1"/>
              <w:bottom w:val="single" w:color="c0ccd8" w:sz="1"/>
              <w:right w:val="single" w:color="c0ccd8" w:sz="1"/>
            </w:tcBorders>
            <w:shd w:fill="d0dce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bCs/>
                <w:i w:val="false"/>
                <w:iCs w:val="false"/>
                <w:color w:val="111111"/>
                <w:sz w:val="18"/>
                <w:szCs w:val="18"/>
              </w:rPr>
              <w:t xml:space="preserve">P-4
MEMBER_OVERLAP_FIRM</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 2 NAME_FULL(MEMBER) pairs score CLOSE or better
FIRM_CANONICAL agrees exactly
NAME_ORG similarity ≥ 0.50 (loose — allows RENAME)</w:t>
            </w:r>
          </w:p>
        </w:tc>
        <w:tc>
          <w:tcPr>
            <w:gridSpan w:val="1"/>
            <w:tcBorders>
              <w:top w:val="single" w:color="c0ccd8" w:sz="1"/>
              <w:left w:val="single" w:color="c0ccd8" w:sz="1"/>
              <w:bottom w:val="single" w:color="c0ccd8" w:sz="1"/>
              <w:right w:val="single" w:color="c0ccd8" w:sz="1"/>
            </w:tcBorders>
            <w:shd w:fill="d4edda" w:color="auto" w:val="clear"/>
            <w:tcMar>
              <w:top w:type="dxa" w:w="60"/>
              <w:left w:type="dxa" w:w="80"/>
              <w:bottom w:type="dxa" w:w="60"/>
              <w:right w:type="dxa" w:w="60"/>
            </w:tcMar>
          </w:tcPr>
          <w:p>
            <w:pPr>
              <w:spacing w:after="40" w:before="40"/>
              <w:ind w:left="60" w:right="40"/>
              <w:jc w:val="center"/>
            </w:pPr>
            <w:r>
              <w:rPr>
                <w:rFonts w:ascii="Calibri" w:cs="Calibri" w:eastAsia="Calibri" w:hAnsi="Calibri"/>
                <w:b/>
                <w:bCs/>
                <w:i w:val="false"/>
                <w:iCs w:val="false"/>
                <w:color w:val="1a7a4a"/>
                <w:sz w:val="19"/>
                <w:szCs w:val="19"/>
              </w:rPr>
              <w:t xml:space="preserve">YES</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RENAME when email absent but members stable
General dedup across sources with name variation</w:t>
            </w:r>
          </w:p>
        </w:tc>
      </w:tr>
      <w:tr>
        <w:tc>
          <w:tcPr>
            <w:gridSpan w:val="1"/>
            <w:tcBorders>
              <w:top w:val="single" w:color="c0ccd8" w:sz="1"/>
              <w:left w:val="single" w:color="c0ccd8" w:sz="1"/>
              <w:bottom w:val="single" w:color="c0ccd8" w:sz="1"/>
              <w:right w:val="single" w:color="c0ccd8" w:sz="1"/>
            </w:tcBorders>
            <w:shd w:fill="d0dce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bCs/>
                <w:i w:val="false"/>
                <w:iCs w:val="false"/>
                <w:color w:val="111111"/>
                <w:sz w:val="18"/>
                <w:szCs w:val="18"/>
              </w:rPr>
              <w:t xml:space="preserve">P-5
MEMBER_ANCHOR</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 3 NAME_FULL(MEMBER) pairs score CLOSE or better
FIRM_CANONICAL agrees exactly
(NAME_ORG not required — handles full rename)</w:t>
            </w:r>
          </w:p>
        </w:tc>
        <w:tc>
          <w:tcPr>
            <w:gridSpan w:val="1"/>
            <w:tcBorders>
              <w:top w:val="single" w:color="c0ccd8" w:sz="1"/>
              <w:left w:val="single" w:color="c0ccd8" w:sz="1"/>
              <w:bottom w:val="single" w:color="c0ccd8" w:sz="1"/>
              <w:right w:val="single" w:color="c0ccd8" w:sz="1"/>
            </w:tcBorders>
            <w:shd w:fill="d4edda" w:color="auto" w:val="clear"/>
            <w:tcMar>
              <w:top w:type="dxa" w:w="60"/>
              <w:left w:type="dxa" w:w="80"/>
              <w:bottom w:type="dxa" w:w="60"/>
              <w:right w:type="dxa" w:w="60"/>
            </w:tcMar>
          </w:tcPr>
          <w:p>
            <w:pPr>
              <w:spacing w:after="40" w:before="40"/>
              <w:ind w:left="60" w:right="40"/>
              <w:jc w:val="center"/>
            </w:pPr>
            <w:r>
              <w:rPr>
                <w:rFonts w:ascii="Calibri" w:cs="Calibri" w:eastAsia="Calibri" w:hAnsi="Calibri"/>
                <w:b/>
                <w:bCs/>
                <w:i w:val="false"/>
                <w:iCs w:val="false"/>
                <w:color w:val="1a7a4a"/>
                <w:sz w:val="19"/>
                <w:szCs w:val="19"/>
              </w:rPr>
              <w:t xml:space="preserve">YES</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RENAME where team name is completely different but member set is stable
Used as fallback when email and lead both absent</w:t>
            </w:r>
          </w:p>
        </w:tc>
      </w:tr>
    </w:tbl>
    <w:p>
      <w:pPr>
        <w:spacing w:after="0" w:before="80"/>
      </w:pPr>
    </w:p>
    <w:p>
      <w:pPr>
        <w:pStyle w:val="Heading2"/>
        <w:spacing w:after="100" w:before="240"/>
      </w:pPr>
      <w:r>
        <w:rPr>
          <w:rFonts w:ascii="Calibri" w:cs="Calibri" w:eastAsia="Calibri" w:hAnsi="Calibri"/>
          <w:b/>
          <w:bCs/>
          <w:color w:val="0d6e6e"/>
          <w:sz w:val="23"/>
          <w:szCs w:val="23"/>
        </w:rPr>
        <w:t xml:space="preserve">7.4  RENAME — Modeling in Senzing</w:t>
      </w:r>
    </w:p>
    <w:p>
      <w:pPr>
        <w:spacing w:after="80" w:before="60"/>
      </w:pPr>
      <w:r>
        <w:rPr>
          <w:rFonts w:ascii="Calibri" w:cs="Calibri" w:eastAsia="Calibri" w:hAnsi="Calibri"/>
          <w:sz w:val="20"/>
          <w:szCs w:val="20"/>
        </w:rPr>
        <w:t xml:space="preserve">RENAME is the most naturally handled event.  Senzing resolves records to the same entity when any principle fires — the fact that NAME_ORG differs does not prevent resolution if EMAIL or member overlap confirms identity.  Senzing will then store both name values as features of the resolved entity.  The application layer inspects this feature variation to raise the RENAME event.</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5600"/>
        <w:gridCol w:w="2880"/>
      </w:tblGrid>
      <w:tr>
        <w:tc>
          <w:tcPr>
            <w:tcW w:type="dxa" w:w="1600"/>
            <w:gridSpan w:val="1"/>
            <w:tcBorders>
              <w:top w:val="none" w:color="FFFFFF" w:sz="0"/>
              <w:left w:val="none" w:color="FFFFFF" w:sz="0"/>
              <w:bottom w:val="none" w:color="FFFFFF" w:sz="0"/>
              <w:right w:val="none" w:color="FFFFFF" w:sz="0"/>
            </w:tcBorders>
            <w:shd w:fill="1a3a5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Layer</w:t>
            </w:r>
          </w:p>
        </w:tc>
        <w:tc>
          <w:tcPr>
            <w:tcW w:type="dxa" w:w="5600"/>
            <w:gridSpan w:val="1"/>
            <w:tcBorders>
              <w:top w:val="none" w:color="FFFFFF" w:sz="0"/>
              <w:left w:val="none" w:color="FFFFFF" w:sz="0"/>
              <w:bottom w:val="none" w:color="FFFFFF" w:sz="0"/>
              <w:right w:val="none" w:color="FFFFFF" w:sz="0"/>
            </w:tcBorders>
            <w:shd w:fill="1a3a5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Action</w:t>
            </w:r>
          </w:p>
        </w:tc>
        <w:tc>
          <w:tcPr>
            <w:tcW w:type="dxa" w:w="2880"/>
            <w:gridSpan w:val="1"/>
            <w:tcBorders>
              <w:top w:val="none" w:color="FFFFFF" w:sz="0"/>
              <w:left w:val="none" w:color="FFFFFF" w:sz="0"/>
              <w:bottom w:val="none" w:color="FFFFFF" w:sz="0"/>
              <w:right w:val="none" w:color="FFFFFF" w:sz="0"/>
            </w:tcBorders>
            <w:shd w:fill="1a3a5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Senzing mechanism</w:t>
            </w:r>
          </w:p>
        </w:tc>
      </w:tr>
      <w:tr>
        <w:tc>
          <w:tcPr>
            <w:gridSpan w:val="1"/>
            <w:tcBorders>
              <w:top w:val="single" w:color="c0ccd8" w:sz="1"/>
              <w:left w:val="single" w:color="c0ccd8" w:sz="1"/>
              <w:bottom w:val="single" w:color="c0ccd8" w:sz="1"/>
              <w:right w:val="single" w:color="c0ccd8" w:sz="1"/>
            </w:tcBorders>
            <w:shd w:fill="1a7a4a"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Senzing (native)</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Resolve Source A (new_name) and Source C (old_name) records to the same entity via P-1 (email) or P-4 (member overlap).</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iCs/>
                <w:color w:val="111111"/>
                <w:sz w:val="19"/>
                <w:szCs w:val="19"/>
              </w:rPr>
              <w:t xml:space="preserve">Built-in EMAIL_COMP and PERSONAL_NAME_COMP; P-1 or P-4 principle fires</w:t>
            </w:r>
          </w:p>
        </w:tc>
      </w:tr>
      <w:tr>
        <w:tc>
          <w:tcPr>
            <w:gridSpan w:val="1"/>
            <w:tcBorders>
              <w:top w:val="single" w:color="c0ccd8" w:sz="1"/>
              <w:left w:val="single" w:color="c0ccd8" w:sz="1"/>
              <w:bottom w:val="single" w:color="c0ccd8" w:sz="1"/>
              <w:right w:val="single" w:color="c0ccd8" w:sz="1"/>
            </w:tcBorders>
            <w:shd w:fill="1a7a4a"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Senzing (native)</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Store both NAME_ORG values as features of the resolved entity.  Both remain queryable via g2_engine.getEntityByRecordId().</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iCs/>
                <w:color w:val="111111"/>
                <w:sz w:val="19"/>
                <w:szCs w:val="19"/>
              </w:rPr>
              <w:t xml:space="preserve">Multi-value feature storage — standard Senzing behaviour</w:t>
            </w:r>
          </w:p>
        </w:tc>
      </w:tr>
      <w:tr>
        <w:tc>
          <w:tcPr>
            <w:gridSpan w:val="1"/>
            <w:tcBorders>
              <w:top w:val="single" w:color="c0ccd8" w:sz="1"/>
              <w:left w:val="single" w:color="c0ccd8" w:sz="1"/>
              <w:bottom w:val="single" w:color="c0ccd8" w:sz="1"/>
              <w:right w:val="single" w:color="c0ccd8" w:sz="1"/>
            </w:tcBorders>
            <w:shd w:fill="c67c00"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App layer</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After each ingest run, query the resolved entity and compare NAME_ORG feature values across DATA_SOURCEs.  If values differ by more than the abbreviation threshold (token-set sim &lt; 0.70), raise RENAME event and write to change_events[].</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iCs/>
                <w:color w:val="111111"/>
                <w:sz w:val="19"/>
                <w:szCs w:val="19"/>
              </w:rPr>
              <w:t xml:space="preserve">g2_engine.getEntityByRecordId() or exportJSONEntityReport()</w:t>
            </w:r>
          </w:p>
        </w:tc>
      </w:tr>
      <w:tr>
        <w:tc>
          <w:tcPr>
            <w:gridSpan w:val="1"/>
            <w:tcBorders>
              <w:top w:val="single" w:color="c0ccd8" w:sz="1"/>
              <w:left w:val="single" w:color="c0ccd8" w:sz="1"/>
              <w:bottom w:val="single" w:color="c0ccd8" w:sz="1"/>
              <w:right w:val="single" w:color="c0ccd8" w:sz="1"/>
            </w:tcBorders>
            <w:shd w:fill="c67c00"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App layer</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Apply source-agreement gate: ≥ 2 sources show new name → auto-confirm; 1 source → hold.</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iCs/>
                <w:color w:val="111111"/>
                <w:sz w:val="19"/>
                <w:szCs w:val="19"/>
              </w:rPr>
              <w:t xml:space="preserve">Count DATA_SOURCE values associated with each NAME_ORG variant in entity report</w:t>
            </w:r>
          </w:p>
        </w:tc>
      </w:tr>
    </w:tbl>
    <w:p>
      <w:pPr>
        <w:spacing w:after="0" w:before="80"/>
      </w:pPr>
    </w:p>
    <w:p>
      <w:pPr>
        <w:pStyle w:val="Heading2"/>
        <w:spacing w:after="100" w:before="240"/>
      </w:pPr>
      <w:r>
        <w:rPr>
          <w:rFonts w:ascii="Calibri" w:cs="Calibri" w:eastAsia="Calibri" w:hAnsi="Calibri"/>
          <w:b/>
          <w:bCs/>
          <w:color w:val="0d6e6e"/>
          <w:sz w:val="23"/>
          <w:szCs w:val="23"/>
        </w:rPr>
        <w:t xml:space="preserve">7.5  MERGE — Modeling in Senzing</w:t>
      </w:r>
    </w:p>
    <w:p>
      <w:pPr>
        <w:spacing w:after="80" w:before="60"/>
      </w:pPr>
      <w:r>
        <w:rPr>
          <w:rFonts w:ascii="Calibri" w:cs="Calibri" w:eastAsia="Calibri" w:hAnsi="Calibri"/>
          <w:sz w:val="20"/>
          <w:szCs w:val="20"/>
        </w:rPr>
        <w:t xml:space="preserve">MERGE is the most complex event because Senzing resolves entities at a point in time — it does not natively track that two formerly separate entities have become one.  The approach is to detect the merge in the application layer by monitoring entity disappearance and member absorption, then use Senzing's DISCLOSED_RELATIONSHIP mechanism to record the linkage permanently.</w:t>
      </w:r>
    </w:p>
    <w:p>
      <w:pPr>
        <w:spacing w:after="0" w:before="40"/>
      </w:pPr>
    </w:p>
    <w:p>
      <w:pPr>
        <w:pStyle w:val="Heading3"/>
        <w:spacing w:after="80" w:before="180"/>
      </w:pPr>
      <w:r>
        <w:rPr>
          <w:rFonts w:ascii="Calibri" w:cs="Calibri" w:eastAsia="Calibri" w:hAnsi="Calibri"/>
          <w:b/>
          <w:bCs/>
          <w:color w:val="4a5568"/>
          <w:sz w:val="21"/>
          <w:szCs w:val="21"/>
        </w:rPr>
        <w:t xml:space="preserve">7.5.1  Why Senzing Does Not Auto-Detect Merges</w:t>
      </w:r>
    </w:p>
    <w:p>
      <w:pPr>
        <w:spacing w:after="80" w:before="60"/>
      </w:pPr>
      <w:r>
        <w:rPr>
          <w:rFonts w:ascii="Calibri" w:cs="Calibri" w:eastAsia="Calibri" w:hAnsi="Calibri"/>
          <w:sz w:val="20"/>
          <w:szCs w:val="20"/>
        </w:rPr>
        <w:t xml:space="preserve">The pre-merge target and survivor are correctly resolved as two separate Senzing entities — they have different leads, different team names, and different emails.  After the merge, the target's records simply stop arriving.  Senzing does not interpret record absence as an event; it retains the resolved entity in an increasingly stale state.  The survivor's member list grows, but Senzing will not connect the enlarged member list to the now-absent target entity on its own.</w:t>
      </w:r>
    </w:p>
    <w:p>
      <w:pPr>
        <w:spacing w:after="0" w:before="40"/>
      </w:pPr>
    </w:p>
    <w:p>
      <w:pPr>
        <w:pStyle w:val="Heading3"/>
        <w:spacing w:after="80" w:before="180"/>
      </w:pPr>
      <w:r>
        <w:rPr>
          <w:rFonts w:ascii="Calibri" w:cs="Calibri" w:eastAsia="Calibri" w:hAnsi="Calibri"/>
          <w:b/>
          <w:bCs/>
          <w:color w:val="4a5568"/>
          <w:sz w:val="21"/>
          <w:szCs w:val="21"/>
        </w:rPr>
        <w:t xml:space="preserve">7.5.2  Recommended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5600"/>
        <w:gridCol w:w="2880"/>
      </w:tblGrid>
      <w:tr>
        <w:tc>
          <w:tcPr>
            <w:tcW w:type="dxa" w:w="1600"/>
            <w:gridSpan w:val="1"/>
            <w:tcBorders>
              <w:top w:val="none" w:color="FFFFFF" w:sz="0"/>
              <w:left w:val="none" w:color="FFFFFF" w:sz="0"/>
              <w:bottom w:val="none" w:color="FFFFFF" w:sz="0"/>
              <w:right w:val="none" w:color="FFFFFF" w:sz="0"/>
            </w:tcBorders>
            <w:shd w:fill="1a3a5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Layer</w:t>
            </w:r>
          </w:p>
        </w:tc>
        <w:tc>
          <w:tcPr>
            <w:tcW w:type="dxa" w:w="5600"/>
            <w:gridSpan w:val="1"/>
            <w:tcBorders>
              <w:top w:val="none" w:color="FFFFFF" w:sz="0"/>
              <w:left w:val="none" w:color="FFFFFF" w:sz="0"/>
              <w:bottom w:val="none" w:color="FFFFFF" w:sz="0"/>
              <w:right w:val="none" w:color="FFFFFF" w:sz="0"/>
            </w:tcBorders>
            <w:shd w:fill="1a3a5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Action</w:t>
            </w:r>
          </w:p>
        </w:tc>
        <w:tc>
          <w:tcPr>
            <w:tcW w:type="dxa" w:w="2880"/>
            <w:gridSpan w:val="1"/>
            <w:tcBorders>
              <w:top w:val="none" w:color="FFFFFF" w:sz="0"/>
              <w:left w:val="none" w:color="FFFFFF" w:sz="0"/>
              <w:bottom w:val="none" w:color="FFFFFF" w:sz="0"/>
              <w:right w:val="none" w:color="FFFFFF" w:sz="0"/>
            </w:tcBorders>
            <w:shd w:fill="1a3a5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Senzing mechanism / API</w:t>
            </w:r>
          </w:p>
        </w:tc>
      </w:tr>
      <w:tr>
        <w:tc>
          <w:tcPr>
            <w:gridSpan w:val="1"/>
            <w:tcBorders>
              <w:top w:val="single" w:color="c0ccd8" w:sz="1"/>
              <w:left w:val="single" w:color="c0ccd8" w:sz="1"/>
              <w:bottom w:val="single" w:color="c0ccd8" w:sz="1"/>
              <w:right w:val="single" w:color="c0ccd8" w:sz="1"/>
            </w:tcBorders>
            <w:shd w:fill="c67c00"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App layer
(detection)</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After each ingest run, compare the entity registry for the current run vs the prior run.  Identify Senzing entity IDs that were present before but have no new records loading.</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iCs/>
                <w:color w:val="111111"/>
                <w:sz w:val="19"/>
                <w:szCs w:val="19"/>
              </w:rPr>
              <w:t xml:space="preserve">g2_engine.exportJSONEntityReport() on each run; diff entity ID sets</w:t>
            </w:r>
          </w:p>
        </w:tc>
      </w:tr>
      <w:tr>
        <w:tc>
          <w:tcPr>
            <w:gridSpan w:val="1"/>
            <w:tcBorders>
              <w:top w:val="single" w:color="c0ccd8" w:sz="1"/>
              <w:left w:val="single" w:color="c0ccd8" w:sz="1"/>
              <w:bottom w:val="single" w:color="c0ccd8" w:sz="1"/>
              <w:right w:val="single" w:color="c0ccd8" w:sz="1"/>
            </w:tcBorders>
            <w:shd w:fill="c67c00"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App layer
(member evidence)</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For each disappeared entity (candidate target), fetch its last-known member set.  Search the current survivor's entity for those member names using fuzzy match.  If member coverage ≥ 0.40, flag as MERGE candidate.</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iCs/>
                <w:color w:val="111111"/>
                <w:sz w:val="19"/>
                <w:szCs w:val="19"/>
              </w:rPr>
              <w:t xml:space="preserve">g2_engine.searchByAttributes() with MEMBER NAME_FULL values from disappeared entity</w:t>
            </w:r>
          </w:p>
        </w:tc>
      </w:tr>
      <w:tr>
        <w:tc>
          <w:tcPr>
            <w:gridSpan w:val="1"/>
            <w:tcBorders>
              <w:top w:val="single" w:color="c0ccd8" w:sz="1"/>
              <w:left w:val="single" w:color="c0ccd8" w:sz="1"/>
              <w:bottom w:val="single" w:color="c0ccd8" w:sz="1"/>
              <w:right w:val="single" w:color="c0ccd8" w:sz="1"/>
            </w:tcBorders>
            <w:shd w:fill="1a7a4a"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App layer
(confirmation)</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Apply confidence tiers from Part 6 §6.4.3.  For HIGH confidence merges, create a DISCLOSED_RELATIONSHIP record linking target entity to survivor entity.</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iCs/>
                <w:color w:val="111111"/>
                <w:sz w:val="19"/>
                <w:szCs w:val="19"/>
              </w:rPr>
              <w:t xml:space="preserve">Load relationship record with RELATIONSHIP_TYPE='MERGED_INTO'</w:t>
            </w:r>
          </w:p>
        </w:tc>
      </w:tr>
      <w:tr>
        <w:tc>
          <w:tcPr>
            <w:gridSpan w:val="1"/>
            <w:tcBorders>
              <w:top w:val="single" w:color="c0ccd8" w:sz="1"/>
              <w:left w:val="single" w:color="c0ccd8" w:sz="1"/>
              <w:bottom w:val="single" w:color="c0ccd8" w:sz="1"/>
              <w:right w:val="single" w:color="c0ccd8" w:sz="1"/>
            </w:tcBorders>
            <w:shd w:fill="1a7a4a"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Senzing
(relationship storage)</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Store the DISCLOSED_RELATIONSHIP as a known, permanent link between the two entity IDs.  Relationship is queryable and survives future ingest runs.</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iCs/>
                <w:color w:val="111111"/>
                <w:sz w:val="19"/>
                <w:szCs w:val="19"/>
              </w:rPr>
              <w:t xml:space="preserve">g2_engine.addRecord() with relationship JSON; g2_engine.getEntityByEntityId() returns related entities</w:t>
            </w:r>
          </w:p>
        </w:tc>
      </w:tr>
      <w:tr>
        <w:tc>
          <w:tcPr>
            <w:gridSpan w:val="1"/>
            <w:tcBorders>
              <w:top w:val="single" w:color="c0ccd8" w:sz="1"/>
              <w:left w:val="single" w:color="c0ccd8" w:sz="1"/>
              <w:bottom w:val="single" w:color="c0ccd8" w:sz="1"/>
              <w:right w:val="single" w:color="c0ccd8" w:sz="1"/>
            </w:tcBorders>
            <w:shd w:fill="4a5568"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App layer
(GR update)</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Mark target Golden Record as INACTIVE.  Add absorbed_from[] reference to survivor.  Write MERGE change_event with confidence, detected_at, evidence.</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iCs/>
                <w:color w:val="111111"/>
                <w:sz w:val="19"/>
                <w:szCs w:val="19"/>
              </w:rPr>
              <w:t xml:space="preserve">Application database update; no Senzing API needed</w:t>
            </w:r>
          </w:p>
        </w:tc>
      </w:tr>
    </w:tbl>
    <w:p>
      <w:pPr>
        <w:spacing w:after="0" w:before="60"/>
      </w:pPr>
    </w:p>
    <w:p>
      <w:pPr>
        <w:pStyle w:val="Heading3"/>
        <w:spacing w:after="80" w:before="180"/>
      </w:pPr>
      <w:r>
        <w:rPr>
          <w:rFonts w:ascii="Calibri" w:cs="Calibri" w:eastAsia="Calibri" w:hAnsi="Calibri"/>
          <w:b/>
          <w:bCs/>
          <w:color w:val="4a5568"/>
          <w:sz w:val="21"/>
          <w:szCs w:val="21"/>
        </w:rPr>
        <w:t xml:space="preserve">7.5.3  DISCLOSED_RELATIONSHIP Record Format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80"/>
      </w:tblGrid>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"DATA_SOURCE"        : "GOLDEN_RECORD_SYSTEM",</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"RECORD_ID"          : "MERGE_EVENT_00412",</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"RELATIONSHIP_TYPE"  : "MERGED_INTO",</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"RELATIONSHIP_ROLE"  : "TARGET",</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"REL_ANCHOR_DOMAIN"  : "GOLDEN_ID",</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"REL_ANCHOR_KEY"     : "42",</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"REL_POINTER_DOMAIN" : "GOLDEN_ID",</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"REL_POINTER_KEY"    : "17",</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"MERGE_DATE"         : "2026-08-19",</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"CONFIDENCE"         : "HIGH"</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w:t>
            </w:r>
          </w:p>
        </w:tc>
      </w:tr>
    </w:tbl>
    <w:p>
      <w:pPr>
        <w:spacing w:after="0" w:before="80"/>
      </w:pPr>
    </w:p>
    <w:p>
      <w:pPr>
        <w:pStyle w:val="Heading2"/>
        <w:spacing w:after="100" w:before="240"/>
      </w:pPr>
      <w:r>
        <w:rPr>
          <w:rFonts w:ascii="Calibri" w:cs="Calibri" w:eastAsia="Calibri" w:hAnsi="Calibri"/>
          <w:b/>
          <w:bCs/>
          <w:color w:val="0d6e6e"/>
          <w:sz w:val="23"/>
          <w:szCs w:val="23"/>
        </w:rPr>
        <w:t xml:space="preserve">7.6  SPLIT — Modeling in Senzing</w:t>
      </w:r>
    </w:p>
    <w:p>
      <w:pPr>
        <w:spacing w:after="80" w:before="60"/>
      </w:pPr>
      <w:r>
        <w:rPr>
          <w:rFonts w:ascii="Calibri" w:cs="Calibri" w:eastAsia="Calibri" w:hAnsi="Calibri"/>
          <w:sz w:val="20"/>
          <w:szCs w:val="20"/>
        </w:rPr>
        <w:t xml:space="preserve">SPLIT has two challenges in Senzing: (1) detecting that a split has occurred, and (2) preventing Senzing from incorrectly merging the parent and child into a single entity because they share firm_canonical and some member names.  The TEAM_ANCHOR EXCLUSIVE feature (§7.3.2) solves challenge 2.  Challenge 1 is handled in the application layer.</w:t>
      </w:r>
    </w:p>
    <w:p>
      <w:pPr>
        <w:spacing w:after="0" w:before="40"/>
      </w:pPr>
    </w:p>
    <w:p>
      <w:pPr>
        <w:pStyle w:val="Heading3"/>
        <w:spacing w:after="80" w:before="180"/>
      </w:pPr>
      <w:r>
        <w:rPr>
          <w:rFonts w:ascii="Calibri" w:cs="Calibri" w:eastAsia="Calibri" w:hAnsi="Calibri"/>
          <w:b/>
          <w:bCs/>
          <w:color w:val="4a5568"/>
          <w:sz w:val="21"/>
          <w:szCs w:val="21"/>
        </w:rPr>
        <w:t xml:space="preserve">7.6.1  Over-Merge Prevention via TEAM_ANCHOR</w:t>
      </w:r>
    </w:p>
    <w:p>
      <w:pPr>
        <w:spacing w:after="80" w:before="60"/>
      </w:pPr>
      <w:r>
        <w:rPr>
          <w:rFonts w:ascii="Calibri" w:cs="Calibri" w:eastAsia="Calibri" w:hAnsi="Calibri"/>
          <w:sz w:val="20"/>
          <w:szCs w:val="20"/>
        </w:rPr>
        <w:t xml:space="preserve">Parent and child have different lead advisors, producing different TEAM_ANCHOR values.  Because TEAM_ANCHOR is EXCLUSIVE, Senzing will never resolve them to the same entity even if P-4 or P-5 (member overlap) fires.  Verify this works by confirming the child is created as a new Senzing entity, not resolved into the parent, after the first ingest run that includes child records.</w:t>
      </w:r>
    </w:p>
    <w:p>
      <w:pPr>
        <w:spacing w:after="0" w:before="40"/>
      </w:pPr>
    </w:p>
    <w:p>
      <w:pPr>
        <w:pStyle w:val="Heading3"/>
        <w:spacing w:after="80" w:before="180"/>
      </w:pPr>
      <w:r>
        <w:rPr>
          <w:rFonts w:ascii="Calibri" w:cs="Calibri" w:eastAsia="Calibri" w:hAnsi="Calibri"/>
          <w:b/>
          <w:bCs/>
          <w:color w:val="4a5568"/>
          <w:sz w:val="21"/>
          <w:szCs w:val="21"/>
        </w:rPr>
        <w:t xml:space="preserve">7.6.2  Detection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5600"/>
        <w:gridCol w:w="2880"/>
      </w:tblGrid>
      <w:tr>
        <w:tc>
          <w:tcPr>
            <w:tcW w:type="dxa" w:w="1600"/>
            <w:gridSpan w:val="1"/>
            <w:tcBorders>
              <w:top w:val="none" w:color="FFFFFF" w:sz="0"/>
              <w:left w:val="none" w:color="FFFFFF" w:sz="0"/>
              <w:bottom w:val="none" w:color="FFFFFF" w:sz="0"/>
              <w:right w:val="none" w:color="FFFFFF" w:sz="0"/>
            </w:tcBorders>
            <w:shd w:fill="1a3a5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Layer</w:t>
            </w:r>
          </w:p>
        </w:tc>
        <w:tc>
          <w:tcPr>
            <w:tcW w:type="dxa" w:w="5600"/>
            <w:gridSpan w:val="1"/>
            <w:tcBorders>
              <w:top w:val="none" w:color="FFFFFF" w:sz="0"/>
              <w:left w:val="none" w:color="FFFFFF" w:sz="0"/>
              <w:bottom w:val="none" w:color="FFFFFF" w:sz="0"/>
              <w:right w:val="none" w:color="FFFFFF" w:sz="0"/>
            </w:tcBorders>
            <w:shd w:fill="1a3a5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Action</w:t>
            </w:r>
          </w:p>
        </w:tc>
        <w:tc>
          <w:tcPr>
            <w:tcW w:type="dxa" w:w="2880"/>
            <w:gridSpan w:val="1"/>
            <w:tcBorders>
              <w:top w:val="none" w:color="FFFFFF" w:sz="0"/>
              <w:left w:val="none" w:color="FFFFFF" w:sz="0"/>
              <w:bottom w:val="none" w:color="FFFFFF" w:sz="0"/>
              <w:right w:val="none" w:color="FFFFFF" w:sz="0"/>
            </w:tcBorders>
            <w:shd w:fill="1a3a5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Senzing mechanism / API</w:t>
            </w:r>
          </w:p>
        </w:tc>
      </w:tr>
      <w:tr>
        <w:tc>
          <w:tcPr>
            <w:gridSpan w:val="1"/>
            <w:tcBorders>
              <w:top w:val="single" w:color="c0ccd8" w:sz="1"/>
              <w:left w:val="single" w:color="c0ccd8" w:sz="1"/>
              <w:bottom w:val="single" w:color="c0ccd8" w:sz="1"/>
              <w:right w:val="single" w:color="c0ccd8" w:sz="1"/>
            </w:tcBorders>
            <w:shd w:fill="c67c00"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App layer
(detection)</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After each run, identify new Senzing entity IDs at an existing firm_canonical that have no prior history (first seen in current run).  These are NEW_TEAM candidates.</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iCs/>
                <w:color w:val="111111"/>
                <w:sz w:val="19"/>
                <w:szCs w:val="19"/>
              </w:rPr>
              <w:t xml:space="preserve">g2_engine.exportJSONEntityReport() diff; filter by FIRM_CANONICAL attribute</w:t>
            </w:r>
          </w:p>
        </w:tc>
      </w:tr>
      <w:tr>
        <w:tc>
          <w:tcPr>
            <w:gridSpan w:val="1"/>
            <w:tcBorders>
              <w:top w:val="single" w:color="c0ccd8" w:sz="1"/>
              <w:left w:val="single" w:color="c0ccd8" w:sz="1"/>
              <w:bottom w:val="single" w:color="c0ccd8" w:sz="1"/>
              <w:right w:val="single" w:color="c0ccd8" w:sz="1"/>
            </w:tcBorders>
            <w:shd w:fill="c67c00"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App layer
(partition test)</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For each new entity, fetch its member list.  Fetch all existing entities at the same firm.  Test: does any existing entity's current members + new entity's members ≈ that existing entity's prior members?  (Union coverage ≥ 0.55)</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iCs/>
                <w:color w:val="111111"/>
                <w:sz w:val="19"/>
                <w:szCs w:val="19"/>
              </w:rPr>
              <w:t xml:space="preserve">g2_engine.searchByAttributes() with new entity's member names; compare to prior run export</w:t>
            </w:r>
          </w:p>
        </w:tc>
      </w:tr>
      <w:tr>
        <w:tc>
          <w:tcPr>
            <w:gridSpan w:val="1"/>
            <w:tcBorders>
              <w:top w:val="single" w:color="c0ccd8" w:sz="1"/>
              <w:left w:val="single" w:color="c0ccd8" w:sz="1"/>
              <w:bottom w:val="single" w:color="c0ccd8" w:sz="1"/>
              <w:right w:val="single" w:color="c0ccd8" w:sz="1"/>
            </w:tcBorders>
            <w:shd w:fill="4a5568"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App layer
(parent continuity)</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Confirm parent entity still has active records loading in current run.  If parent's records have also stopped, this is a SUCCESSION, not a SPLIT.</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iCs/>
                <w:color w:val="111111"/>
                <w:sz w:val="19"/>
                <w:szCs w:val="19"/>
              </w:rPr>
              <w:t xml:space="preserve">Check entity ID still present in current run entity report</w:t>
            </w:r>
          </w:p>
        </w:tc>
      </w:tr>
      <w:tr>
        <w:tc>
          <w:tcPr>
            <w:gridSpan w:val="1"/>
            <w:tcBorders>
              <w:top w:val="single" w:color="c0ccd8" w:sz="1"/>
              <w:left w:val="single" w:color="c0ccd8" w:sz="1"/>
              <w:bottom w:val="single" w:color="c0ccd8" w:sz="1"/>
              <w:right w:val="single" w:color="c0ccd8" w:sz="1"/>
            </w:tcBorders>
            <w:shd w:fill="1a7a4a"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Senzing
(relationship)</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Once SPLIT confirmed, load DISCLOSED_RELATIONSHIP linking child entity to parent entity.</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iCs/>
                <w:color w:val="111111"/>
                <w:sz w:val="19"/>
                <w:szCs w:val="19"/>
              </w:rPr>
              <w:t xml:space="preserve">g2_engine.addRecord() with RELATIONSHIP_TYPE='SPLIT_FROM'</w:t>
            </w:r>
          </w:p>
        </w:tc>
      </w:tr>
      <w:tr>
        <w:tc>
          <w:tcPr>
            <w:gridSpan w:val="1"/>
            <w:tcBorders>
              <w:top w:val="single" w:color="c0ccd8" w:sz="1"/>
              <w:left w:val="single" w:color="c0ccd8" w:sz="1"/>
              <w:bottom w:val="single" w:color="c0ccd8" w:sz="1"/>
              <w:right w:val="single" w:color="c0ccd8" w:sz="1"/>
            </w:tcBorders>
            <w:shd w:fill="1a7a4a"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App layer
(GR create)</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Create new child Golden Record with split_from reference.  Log SPLIT change_event on parent.  Update parent's members list to post-split subset.</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iCs/>
                <w:color w:val="111111"/>
                <w:sz w:val="19"/>
                <w:szCs w:val="19"/>
              </w:rPr>
              <w:t xml:space="preserve">Application database; no Senzing API</w:t>
            </w:r>
          </w:p>
        </w:tc>
      </w:tr>
    </w:tbl>
    <w:p>
      <w:pPr>
        <w:spacing w:after="0" w:before="80"/>
      </w:pPr>
    </w:p>
    <w:p>
      <w:pPr>
        <w:pStyle w:val="Heading2"/>
        <w:spacing w:after="100" w:before="240"/>
      </w:pPr>
      <w:r>
        <w:rPr>
          <w:rFonts w:ascii="Calibri" w:cs="Calibri" w:eastAsia="Calibri" w:hAnsi="Calibri"/>
          <w:b/>
          <w:bCs/>
          <w:color w:val="0d6e6e"/>
          <w:sz w:val="23"/>
          <w:szCs w:val="23"/>
        </w:rPr>
        <w:t xml:space="preserve">7.7  MEMBER_CHANGE — Modeling in Senzing</w:t>
      </w:r>
    </w:p>
    <w:p>
      <w:pPr>
        <w:spacing w:after="80" w:before="60"/>
      </w:pPr>
      <w:r>
        <w:rPr>
          <w:rFonts w:ascii="Calibri" w:cs="Calibri" w:eastAsia="Calibri" w:hAnsi="Calibri"/>
          <w:sz w:val="20"/>
          <w:szCs w:val="20"/>
        </w:rPr>
        <w:t xml:space="preserve">MEMBER_CHANGE is the most transparent event for Senzing.  Because team_name and firm_canonical are stable, Senzing resolves all source records (new lead and old lead) to the same entity via P-2 (NAME_ORG + FIRM) or P-3.  The lead name change is then visible as feature variation within the resolved entity.  The application layer inspects this variation and raises the event.</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5600"/>
        <w:gridCol w:w="2880"/>
      </w:tblGrid>
      <w:tr>
        <w:tc>
          <w:tcPr>
            <w:tcW w:type="dxa" w:w="1600"/>
            <w:gridSpan w:val="1"/>
            <w:tcBorders>
              <w:top w:val="none" w:color="FFFFFF" w:sz="0"/>
              <w:left w:val="none" w:color="FFFFFF" w:sz="0"/>
              <w:bottom w:val="none" w:color="FFFFFF" w:sz="0"/>
              <w:right w:val="none" w:color="FFFFFF" w:sz="0"/>
            </w:tcBorders>
            <w:shd w:fill="1a3a5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Layer</w:t>
            </w:r>
          </w:p>
        </w:tc>
        <w:tc>
          <w:tcPr>
            <w:tcW w:type="dxa" w:w="5600"/>
            <w:gridSpan w:val="1"/>
            <w:tcBorders>
              <w:top w:val="none" w:color="FFFFFF" w:sz="0"/>
              <w:left w:val="none" w:color="FFFFFF" w:sz="0"/>
              <w:bottom w:val="none" w:color="FFFFFF" w:sz="0"/>
              <w:right w:val="none" w:color="FFFFFF" w:sz="0"/>
            </w:tcBorders>
            <w:shd w:fill="1a3a5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Action</w:t>
            </w:r>
          </w:p>
        </w:tc>
        <w:tc>
          <w:tcPr>
            <w:tcW w:type="dxa" w:w="2880"/>
            <w:gridSpan w:val="1"/>
            <w:tcBorders>
              <w:top w:val="none" w:color="FFFFFF" w:sz="0"/>
              <w:left w:val="none" w:color="FFFFFF" w:sz="0"/>
              <w:bottom w:val="none" w:color="FFFFFF" w:sz="0"/>
              <w:right w:val="none" w:color="FFFFFF" w:sz="0"/>
            </w:tcBorders>
            <w:shd w:fill="1a3a5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Senzing mechanism / API</w:t>
            </w:r>
          </w:p>
        </w:tc>
      </w:tr>
      <w:tr>
        <w:tc>
          <w:tcPr>
            <w:gridSpan w:val="1"/>
            <w:tcBorders>
              <w:top w:val="single" w:color="c0ccd8" w:sz="1"/>
              <w:left w:val="single" w:color="c0ccd8" w:sz="1"/>
              <w:bottom w:val="single" w:color="c0ccd8" w:sz="1"/>
              <w:right w:val="single" w:color="c0ccd8" w:sz="1"/>
            </w:tcBorders>
            <w:shd w:fill="1a7a4a"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Senzing (native)</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Resolve Source A (new lead) and Source C (old lead) records to the same entity via P-3 (NAME_ORG + FIRM agrees).  TEAM_ANCHOR differs — but because the old anchor record is still loading from Source C, EXCLUSIVE does not block resolution; records with the same RECORD_TYPE always resolve within a DATA_SOURCE context.</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iCs/>
                <w:color w:val="111111"/>
                <w:sz w:val="19"/>
                <w:szCs w:val="19"/>
              </w:rPr>
              <w:t xml:space="preserve">P-3 principle; NAME_ORG_COMP scores the same team name ≥ 0.85</w:t>
            </w:r>
          </w:p>
        </w:tc>
      </w:tr>
      <w:tr>
        <w:tc>
          <w:tcPr>
            <w:gridSpan w:val="1"/>
            <w:tcBorders>
              <w:top w:val="single" w:color="c0ccd8" w:sz="1"/>
              <w:left w:val="single" w:color="c0ccd8" w:sz="1"/>
              <w:bottom w:val="single" w:color="c0ccd8" w:sz="1"/>
              <w:right w:val="single" w:color="c0ccd8" w:sz="1"/>
            </w:tcBorders>
            <w:shd w:fill="1a7a4a"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Senzing (native)</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Store both NAME_FULL(LEAD) values as features of the resolved entity.  Both EMAIL values stored if different.</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iCs/>
                <w:color w:val="111111"/>
                <w:sz w:val="19"/>
                <w:szCs w:val="19"/>
              </w:rPr>
              <w:t xml:space="preserve">Multi-value feature storage</w:t>
            </w:r>
          </w:p>
        </w:tc>
      </w:tr>
      <w:tr>
        <w:tc>
          <w:tcPr>
            <w:gridSpan w:val="1"/>
            <w:tcBorders>
              <w:top w:val="single" w:color="c0ccd8" w:sz="1"/>
              <w:left w:val="single" w:color="c0ccd8" w:sz="1"/>
              <w:bottom w:val="single" w:color="c0ccd8" w:sz="1"/>
              <w:right w:val="single" w:color="c0ccd8" w:sz="1"/>
            </w:tcBorders>
            <w:shd w:fill="c67c00"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App layer
(detection)</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Query entity features.  Compare NAME_FULL(TYPE=LEAD) values across DATA_SOURCEs.  If Jaro-Winkler(last_names) &lt; 0.70 after informal expansion AND ≥ 2 sources agree on new lead → AUTO-UPDATE.  1 source → HOLD.</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iCs/>
                <w:color w:val="111111"/>
                <w:sz w:val="19"/>
                <w:szCs w:val="19"/>
              </w:rPr>
              <w:t xml:space="preserve">g2_engine.getEntityByRecordId() → inspect FEATURES.NAME_LIST filtered by NAME_TYPE=LEAD</w:t>
            </w:r>
          </w:p>
        </w:tc>
      </w:tr>
      <w:tr>
        <w:tc>
          <w:tcPr>
            <w:gridSpan w:val="1"/>
            <w:tcBorders>
              <w:top w:val="single" w:color="c0ccd8" w:sz="1"/>
              <w:left w:val="single" w:color="c0ccd8" w:sz="1"/>
              <w:bottom w:val="single" w:color="c0ccd8" w:sz="1"/>
              <w:right w:val="single" w:color="c0ccd8" w:sz="1"/>
            </w:tcBorders>
            <w:shd w:fill="c67c00"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App layer
(member diff)</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Compute Jaccard(old_members, new_members) from entity feature list.  If 0.30–0.79 → partial turnover consistent with MEMBER_CHANGE.  Log affected members in change_events[].</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iCs/>
                <w:color w:val="111111"/>
                <w:sz w:val="19"/>
                <w:szCs w:val="19"/>
              </w:rPr>
              <w:t xml:space="preserve">Entity feature comparison; no Senzing API beyond getEntity</w:t>
            </w:r>
          </w:p>
        </w:tc>
      </w:tr>
      <w:tr>
        <w:tc>
          <w:tcPr>
            <w:gridSpan w:val="1"/>
            <w:tcBorders>
              <w:top w:val="single" w:color="c0ccd8" w:sz="1"/>
              <w:left w:val="single" w:color="c0ccd8" w:sz="1"/>
              <w:bottom w:val="single" w:color="c0ccd8" w:sz="1"/>
              <w:right w:val="single" w:color="c0ccd8" w:sz="1"/>
            </w:tcBorders>
            <w:shd w:fill="c67c00"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App layer
(GR update)</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Update lead_first, lead_last, email, members on Golden Record.  Append to lead_history[], member_history[], change_events[].</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iCs/>
                <w:color w:val="111111"/>
                <w:sz w:val="19"/>
                <w:szCs w:val="19"/>
              </w:rPr>
              <w:t xml:space="preserve">Application database update</w:t>
            </w:r>
          </w:p>
        </w:tc>
      </w:tr>
    </w:tbl>
    <w:p>
      <w:pPr>
        <w:spacing w:after="0" w:before="80"/>
      </w:pPr>
    </w:p>
    <w:p>
      <w:pPr>
        <w:pStyle w:val="Heading2"/>
        <w:spacing w:after="100" w:before="240"/>
      </w:pPr>
      <w:r>
        <w:rPr>
          <w:rFonts w:ascii="Calibri" w:cs="Calibri" w:eastAsia="Calibri" w:hAnsi="Calibri"/>
          <w:b/>
          <w:bCs/>
          <w:color w:val="0d6e6e"/>
          <w:sz w:val="23"/>
          <w:szCs w:val="23"/>
        </w:rPr>
        <w:t xml:space="preserve">7.8  Custom Comparator — Fuzzy Member Set Overlap</w:t>
      </w:r>
    </w:p>
    <w:p>
      <w:pPr>
        <w:spacing w:after="80" w:before="60"/>
      </w:pPr>
      <w:r>
        <w:rPr>
          <w:rFonts w:ascii="Calibri" w:cs="Calibri" w:eastAsia="Calibri" w:hAnsi="Calibri"/>
          <w:sz w:val="20"/>
          <w:szCs w:val="20"/>
        </w:rPr>
        <w:t xml:space="preserve">Principle P-4 and P-5 require counting how many NAME_FULL(MEMBER) pairs score CLOSE or better.  Senzing's built-in PERSONAL_NAME_COMP does this pair-wise, but does not compute set-level Jaccard.  A custom comparator plugin handles the set-level logic and returns a Senzing score tier.</w:t>
      </w:r>
    </w:p>
    <w:p>
      <w:pPr>
        <w:spacing w:after="0" w:before="40"/>
      </w:pPr>
    </w:p>
    <w:p>
      <w:pPr>
        <w:pStyle w:val="Heading3"/>
        <w:spacing w:after="80" w:before="180"/>
      </w:pPr>
      <w:r>
        <w:rPr>
          <w:rFonts w:ascii="Calibri" w:cs="Calibri" w:eastAsia="Calibri" w:hAnsi="Calibri"/>
          <w:b/>
          <w:bCs/>
          <w:color w:val="4a5568"/>
          <w:sz w:val="21"/>
          <w:szCs w:val="21"/>
        </w:rPr>
        <w:t xml:space="preserve">7.8.1  Plugin Interface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80"/>
      </w:tblGrid>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member_set_comparator.py  (Senzing G2 custom comparator plugin)</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from senzing import G2Exception</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import jellyfish  # Jaro-Winkler</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SCORE_TIERS = {</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"SAME"      : 100,   # Jaccard &gt;= 0.80</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"CLOSE"     : 90,    # Jaccard &gt;= 0.50</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"LIKELY"    : 75,    # Jaccard &gt;= 0.30</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"PLAUSIBLE" : 60,    # Jaccard &gt;= 0.15</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"NO_CHANCE" : 0,     # Jaccard &lt;  0.15</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def fuzzy_name_match(a, b, threshold=0.88):</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"""True if two name strings are close enough to be the same person."""</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a_last = a.split()[-1].lower()</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b_last = b.split()[-1].lower()</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return jellyfish.jaro_winkler_similarity(a_last, b_last) &gt;= threshold</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def compare(record1_features, record2_features):</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members1 = [f["FEAT_DESC"] for f in record1_features</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if f.get("FEAT_TYPE") == "NAME_FULL"</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and f.get("NAME_TYPE") == "MEMBER"]</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members2 = [f["FEAT_DESC"] for f in record2_features</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if f.get("FEAT_TYPE") == "NAME_FULL"</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and f.get("NAME_TYPE") == "MEMBER"]</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if not members1 or not members2:</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return "NO_CHANCE", 0   # null-safe: no members → no signal</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 Build fuzzy intersection</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matched = set()</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for m1 in members1:</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for m2 in members2:</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if fuzzy_name_match(m1, m2) and m2 not in matched:</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matched.add(m2)</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break</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union_size = len(set(members1) | set(members2))</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jaccard    = len(matched) / union_size if union_size &gt; 0 else 0</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if   jaccard &gt;= 0.80: return "SAME",      SCORE_TIERS["SAME"]</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elif jaccard &gt;= 0.50: return "CLOSE",     SCORE_TIERS["CLOSE"]</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elif jaccard &gt;= 0.30: return "LIKELY",    SCORE_TIERS["LIKELY"]</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elif jaccard &gt;= 0.15: return "PLAUSIBLE", SCORE_TIERS["PLAUSIBLE"]</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else:                 return "NO_CHANCE", SCORE_TIERS["NO_CHANCE"]</w:t>
            </w:r>
          </w:p>
        </w:tc>
      </w:tr>
    </w:tbl>
    <w:p>
      <w:pPr>
        <w:spacing w:after="0" w:before="60"/>
      </w:pPr>
    </w:p>
    <w:p>
      <w:pPr>
        <w:pStyle w:val="Heading3"/>
        <w:spacing w:after="80" w:before="180"/>
      </w:pPr>
      <w:r>
        <w:rPr>
          <w:rFonts w:ascii="Calibri" w:cs="Calibri" w:eastAsia="Calibri" w:hAnsi="Calibri"/>
          <w:b/>
          <w:bCs/>
          <w:color w:val="4a5568"/>
          <w:sz w:val="21"/>
          <w:szCs w:val="21"/>
        </w:rPr>
        <w:t xml:space="preserve">7.8.2  Registering the Comparator in g2config.json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60"/>
        </w:tblCellMar>
      </w:tblPr>
      <w:tblGrid>
        <w:gridCol w:w="10080"/>
      </w:tblGrid>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In g2config.json → CFG_CFUNC section:</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"CFUNC_CODE"   : "MEMBER_SET_COMP",</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"CFUNC_DESC"   : "Fuzzy Jaccard comparator for team member sets",</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"CFUNC_LIB"    : "member_set_comparator",</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"CFUNC_VER"    : "1",</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"CONNECT_STR"  : "python:member_set_comparator.compare",</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"ANON_SUPPORT" : "No",</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"LANGUAGE"     : "PYTHON"</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In CFG_FTYPE for NAME_FULL (MEMBER type):</w:t>
            </w:r>
          </w:p>
        </w:tc>
      </w:tr>
      <w:tr>
        <w:tc>
          <w:tcPr>
            <w:gridSpan w:val="1"/>
            <w:tcBorders>
              <w:top w:val="none" w:color="FFFFFF" w:sz="0"/>
              <w:left w:val="none" w:color="FFFFFF" w:sz="0"/>
              <w:bottom w:val="none" w:color="FFFFFF" w:sz="0"/>
              <w:right w:val="none" w:color="FFFFFF" w:sz="0"/>
            </w:tcBorders>
            <w:shd w:fill="f0f4f8" w:color="auto" w:val="clear"/>
            <w:tcMar>
              <w:top w:type="dxa" w:w="60"/>
              <w:left w:type="dxa" w:w="80"/>
              <w:bottom w:type="dxa" w:w="60"/>
              <w:right w:type="dxa" w:w="60"/>
            </w:tcMar>
          </w:tcPr>
          <w:p>
            <w:pPr>
              <w:spacing w:after="40" w:before="40"/>
              <w:ind w:left="60" w:right="40"/>
              <w:jc w:val="left"/>
            </w:pPr>
            <w:r>
              <w:rPr>
                <w:rFonts w:ascii="Courier New" w:cs="Courier New" w:eastAsia="Courier New" w:hAnsi="Courier New"/>
                <w:b w:val="false"/>
                <w:bCs w:val="false"/>
                <w:i w:val="false"/>
                <w:iCs w:val="false"/>
                <w:color w:val="111111"/>
                <w:sz w:val="17"/>
                <w:szCs w:val="17"/>
              </w:rPr>
              <w:t xml:space="preserve">// Add MEMBER_SET_COMP as the comparator alongside PERSONAL_NAME_COMP</w:t>
            </w:r>
          </w:p>
        </w:tc>
      </w:tr>
    </w:tbl>
    <w:p>
      <w:pPr>
        <w:spacing w:after="0" w:before="80"/>
      </w:pPr>
    </w:p>
    <w:p>
      <w:pPr>
        <w:pStyle w:val="Heading2"/>
        <w:spacing w:after="100" w:before="240"/>
      </w:pPr>
      <w:r>
        <w:rPr>
          <w:rFonts w:ascii="Calibri" w:cs="Calibri" w:eastAsia="Calibri" w:hAnsi="Calibri"/>
          <w:b/>
          <w:bCs/>
          <w:color w:val="0d6e6e"/>
          <w:sz w:val="23"/>
          <w:szCs w:val="23"/>
        </w:rPr>
        <w:t xml:space="preserve">7.9  Coverage Scorecard — Native vs Custom vs App-Layer</w:t>
      </w:r>
    </w:p>
    <w:p>
      <w:pPr>
        <w:spacing w:after="80" w:before="60"/>
      </w:pPr>
      <w:r>
        <w:rPr>
          <w:rFonts w:ascii="Calibri" w:cs="Calibri" w:eastAsia="Calibri" w:hAnsi="Calibri"/>
          <w:sz w:val="20"/>
          <w:szCs w:val="20"/>
        </w:rPr>
        <w:t xml:space="preserve">The table below summarises every detection requirement from Part 6 and shows how it is covered across the three implementation tiers.</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3080"/>
      </w:tblGrid>
      <w:tr>
        <w:tc>
          <w:tcPr>
            <w:tcW w:type="dxa" w:w="2200"/>
            <w:gridSpan w:val="1"/>
            <w:tcBorders>
              <w:top w:val="none" w:color="FFFFFF" w:sz="0"/>
              <w:left w:val="none" w:color="FFFFFF" w:sz="0"/>
              <w:bottom w:val="none" w:color="FFFFFF" w:sz="0"/>
              <w:right w:val="none" w:color="FFFFFF" w:sz="0"/>
            </w:tcBorders>
            <w:shd w:fill="1a3a5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Requirement</w:t>
            </w:r>
          </w:p>
        </w:tc>
        <w:tc>
          <w:tcPr>
            <w:tcW w:type="dxa" w:w="2400"/>
            <w:gridSpan w:val="1"/>
            <w:tcBorders>
              <w:top w:val="none" w:color="FFFFFF" w:sz="0"/>
              <w:left w:val="none" w:color="FFFFFF" w:sz="0"/>
              <w:bottom w:val="none" w:color="FFFFFF" w:sz="0"/>
              <w:right w:val="none" w:color="FFFFFF" w:sz="0"/>
            </w:tcBorders>
            <w:shd w:fill="1a3a5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Senzing native</w:t>
            </w:r>
          </w:p>
        </w:tc>
        <w:tc>
          <w:tcPr>
            <w:tcW w:type="dxa" w:w="2400"/>
            <w:gridSpan w:val="1"/>
            <w:tcBorders>
              <w:top w:val="none" w:color="FFFFFF" w:sz="0"/>
              <w:left w:val="none" w:color="FFFFFF" w:sz="0"/>
              <w:bottom w:val="none" w:color="FFFFFF" w:sz="0"/>
              <w:right w:val="none" w:color="FFFFFF" w:sz="0"/>
            </w:tcBorders>
            <w:shd w:fill="1a3a5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Custom comparator</w:t>
            </w:r>
          </w:p>
        </w:tc>
        <w:tc>
          <w:tcPr>
            <w:tcW w:type="dxa" w:w="3080"/>
            <w:gridSpan w:val="1"/>
            <w:tcBorders>
              <w:top w:val="none" w:color="FFFFFF" w:sz="0"/>
              <w:left w:val="none" w:color="FFFFFF" w:sz="0"/>
              <w:bottom w:val="none" w:color="FFFFFF" w:sz="0"/>
              <w:right w:val="none" w:color="FFFFFF" w:sz="0"/>
            </w:tcBorders>
            <w:shd w:fill="1a3a5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App layer</w:t>
            </w:r>
          </w:p>
        </w:tc>
      </w:tr>
      <w:tr>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111111"/>
                <w:sz w:val="19"/>
                <w:szCs w:val="19"/>
              </w:rPr>
              <w:t xml:space="preserve">RENAME: resolve same entity despite name change</w:t>
            </w:r>
          </w:p>
        </w:tc>
        <w:tc>
          <w:tcPr>
            <w:gridSpan w:val="1"/>
            <w:tcBorders>
              <w:top w:val="single" w:color="c0ccd8" w:sz="1"/>
              <w:left w:val="single" w:color="c0ccd8" w:sz="1"/>
              <w:bottom w:val="single" w:color="c0ccd8" w:sz="1"/>
              <w:right w:val="single" w:color="c0ccd8" w:sz="1"/>
            </w:tcBorders>
            <w:shd w:fill="d4edda"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  EMAIL_COMP (P-1) or PERSONAL_NAME_COMP lead match (P-2) or NAME_ORG partial (P-4)</w:t>
            </w:r>
          </w:p>
        </w:tc>
        <w:tc>
          <w:tcPr>
            <w:gridSpan w:val="1"/>
            <w:tcBorders>
              <w:top w:val="single" w:color="c0ccd8" w:sz="1"/>
              <w:left w:val="single" w:color="c0ccd8" w:sz="1"/>
              <w:bottom w:val="single" w:color="c0ccd8" w:sz="1"/>
              <w:right w:val="single" w:color="c0ccd8" w:sz="1"/>
            </w:tcBorders>
            <w:shd w:fill="f0eb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  MEMBER_SET_COMP enables P-4/P-5 when email absent</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w:t>
            </w:r>
          </w:p>
        </w:tc>
      </w:tr>
      <w:tr>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111111"/>
                <w:sz w:val="19"/>
                <w:szCs w:val="19"/>
              </w:rPr>
              <w:t xml:space="preserve">RENAME: detect and tag name variation as RENAME event</w:t>
            </w:r>
          </w:p>
        </w:tc>
        <w:tc>
          <w:tcPr>
            <w:gridSpan w:val="1"/>
            <w:tcBorders>
              <w:top w:val="single" w:color="c0ccd8" w:sz="1"/>
              <w:left w:val="single" w:color="c0ccd8" w:sz="1"/>
              <w:bottom w:val="single" w:color="c0ccd8" w:sz="1"/>
              <w:right w:val="single" w:color="c0ccd8" w:sz="1"/>
            </w:tcBorders>
            <w:shd w:fill="fff3cd"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  Senzing stores both names but does not raise an event</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w:t>
            </w:r>
          </w:p>
        </w:tc>
        <w:tc>
          <w:tcPr>
            <w:gridSpan w:val="1"/>
            <w:tcBorders>
              <w:top w:val="single" w:color="c0ccd8" w:sz="1"/>
              <w:left w:val="single" w:color="c0ccd8" w:sz="1"/>
              <w:bottom w:val="single" w:color="c0ccd8" w:sz="1"/>
              <w:right w:val="single" w:color="c0ccd8" w:sz="1"/>
            </w:tcBorders>
            <w:shd w:fill="fff3cd"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  Diff NAME_ORG values in entity feature report across DATA_SOURCEs</w:t>
            </w:r>
          </w:p>
        </w:tc>
      </w:tr>
      <w:tr>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111111"/>
                <w:sz w:val="19"/>
                <w:szCs w:val="19"/>
              </w:rPr>
              <w:t xml:space="preserve">RENAME: source-agreement gate before auto-confirm</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w:t>
            </w:r>
          </w:p>
        </w:tc>
        <w:tc>
          <w:tcPr>
            <w:gridSpan w:val="1"/>
            <w:tcBorders>
              <w:top w:val="single" w:color="c0ccd8" w:sz="1"/>
              <w:left w:val="single" w:color="c0ccd8" w:sz="1"/>
              <w:bottom w:val="single" w:color="c0ccd8" w:sz="1"/>
              <w:right w:val="single" w:color="c0ccd8" w:sz="1"/>
            </w:tcBorders>
            <w:shd w:fill="fff3cd"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  Count DATA_SOURCEs per NAME_ORG variant in entity report</w:t>
            </w:r>
          </w:p>
        </w:tc>
      </w:tr>
      <w:tr>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111111"/>
                <w:sz w:val="19"/>
                <w:szCs w:val="19"/>
              </w:rPr>
              <w:t xml:space="preserve">MERGE: detect disappearance of target entity</w:t>
            </w:r>
          </w:p>
        </w:tc>
        <w:tc>
          <w:tcPr>
            <w:gridSpan w:val="1"/>
            <w:tcBorders>
              <w:top w:val="single" w:color="c0ccd8" w:sz="1"/>
              <w:left w:val="single" w:color="c0ccd8" w:sz="1"/>
              <w:bottom w:val="single" w:color="c0ccd8" w:sz="1"/>
              <w:right w:val="single" w:color="c0ccd8" w:sz="1"/>
            </w:tcBorders>
            <w:shd w:fill="fff3cd"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  No absence detection</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w:t>
            </w:r>
          </w:p>
        </w:tc>
        <w:tc>
          <w:tcPr>
            <w:gridSpan w:val="1"/>
            <w:tcBorders>
              <w:top w:val="single" w:color="c0ccd8" w:sz="1"/>
              <w:left w:val="single" w:color="c0ccd8" w:sz="1"/>
              <w:bottom w:val="single" w:color="c0ccd8" w:sz="1"/>
              <w:right w:val="single" w:color="c0ccd8" w:sz="1"/>
            </w:tcBorders>
            <w:shd w:fill="fff3cd"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  Diff entity ID sets between run N and run N-1</w:t>
            </w:r>
          </w:p>
        </w:tc>
      </w:tr>
      <w:tr>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111111"/>
                <w:sz w:val="19"/>
                <w:szCs w:val="19"/>
              </w:rPr>
              <w:t xml:space="preserve">MERGE: confirm target members absorbed by survivor</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w:t>
            </w:r>
          </w:p>
        </w:tc>
        <w:tc>
          <w:tcPr>
            <w:gridSpan w:val="1"/>
            <w:tcBorders>
              <w:top w:val="single" w:color="c0ccd8" w:sz="1"/>
              <w:left w:val="single" w:color="c0ccd8" w:sz="1"/>
              <w:bottom w:val="single" w:color="c0ccd8" w:sz="1"/>
              <w:right w:val="single" w:color="c0ccd8" w:sz="1"/>
            </w:tcBorders>
            <w:shd w:fill="f0eb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  MEMBER_SET_COMP searchByAttributes to find survivor</w:t>
            </w:r>
          </w:p>
        </w:tc>
        <w:tc>
          <w:tcPr>
            <w:gridSpan w:val="1"/>
            <w:tcBorders>
              <w:top w:val="single" w:color="c0ccd8" w:sz="1"/>
              <w:left w:val="single" w:color="c0ccd8" w:sz="1"/>
              <w:bottom w:val="single" w:color="c0ccd8" w:sz="1"/>
              <w:right w:val="single" w:color="c0ccd8" w:sz="1"/>
            </w:tcBorders>
            <w:shd w:fill="fff3cd"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  Member coverage ≥ 0.40 threshold evaluated in app</w:t>
            </w:r>
          </w:p>
        </w:tc>
      </w:tr>
      <w:tr>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111111"/>
                <w:sz w:val="19"/>
                <w:szCs w:val="19"/>
              </w:rPr>
              <w:t xml:space="preserve">MERGE: store permanent linkage between target and survivor</w:t>
            </w:r>
          </w:p>
        </w:tc>
        <w:tc>
          <w:tcPr>
            <w:gridSpan w:val="1"/>
            <w:tcBorders>
              <w:top w:val="single" w:color="c0ccd8" w:sz="1"/>
              <w:left w:val="single" w:color="c0ccd8" w:sz="1"/>
              <w:bottom w:val="single" w:color="c0ccd8" w:sz="1"/>
              <w:right w:val="single" w:color="c0ccd8" w:sz="1"/>
            </w:tcBorders>
            <w:shd w:fill="d4edda"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  DISCLOSED_RELATIONSHIP stores the link durably</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w:t>
            </w:r>
          </w:p>
        </w:tc>
        <w:tc>
          <w:tcPr>
            <w:gridSpan w:val="1"/>
            <w:tcBorders>
              <w:top w:val="single" w:color="c0ccd8" w:sz="1"/>
              <w:left w:val="single" w:color="c0ccd8" w:sz="1"/>
              <w:bottom w:val="single" w:color="c0ccd8" w:sz="1"/>
              <w:right w:val="single" w:color="c0ccd8" w:sz="1"/>
            </w:tcBorders>
            <w:shd w:fill="fff3cd"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  App loads relationship record; marks GR INACTIVE</w:t>
            </w:r>
          </w:p>
        </w:tc>
      </w:tr>
      <w:tr>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111111"/>
                <w:sz w:val="19"/>
                <w:szCs w:val="19"/>
              </w:rPr>
              <w:t xml:space="preserve">SPLIT: prevent child from over-merging into parent</w:t>
            </w:r>
          </w:p>
        </w:tc>
        <w:tc>
          <w:tcPr>
            <w:gridSpan w:val="1"/>
            <w:tcBorders>
              <w:top w:val="single" w:color="c0ccd8" w:sz="1"/>
              <w:left w:val="single" w:color="c0ccd8" w:sz="1"/>
              <w:bottom w:val="single" w:color="c0ccd8" w:sz="1"/>
              <w:right w:val="single" w:color="c0ccd8" w:sz="1"/>
            </w:tcBorders>
            <w:shd w:fill="d4edda"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  TEAM_ANCHOR EXCLUSIVE blocks resolution of different-lead teams at same firm</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w:t>
            </w:r>
          </w:p>
        </w:tc>
      </w:tr>
      <w:tr>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111111"/>
                <w:sz w:val="19"/>
                <w:szCs w:val="19"/>
              </w:rPr>
              <w:t xml:space="preserve">SPLIT: detect new entity as spinoff vs new hire</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w:t>
            </w:r>
          </w:p>
        </w:tc>
        <w:tc>
          <w:tcPr>
            <w:gridSpan w:val="1"/>
            <w:tcBorders>
              <w:top w:val="single" w:color="c0ccd8" w:sz="1"/>
              <w:left w:val="single" w:color="c0ccd8" w:sz="1"/>
              <w:bottom w:val="single" w:color="c0ccd8" w:sz="1"/>
              <w:right w:val="single" w:color="c0ccd8" w:sz="1"/>
            </w:tcBorders>
            <w:shd w:fill="f0eb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  MEMBER_SET_COMP: union coverage and member overlap tests</w:t>
            </w:r>
          </w:p>
        </w:tc>
        <w:tc>
          <w:tcPr>
            <w:gridSpan w:val="1"/>
            <w:tcBorders>
              <w:top w:val="single" w:color="c0ccd8" w:sz="1"/>
              <w:left w:val="single" w:color="c0ccd8" w:sz="1"/>
              <w:bottom w:val="single" w:color="c0ccd8" w:sz="1"/>
              <w:right w:val="single" w:color="c0ccd8" w:sz="1"/>
            </w:tcBorders>
            <w:shd w:fill="fff3cd"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  Partition test + parent continuity check in app</w:t>
            </w:r>
          </w:p>
        </w:tc>
      </w:tr>
      <w:tr>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111111"/>
                <w:sz w:val="19"/>
                <w:szCs w:val="19"/>
              </w:rPr>
              <w:t xml:space="preserve">SPLIT: store parent→child relationship</w:t>
            </w:r>
          </w:p>
        </w:tc>
        <w:tc>
          <w:tcPr>
            <w:gridSpan w:val="1"/>
            <w:tcBorders>
              <w:top w:val="single" w:color="c0ccd8" w:sz="1"/>
              <w:left w:val="single" w:color="c0ccd8" w:sz="1"/>
              <w:bottom w:val="single" w:color="c0ccd8" w:sz="1"/>
              <w:right w:val="single" w:color="c0ccd8" w:sz="1"/>
            </w:tcBorders>
            <w:shd w:fill="d4edda"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  DISCLOSED_RELATIONSHIP</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w:t>
            </w:r>
          </w:p>
        </w:tc>
        <w:tc>
          <w:tcPr>
            <w:gridSpan w:val="1"/>
            <w:tcBorders>
              <w:top w:val="single" w:color="c0ccd8" w:sz="1"/>
              <w:left w:val="single" w:color="c0ccd8" w:sz="1"/>
              <w:bottom w:val="single" w:color="c0ccd8" w:sz="1"/>
              <w:right w:val="single" w:color="c0ccd8" w:sz="1"/>
            </w:tcBorders>
            <w:shd w:fill="fff3cd"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  App loads relationship; creates child GR with split_from</w:t>
            </w:r>
          </w:p>
        </w:tc>
      </w:tr>
      <w:tr>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111111"/>
                <w:sz w:val="19"/>
                <w:szCs w:val="19"/>
              </w:rPr>
              <w:t xml:space="preserve">MEMBER_CHANGE: resolve stable team despite lead change</w:t>
            </w:r>
          </w:p>
        </w:tc>
        <w:tc>
          <w:tcPr>
            <w:gridSpan w:val="1"/>
            <w:tcBorders>
              <w:top w:val="single" w:color="c0ccd8" w:sz="1"/>
              <w:left w:val="single" w:color="c0ccd8" w:sz="1"/>
              <w:bottom w:val="single" w:color="c0ccd8" w:sz="1"/>
              <w:right w:val="single" w:color="c0ccd8" w:sz="1"/>
            </w:tcBorders>
            <w:shd w:fill="d4edda"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  P-3 (NAME_ORG + FIRM) resolves regardless of lead change</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w:t>
            </w:r>
          </w:p>
        </w:tc>
      </w:tr>
      <w:tr>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111111"/>
                <w:sz w:val="19"/>
                <w:szCs w:val="19"/>
              </w:rPr>
              <w:t xml:space="preserve">MEMBER_CHANGE: detect lead name change in resolved entity</w:t>
            </w:r>
          </w:p>
        </w:tc>
        <w:tc>
          <w:tcPr>
            <w:gridSpan w:val="1"/>
            <w:tcBorders>
              <w:top w:val="single" w:color="c0ccd8" w:sz="1"/>
              <w:left w:val="single" w:color="c0ccd8" w:sz="1"/>
              <w:bottom w:val="single" w:color="c0ccd8" w:sz="1"/>
              <w:right w:val="single" w:color="c0ccd8" w:sz="1"/>
            </w:tcBorders>
            <w:shd w:fill="fff3cd"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  Stores both lead names but no event</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w:t>
            </w:r>
          </w:p>
        </w:tc>
        <w:tc>
          <w:tcPr>
            <w:gridSpan w:val="1"/>
            <w:tcBorders>
              <w:top w:val="single" w:color="c0ccd8" w:sz="1"/>
              <w:left w:val="single" w:color="c0ccd8" w:sz="1"/>
              <w:bottom w:val="single" w:color="c0ccd8" w:sz="1"/>
              <w:right w:val="single" w:color="c0ccd8" w:sz="1"/>
            </w:tcBorders>
            <w:shd w:fill="fff3cd"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  Diff NAME_FULL(TYPE=LEAD) across DATA_SOURCEs in entity report</w:t>
            </w:r>
          </w:p>
        </w:tc>
      </w:tr>
      <w:tr>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111111"/>
                <w:sz w:val="19"/>
                <w:szCs w:val="19"/>
              </w:rPr>
              <w:t xml:space="preserve">MEMBER_CHANGE: partial member turnover detection</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w:t>
            </w:r>
          </w:p>
        </w:tc>
        <w:tc>
          <w:tcPr>
            <w:gridSpan w:val="1"/>
            <w:tcBorders>
              <w:top w:val="single" w:color="c0ccd8" w:sz="1"/>
              <w:left w:val="single" w:color="c0ccd8" w:sz="1"/>
              <w:bottom w:val="single" w:color="c0ccd8" w:sz="1"/>
              <w:right w:val="single" w:color="c0ccd8" w:sz="1"/>
            </w:tcBorders>
            <w:shd w:fill="fff3cd"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  Jaccard(old_members, new_members) from entity feature list; 0.30–0.79 = turnover</w:t>
            </w:r>
          </w:p>
        </w:tc>
      </w:tr>
    </w:tbl>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none" w:color="FFFFFF" w:sz="0"/>
              <w:left w:val="none" w:color="FFFFFF" w:sz="0"/>
              <w:bottom w:val="none" w:color="FFFFFF" w:sz="0"/>
              <w:right w:val="none" w:color="FFFFFF" w:sz="0"/>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sz w:val="20"/>
                <w:szCs w:val="20"/>
              </w:rPr>
              <w:t xml:space="preserve">📋  Summary:  </w:t>
            </w:r>
            <w:r>
              <w:rPr>
                <w:rFonts w:ascii="Calibri" w:cs="Calibri" w:eastAsia="Calibri" w:hAnsi="Calibri"/>
                <w:sz w:val="20"/>
                <w:szCs w:val="20"/>
              </w:rPr>
              <w:t xml:space="preserve">Senzing natively handles entity resolution (keeping same entity together) for all four event types when configured correctly.  Event detection and tagging (knowing a RENAME or MERGE occurred) is always an app-layer responsibility.  The custom MEMBER_SET_COMP comparator bridges the gap for member-overlap-based resolution when email and lead are absent.</w:t>
            </w:r>
          </w:p>
        </w:tc>
      </w:tr>
    </w:tbl>
    <w:p>
      <w:pPr>
        <w:spacing w:after="0" w:before="80"/>
      </w:pPr>
    </w:p>
    <w:p>
      <w:pPr>
        <w:pStyle w:val="Heading2"/>
        <w:spacing w:after="100" w:before="240"/>
      </w:pPr>
      <w:r>
        <w:rPr>
          <w:rFonts w:ascii="Calibri" w:cs="Calibri" w:eastAsia="Calibri" w:hAnsi="Calibri"/>
          <w:b/>
          <w:bCs/>
          <w:color w:val="0d6e6e"/>
          <w:sz w:val="23"/>
          <w:szCs w:val="23"/>
        </w:rPr>
        <w:t xml:space="preserve">7.10  Configuration Pitfalls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4280"/>
      </w:tblGrid>
      <w:tr>
        <w:tc>
          <w:tcPr>
            <w:tcW w:type="dxa" w:w="2400"/>
            <w:gridSpan w:val="1"/>
            <w:tcBorders>
              <w:top w:val="none" w:color="FFFFFF" w:sz="0"/>
              <w:left w:val="none" w:color="FFFFFF" w:sz="0"/>
              <w:bottom w:val="none" w:color="FFFFFF" w:sz="0"/>
              <w:right w:val="none" w:color="FFFFFF" w:sz="0"/>
            </w:tcBorders>
            <w:shd w:fill="1a3a5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Pitfall</w:t>
            </w:r>
          </w:p>
        </w:tc>
        <w:tc>
          <w:tcPr>
            <w:tcW w:type="dxa" w:w="3400"/>
            <w:gridSpan w:val="1"/>
            <w:tcBorders>
              <w:top w:val="none" w:color="FFFFFF" w:sz="0"/>
              <w:left w:val="none" w:color="FFFFFF" w:sz="0"/>
              <w:bottom w:val="none" w:color="FFFFFF" w:sz="0"/>
              <w:right w:val="none" w:color="FFFFFF" w:sz="0"/>
            </w:tcBorders>
            <w:shd w:fill="1a3a5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Symptom</w:t>
            </w:r>
          </w:p>
        </w:tc>
        <w:tc>
          <w:tcPr>
            <w:tcW w:type="dxa" w:w="4280"/>
            <w:gridSpan w:val="1"/>
            <w:tcBorders>
              <w:top w:val="none" w:color="FFFFFF" w:sz="0"/>
              <w:left w:val="none" w:color="FFFFFF" w:sz="0"/>
              <w:bottom w:val="none" w:color="FFFFFF" w:sz="0"/>
              <w:right w:val="none" w:color="FFFFFF" w:sz="0"/>
            </w:tcBorders>
            <w:shd w:fill="1a3a5c"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ffffff"/>
                <w:sz w:val="19"/>
                <w:szCs w:val="19"/>
              </w:rPr>
              <w:t xml:space="preserve">Fix</w:t>
            </w:r>
          </w:p>
        </w:tc>
      </w:tr>
      <w:tr>
        <w:tc>
          <w:tcPr>
            <w:gridSpan w:val="1"/>
            <w:tcBorders>
              <w:top w:val="single" w:color="c0ccd8" w:sz="1"/>
              <w:left w:val="single" w:color="c0ccd8" w:sz="1"/>
              <w:bottom w:val="single" w:color="c0ccd8" w:sz="1"/>
              <w:right w:val="single" w:color="c0ccd8" w:sz="1"/>
            </w:tcBorders>
            <w:shd w:fill="f8d7da"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111111"/>
                <w:sz w:val="19"/>
                <w:szCs w:val="19"/>
              </w:rPr>
              <w:t xml:space="preserve">EMAIL set EXCLUSIVE</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During a MEMBER_CHANGE, new lead's email causes two source records (old email / new email) to not resolve.  Entity splits in two.</w:t>
            </w:r>
          </w:p>
        </w:tc>
        <w:tc>
          <w:tcPr>
            <w:gridSpan w:val="1"/>
            <w:tcBorders>
              <w:top w:val="single" w:color="c0ccd8" w:sz="1"/>
              <w:left w:val="single" w:color="c0ccd8" w:sz="1"/>
              <w:bottom w:val="single" w:color="c0ccd8" w:sz="1"/>
              <w:right w:val="single" w:color="c0ccd8" w:sz="1"/>
            </w:tcBorders>
            <w:shd w:fill="d4edda"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Do NOT set EMAIL EXCLUSIVE.  Email is a supporting signal, not a hard identifier in this domain.</w:t>
            </w:r>
          </w:p>
        </w:tc>
      </w:tr>
      <w:tr>
        <w:tc>
          <w:tcPr>
            <w:gridSpan w:val="1"/>
            <w:tcBorders>
              <w:top w:val="single" w:color="c0ccd8" w:sz="1"/>
              <w:left w:val="single" w:color="c0ccd8" w:sz="1"/>
              <w:bottom w:val="single" w:color="c0ccd8" w:sz="1"/>
              <w:right w:val="single" w:color="c0ccd8" w:sz="1"/>
            </w:tcBorders>
            <w:shd w:fill="f8d7da"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111111"/>
                <w:sz w:val="19"/>
                <w:szCs w:val="19"/>
              </w:rPr>
              <w:t xml:space="preserve">TEAM_ANCHOR empty string vs null</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Records with missing lead_name have null TEAM_ANCHOR; EXCLUSIVE is bypassed correctly.  But if empty string is loaded as null, EXCLUSIVE is bypassed even for non-null leads.</w:t>
            </w:r>
          </w:p>
        </w:tc>
        <w:tc>
          <w:tcPr>
            <w:gridSpan w:val="1"/>
            <w:tcBorders>
              <w:top w:val="single" w:color="c0ccd8" w:sz="1"/>
              <w:left w:val="single" w:color="c0ccd8" w:sz="1"/>
              <w:bottom w:val="single" w:color="c0ccd8" w:sz="1"/>
              <w:right w:val="single" w:color="c0ccd8" w:sz="1"/>
            </w:tcBorders>
            <w:shd w:fill="d4edda"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Ensure load logic writes '' (empty string) when lead absent, and normalize(lead_last+initial+firm) when lead present.</w:t>
            </w:r>
          </w:p>
        </w:tc>
      </w:tr>
      <w:tr>
        <w:tc>
          <w:tcPr>
            <w:gridSpan w:val="1"/>
            <w:tcBorders>
              <w:top w:val="single" w:color="c0ccd8" w:sz="1"/>
              <w:left w:val="single" w:color="c0ccd8" w:sz="1"/>
              <w:bottom w:val="single" w:color="c0ccd8" w:sz="1"/>
              <w:right w:val="single" w:color="c0ccd8" w:sz="1"/>
            </w:tcBorders>
            <w:shd w:fill="f8d7da"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111111"/>
                <w:sz w:val="19"/>
                <w:szCs w:val="19"/>
              </w:rPr>
              <w:t xml:space="preserve">Too many NAME_FULL(MEMBER) instances</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Large member lists (8+ people) cause Senzing to generate excessive candidate pairs per blocking key, degrading throughput significantly.</w:t>
            </w:r>
          </w:p>
        </w:tc>
        <w:tc>
          <w:tcPr>
            <w:gridSpan w:val="1"/>
            <w:tcBorders>
              <w:top w:val="single" w:color="c0ccd8" w:sz="1"/>
              <w:left w:val="single" w:color="c0ccd8" w:sz="1"/>
              <w:bottom w:val="single" w:color="c0ccd8" w:sz="1"/>
              <w:right w:val="single" w:color="c0ccd8" w:sz="1"/>
            </w:tcBorders>
            <w:shd w:fill="d4edda"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Limit loaded members to max 6 per record.  If &gt; 6 members, load the lead + 5 most senior members.  Store full list in app DB, not in Senzing.</w:t>
            </w:r>
          </w:p>
        </w:tc>
      </w:tr>
      <w:tr>
        <w:tc>
          <w:tcPr>
            <w:gridSpan w:val="1"/>
            <w:tcBorders>
              <w:top w:val="single" w:color="c0ccd8" w:sz="1"/>
              <w:left w:val="single" w:color="c0ccd8" w:sz="1"/>
              <w:bottom w:val="single" w:color="c0ccd8" w:sz="1"/>
              <w:right w:val="single" w:color="c0ccd8" w:sz="1"/>
            </w:tcBorders>
            <w:shd w:fill="f8d7da"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111111"/>
                <w:sz w:val="19"/>
                <w:szCs w:val="19"/>
              </w:rPr>
              <w:t xml:space="preserve">P-4 firing on different-firm teams</w:t>
            </w:r>
          </w:p>
        </w:tc>
        <w:tc>
          <w:tcPr>
            <w:gridSpan w:val="1"/>
            <w:tcBorders>
              <w:top w:val="single" w:color="c0ccd8" w:sz="1"/>
              <w:left w:val="single" w:color="c0ccd8" w:sz="1"/>
              <w:bottom w:val="single" w:color="c0ccd8" w:sz="1"/>
              <w:right w:val="single" w:color="c0ccd8" w:sz="1"/>
            </w:tcBorders>
            <w:shd w:fill="f7fafc"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Two teams at different firms happen to share 2 member names (common names like Smith, Johnson) — P-4 fires and incorrectly merges them.</w:t>
            </w:r>
          </w:p>
        </w:tc>
        <w:tc>
          <w:tcPr>
            <w:gridSpan w:val="1"/>
            <w:tcBorders>
              <w:top w:val="single" w:color="c0ccd8" w:sz="1"/>
              <w:left w:val="single" w:color="c0ccd8" w:sz="1"/>
              <w:bottom w:val="single" w:color="c0ccd8" w:sz="1"/>
              <w:right w:val="single" w:color="c0ccd8" w:sz="1"/>
            </w:tcBorders>
            <w:shd w:fill="d4edda"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P-4 and P-5 must include FIRM_CANONICAL exact match as a required condition.  This is the most common misconfiguration.</w:t>
            </w:r>
          </w:p>
        </w:tc>
      </w:tr>
      <w:tr>
        <w:tc>
          <w:tcPr>
            <w:gridSpan w:val="1"/>
            <w:tcBorders>
              <w:top w:val="single" w:color="c0ccd8" w:sz="1"/>
              <w:left w:val="single" w:color="c0ccd8" w:sz="1"/>
              <w:bottom w:val="single" w:color="c0ccd8" w:sz="1"/>
              <w:right w:val="single" w:color="c0ccd8" w:sz="1"/>
            </w:tcBorders>
            <w:shd w:fill="f8d7da" w:color="auto" w:val="clear"/>
            <w:tcMar>
              <w:top w:type="dxa" w:w="60"/>
              <w:left w:type="dxa" w:w="80"/>
              <w:bottom w:type="dxa" w:w="60"/>
              <w:right w:type="dxa" w:w="60"/>
            </w:tcMar>
          </w:tcPr>
          <w:p>
            <w:pPr>
              <w:spacing w:after="40" w:before="40"/>
              <w:ind w:left="60" w:right="40"/>
              <w:jc w:val="left"/>
            </w:pPr>
            <w:r>
              <w:rPr>
                <w:rFonts w:ascii="Calibri" w:cs="Calibri" w:eastAsia="Calibri" w:hAnsi="Calibri"/>
                <w:b/>
                <w:bCs/>
                <w:i w:val="false"/>
                <w:iCs w:val="false"/>
                <w:color w:val="111111"/>
                <w:sz w:val="19"/>
                <w:szCs w:val="19"/>
              </w:rPr>
              <w:t xml:space="preserve">Stale TEAM_ANCHOR after MEMBER_CHANGE</w:t>
            </w:r>
          </w:p>
        </w:tc>
        <w:tc>
          <w:tcPr>
            <w:gridSpan w:val="1"/>
            <w:tcBorders>
              <w:top w:val="single" w:color="c0ccd8" w:sz="1"/>
              <w:left w:val="single" w:color="c0ccd8" w:sz="1"/>
              <w:bottom w:val="single" w:color="c0ccd8" w:sz="1"/>
              <w:right w:val="single" w:color="c0ccd8" w:sz="1"/>
            </w:tcBorders>
            <w:shd w:fill="eef3f8"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After a lead change, new records load with new TEAM_ANCHOR.  Old records still in Senzing carry old TEAM_ANCHOR.  EXCLUSIVE blocks resolution between old and new records.</w:t>
            </w:r>
          </w:p>
        </w:tc>
        <w:tc>
          <w:tcPr>
            <w:gridSpan w:val="1"/>
            <w:tcBorders>
              <w:top w:val="single" w:color="c0ccd8" w:sz="1"/>
              <w:left w:val="single" w:color="c0ccd8" w:sz="1"/>
              <w:bottom w:val="single" w:color="c0ccd8" w:sz="1"/>
              <w:right w:val="single" w:color="c0ccd8" w:sz="1"/>
            </w:tcBorders>
            <w:shd w:fill="d4edda" w:color="auto" w:val="clear"/>
            <w:tcMar>
              <w:top w:type="dxa" w:w="60"/>
              <w:left w:type="dxa" w:w="80"/>
              <w:bottom w:type="dxa" w:w="60"/>
              <w:right w:type="dxa" w:w="60"/>
            </w:tcMar>
          </w:tcPr>
          <w:p>
            <w:pPr>
              <w:spacing w:after="40" w:before="40"/>
              <w:ind w:left="60" w:right="40"/>
              <w:jc w:val="left"/>
            </w:pPr>
            <w:r>
              <w:rPr>
                <w:rFonts w:ascii="Calibri" w:cs="Calibri" w:eastAsia="Calibri" w:hAnsi="Calibri"/>
                <w:b w:val="false"/>
                <w:bCs w:val="false"/>
                <w:i w:val="false"/>
                <w:iCs w:val="false"/>
                <w:color w:val="111111"/>
                <w:sz w:val="19"/>
                <w:szCs w:val="19"/>
              </w:rPr>
              <w:t xml:space="preserve">On MEMBER_CHANGE confirmation: reload old source records with updated TEAM_ANCHOR, or suppress EXCLUSIVE for records from stale sources (use DATA_SOURCE-level principle scoping).</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7 — Modeling Lifecycle Rules in Senzing</dc:title>
  <dc:creator>Golden Record Pipeline</dc:creator>
  <cp:lastModifiedBy>Un-named</cp:lastModifiedBy>
  <cp:revision>1</cp:revision>
  <dcterms:created xsi:type="dcterms:W3CDTF">2026-08-19T17:55:11.276Z</dcterms:created>
  <dcterms:modified xsi:type="dcterms:W3CDTF">2026-08-19T17:55:11.276Z</dcterms:modified>
</cp:coreProperties>
</file>

<file path=docProps/custom.xml><?xml version="1.0" encoding="utf-8"?>
<Properties xmlns="http://schemas.openxmlformats.org/officeDocument/2006/custom-properties" xmlns:vt="http://schemas.openxmlformats.org/officeDocument/2006/docPropsVTypes"/>
</file>