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727"/>
      </w:pPr>
      <w:r>
        <w:rPr>
          <w:b/>
          <w:bCs/>
          <w:color w:val="1A1A1A"/>
          <w:sz w:val="48"/>
          <w:szCs w:val="48"/>
        </w:rPr>
        <w:t xml:space="preserve">Business Team Golden Record</w:t>
      </w:r>
    </w:p>
    <w:p>
      <w:pPr>
        <w:spacing w:after="60" w:before="0"/>
      </w:pPr>
      <w:r>
        <w:rPr>
          <w:color w:val="6B7280"/>
          <w:sz w:val="32"/>
          <w:szCs w:val="32"/>
        </w:rPr>
        <w:t xml:space="preserve">Matching &amp; Deduplication Rules</w:t>
      </w:r>
    </w:p>
    <w:p>
      <w:pPr>
        <w:spacing w:after="400" w:before="0"/>
      </w:pPr>
      <w:r>
        <w:rPr>
          <w:i/>
          <w:iCs/>
          <w:color w:val="6B7280"/>
          <w:sz w:val="22"/>
          <w:szCs w:val="22"/>
        </w:rPr>
        <w:t xml:space="preserve">PE Advisory &amp; Wire-House Data Providers</w:t>
      </w:r>
    </w:p>
    <w:p>
      <w:pPr>
        <w:pBdr>
          <w:bottom w:val="single" w:color="D1D5DB" w:sz="1"/>
        </w:pBdr>
        <w:spacing w:after="80" w:before="80"/>
      </w:pPr>
    </w:p>
    <w:p>
      <w:pPr>
        <w:spacing w:after="0" w:before="0"/>
      </w:pPr>
    </w:p>
    <w:p>
      <w:pPr>
        <w:pStyle w:val="Heading1"/>
        <w:spacing w:after="80" w:before="160"/>
      </w:pPr>
      <w:r>
        <w:rPr>
          <w:b/>
          <w:bCs/>
          <w:color w:val="1A1A1A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This document defines the six-phase pipeline used to deduplicate business teams and their members received daily from multiple data providers (Broadridge, Discovery Data, Bloomberg, and others), and to construct a single authoritative Golden Record per team. Rules are applied in order: normalization → deterministic linking → probabilistic scoring → threshold decisions → member-level matching → negative blocking.</w:t>
      </w:r>
    </w:p>
    <w:p>
      <w:pPr>
        <w:spacing w:after="0" w:before="0"/>
      </w:pPr>
    </w:p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1  </w:t>
      </w:r>
      <w:r>
        <w:rPr>
          <w:b/>
          <w:bCs/>
          <w:color w:val="1A1A1A"/>
          <w:sz w:val="26"/>
          <w:szCs w:val="26"/>
        </w:rPr>
        <w:t xml:space="preserve">Normalization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All fields are standardized before any comparison. Normalization is idempotent and reversible — raw source values are always preserved separately.</w:t>
      </w:r>
    </w:p>
    <w:p>
      <w:pPr>
        <w:spacing w:after="0" w:before="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800"/>
      </w:tblGrid>
      <w:tr>
        <w:trPr>
          <w:tblHeader/>
        </w:trPr>
        <w:tc>
          <w:tcPr>
            <w:tcW w:type="dxa" w:w="1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28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Names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Lower-case, strip punctuation. Expand known aliases (Bill→William, Bob→Robert, Mike→Michael). Expand suffix abbreviations (Grp→Group, Mgmt→Management, Adv→Advisory, Priv→Private, Fin→Financial).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"Bill Smith's Wealth Mgmt Grp" → "william smith wealth management group"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Phone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Strip all non-digits. Remove leading country code (+1).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"(212) 555-1234" → "2125551234"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Email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Lower-case entire string.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"JSMITH@ML.COM" → "jsmith@ml.com"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ZIP code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Keep first 5 digits only; discard +4 extension.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"10017-3456" → "10017"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CRD number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Strip leading zeros; store as string.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"0123456" → "123456"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AUM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Convert to $M float. Bucket into $50M tiers for range comparisons.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"$1.2B" → 1200.0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Firm name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Remove generic tokens: Financial, Services, Wealth, Management, Inc, LLC, Co.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"UBS Financial Services" → "ubs"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2  </w:t>
      </w:r>
      <w:r>
        <w:rPr>
          <w:b/>
          <w:bCs/>
          <w:color w:val="1A1A1A"/>
          <w:sz w:val="26"/>
          <w:szCs w:val="26"/>
        </w:rPr>
        <w:t xml:space="preserve">Deterministic Rules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Any single rule match auto-links the two records immediately. Probabilistic scoring is skipped.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200"/>
        <w:gridCol w:w="1200"/>
      </w:tblGrid>
      <w:tr>
        <w:trPr>
          <w:tblHeader/>
        </w:trPr>
        <w:tc>
          <w:tcPr>
            <w:tcW w:type="dxa" w:w="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8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Field(s)</w:t>
            </w:r>
          </w:p>
        </w:tc>
        <w:tc>
          <w:tcPr>
            <w:tcW w:type="dxa" w:w="32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D-1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CRD number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match (normalized) AND firm token matches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D-2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Lead email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match (lower-cased)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D-3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Lead phone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match (digits only) AND ZIP prefix matches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D-4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Vendor-assigned team ID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Bloomberg TID, Broadridge Team ID, or Discovery ID exact match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3  </w:t>
      </w:r>
      <w:r>
        <w:rPr>
          <w:b/>
          <w:bCs/>
          <w:color w:val="1A1A1A"/>
          <w:sz w:val="26"/>
          <w:szCs w:val="26"/>
        </w:rPr>
        <w:t xml:space="preserve">Probabilistic Scoring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Applied to candidate pairs surfaced by the blocking step. Each field produces a similarity score (0–1) that is multiplied by its weight and summed into a composite score.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700"/>
        <w:gridCol w:w="2300"/>
      </w:tblGrid>
      <w:tr>
        <w:trPr>
          <w:tblHeader/>
        </w:trPr>
        <w:tc>
          <w:tcPr>
            <w:tcW w:type="dxa" w:w="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7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3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Team 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Jaro-Winkler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0.25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After suffix normalization. Prefix-weighted — catches 'The Smith Group' vs 'Smith Group'.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Lead last 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Levenshtein ≤ 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0.20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Soundex fallback for OCR-corrupted names.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Lead first 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Alias lookup → exact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Bill=William, Bob=Robert, Mike=Michael, etc.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Firm name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Token set ratio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0.20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Compares canonical firm tokens after generic-word removal.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ZIP code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(5-digit)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Partial ZIP (first 3 digits only) = 0.5 score.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AUM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|ΔA − ΔB| / ΔA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0.10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≤10% diff = 1.0 · ≤25% = 0.5 · &gt;25% = 0.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P-7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Member overlap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0.05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Tiebreaker only. Ghost/phantom members excluded. See Phase 5.</w:t>
            </w:r>
          </w:p>
        </w:tc>
      </w:tr>
    </w:tbl>
    <w:p>
      <w:pPr>
        <w:pBdr>
          <w:left w:val="single" w:color="1D4ED8" w:sz="4"/>
        </w:pBdr>
        <w:spacing w:after="80" w:before="80"/>
        <w:ind w:left="360"/>
      </w:pPr>
      <w:r>
        <w:rPr>
          <w:i/>
          <w:iCs/>
          <w:color w:val="6B7280"/>
          <w:sz w:val="20"/>
          <w:szCs w:val="20"/>
        </w:rPr>
        <w:t xml:space="preserve">Weights sum to 1.00. If a field is null in either record, its weight is redistributed proportionally among non-null fields so the composite score remains on a 0–1 scale.</w:t>
      </w:r>
    </w:p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4  </w:t>
      </w:r>
      <w:r>
        <w:rPr>
          <w:b/>
          <w:bCs/>
          <w:color w:val="1A1A1A"/>
          <w:sz w:val="26"/>
          <w:szCs w:val="26"/>
        </w:rPr>
        <w:t xml:space="preserve">Decision Thresholds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The composite probabilistic score determines the outcome for each candidate pair.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0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≥ 0.90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Auto-link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Records are merged into the Golden Record immediately. No human review required.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0.70 – 0.89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Pair is added to the review queue with the top-scoring field breakdown displayed. A reviewer confirms or rejects.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&lt; 0.70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Reject / new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Records are treated as distinct entities. A new Golden Record is created if the record has no existing match.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5  </w:t>
      </w:r>
      <w:r>
        <w:rPr>
          <w:b/>
          <w:bCs/>
          <w:color w:val="1A1A1A"/>
          <w:sz w:val="26"/>
          <w:szCs w:val="26"/>
        </w:rPr>
        <w:t xml:space="preserve">Member-Level Matching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Member matching runs in two passes to avoid the chicken-and-egg problem (you need team links to match members, but member overlap helps match teams).</w:t>
      </w:r>
    </w:p>
    <w:p>
      <w:pPr>
        <w:spacing w:after="0" w:before="0"/>
      </w:pPr>
    </w:p>
    <w:p>
      <w:pPr>
        <w:spacing w:after="60" w:before="160"/>
      </w:pPr>
      <w:r>
        <w:rPr>
          <w:b/>
          <w:bCs/>
          <w:color w:val="3D3D3D"/>
          <w:sz w:val="22"/>
          <w:szCs w:val="22"/>
        </w:rPr>
        <w:t xml:space="preserve">Pass 1 — Pre-cluster members cross-source (before team matching)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Match individual advisors across all sources independently of their team assignment, using the hierarchy below. Stop at the first hit.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200"/>
        <w:gridCol w:w="2400"/>
      </w:tblGrid>
      <w:tr>
        <w:trPr>
          <w:tblHeader/>
        </w:trPr>
        <w:tc>
          <w:tcPr>
            <w:tcW w:type="dxa" w:w="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Field(s)</w:t>
            </w:r>
          </w:p>
        </w:tc>
        <w:tc>
          <w:tcPr>
            <w:tcW w:type="dxa" w:w="22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M-1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match (normalized)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Auto-link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M-2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digits match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Auto-link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M-3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First + last name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Alias expand → Jaro-Winkler ≥ 0.88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Auto-link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M-4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Last name only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Exact + title match within same firm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Review queue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5B21B6"/>
                <w:sz w:val="20"/>
                <w:szCs w:val="20"/>
              </w:rPr>
              <w:t xml:space="preserve">M-5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No overlap on any field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Ghost candidate — no counterpart found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Flag as unmatched (do not link)</w:t>
            </w:r>
          </w:p>
        </w:tc>
      </w:tr>
    </w:tbl>
    <w:p>
      <w:pPr>
        <w:spacing w:after="60" w:before="160"/>
      </w:pPr>
      <w:r>
        <w:rPr>
          <w:b/>
          <w:bCs/>
          <w:color w:val="3D3D3D"/>
          <w:sz w:val="22"/>
          <w:szCs w:val="22"/>
        </w:rPr>
        <w:t xml:space="preserve">Pass 2 — Compute Jaccard overlap per candidate team pair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After member pre-clustering, compute team-level member set overlap using the corrected Jaccard formula that excludes ghost members:</w:t>
      </w:r>
    </w:p>
    <w:p>
      <w:pPr>
        <w:spacing w:after="0" w:before="0"/>
      </w:pP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Jaccard  =  |matched members|  /  (|A real| + |B real| − |matched members|)</w:t>
      </w:r>
    </w:p>
    <w:p>
      <w:pPr>
        <w:spacing w:after="0" w:before="0"/>
      </w:pP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A ghost member is any source member record with no pre-clustered counterpart in any other source. Including ghosts in the union inflates the denominator and artificially lowers scores.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</w:tblGrid>
      <w:tr>
        <w:trPr>
          <w:tblHeader/>
        </w:trPr>
        <w:tc>
          <w:tcPr>
            <w:tcW w:type="dxa" w:w="28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Matched / Total unique members</w:t>
            </w:r>
          </w:p>
        </w:tc>
        <w:tc>
          <w:tcPr>
            <w:tcW w:type="dxa" w:w="1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Jaccard score</w:t>
            </w:r>
          </w:p>
        </w:tc>
        <w:tc>
          <w:tcPr>
            <w:tcW w:type="dxa" w:w="2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3 of 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1.00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Perfect overlap — very strong corroborating signal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3 of 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065F46"/>
                <w:sz w:val="20"/>
                <w:szCs w:val="20"/>
              </w:rPr>
              <w:t xml:space="preserve">0.75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Strong — one source-only member (likely coverage gap)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3 of 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0.60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Moderate — worth checking with other signals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2 of 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0.40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Weak tiebreaker — rely primarily on name/firm scoring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0 of any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0.00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No overlap — negative signal; reduce composite score</w:t>
            </w:r>
          </w:p>
        </w:tc>
      </w:tr>
    </w:tbl>
    <w:p>
      <w:pPr>
        <w:pBdr>
          <w:left w:val="single" w:color="1D4ED8" w:sz="4"/>
        </w:pBdr>
        <w:spacing w:after="80" w:before="80"/>
        <w:ind w:left="360"/>
      </w:pPr>
      <w:r>
        <w:rPr>
          <w:i/>
          <w:iCs/>
          <w:color w:val="6B7280"/>
          <w:sz w:val="20"/>
          <w:szCs w:val="20"/>
        </w:rPr>
        <w:t xml:space="preserve">Member overlap is a tiebreaker (weight 0.05), not a primary signal. Its strongest role is as a blocking key: any two team records that share at least one pre-clustered member are forced into the same candidate pair for scoring, regardless of name similarity.</w:t>
      </w:r>
    </w:p>
    <w:p>
      <w:pPr>
        <w:pStyle w:val="Heading2"/>
        <w:spacing w:after="100" w:before="280"/>
      </w:pPr>
      <w:r>
        <w:rPr>
          <w:b/>
          <w:bCs/>
          <w:color w:val="6B7280"/>
          <w:sz w:val="26"/>
          <w:szCs w:val="26"/>
        </w:rPr>
        <w:t xml:space="preserve">Phase 6  </w:t>
      </w:r>
      <w:r>
        <w:rPr>
          <w:b/>
          <w:bCs/>
          <w:color w:val="1A1A1A"/>
          <w:sz w:val="26"/>
          <w:szCs w:val="26"/>
        </w:rPr>
        <w:t xml:space="preserve">Negative / Blocking Rules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These rules prevent incorrect links before scoring runs. A single hit is a hard block — no composite score is computed.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</w:tblGrid>
      <w:tr>
        <w:trPr>
          <w:tblHeader/>
        </w:trPr>
        <w:tc>
          <w:tcPr>
            <w:tcW w:type="dxa" w:w="7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1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N-1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CRD numbers are both present but differ → hard block regardless of name similarity.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N-2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Firm names resolve to different firm families (e.g. Merrill Lynch vs. Morgan Stanley) → hard block.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N-3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ZIP codes differ by more than one USPS region AND AUM brackets differ by more than 25% → skip pair.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N-4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 source record ID is already linked to a different Golden Record → block duplicate link.</w:t>
            </w:r>
          </w:p>
        </w:tc>
      </w:tr>
    </w:tbl>
    <w:p>
      <w:pPr>
        <w:pStyle w:val="Heading1"/>
        <w:spacing w:after="80" w:before="300"/>
      </w:pPr>
      <w:r>
        <w:rPr>
          <w:b/>
          <w:bCs/>
          <w:color w:val="1A1A1A"/>
          <w:sz w:val="28"/>
          <w:szCs w:val="28"/>
        </w:rPr>
        <w:t xml:space="preserve">Survivorship Rules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Once records are linked into a cluster, a single Golden Record is constructed field by field using the following survivorship rules.</w:t>
      </w:r>
    </w:p>
    <w:p>
      <w:pPr>
        <w:spacing w:after="0" w:before="0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</w:tblGrid>
      <w:tr>
        <w:trPr>
          <w:tblHeader/>
        </w:trPr>
        <w:tc>
          <w:tcPr>
            <w:tcW w:type="dxa" w:w="16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2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priority / rationale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CRD / FINRA number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Deterministic — exact match wins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Regulatory ID; highest trust. Conflicts flagged for review.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Team name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Most complete value; source priority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Broadridge first, Bloomberg fallback. Longest non-abbreviated form preferred.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Firm name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Source priority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Broadridge &gt; Discovery &gt; Bloomberg.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AUM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Most recent non-null value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Prefer file with latest as-of date. ±10% variance treated as same.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Lead email / phone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Most recent non-null; majority vote on conflict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Conflicts flagged for human review.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USPS-validated, most recent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Normalize format first (Ste vs Suite). Then prefer freshest file date.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Union across all sources (ghosts excluded)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Any source that sees a real member includes them in the Golden Record.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Member title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Source priority on non-null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Broadridge preferred; Bloomberg fallback.</w:t>
            </w:r>
          </w:p>
        </w:tc>
      </w:tr>
    </w:tbl>
    <w:p>
      <w:pPr>
        <w:pStyle w:val="Heading1"/>
        <w:spacing w:after="80" w:before="300"/>
      </w:pPr>
      <w:r>
        <w:rPr>
          <w:b/>
          <w:bCs/>
          <w:color w:val="1A1A1A"/>
          <w:sz w:val="28"/>
          <w:szCs w:val="28"/>
        </w:rPr>
        <w:t xml:space="preserve">Evaluation Metrics</w:t>
      </w:r>
    </w:p>
    <w:p>
      <w:pPr>
        <w:spacing w:after="60" w:before="60"/>
      </w:pPr>
      <w:r>
        <w:rPr>
          <w:i w:val="false"/>
          <w:iCs w:val="false"/>
          <w:color w:val="3D3D3D"/>
          <w:sz w:val="21"/>
          <w:szCs w:val="21"/>
        </w:rPr>
        <w:t xml:space="preserve">Use the ground truth link tables generated from the test dataset to measure pipeline performance.</w:t>
      </w:r>
    </w:p>
    <w:p>
      <w:pPr>
        <w:spacing w:after="0" w:before="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800"/>
      </w:tblGrid>
      <w:tr>
        <w:trPr>
          <w:tblHeader/>
        </w:trPr>
        <w:tc>
          <w:tcPr>
            <w:tcW w:type="dxa" w:w="1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800"/>
            <w:shd w:fill="1F293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Precision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Correctly linked pairs  /  all linked pairs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Recall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Correctly linked pairs  /  all true pairs in ground truth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F1 score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2 × Precision × Recall  /  (Precision + Recall)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≥ 92%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Ghost FP rate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Ghost members incorrectly linked  /  total ghost members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3D3D3D"/>
                <w:sz w:val="20"/>
                <w:szCs w:val="20"/>
              </w:rPr>
              <w:t xml:space="preserve">≤ 2%</w:t>
            </w:r>
          </w:p>
        </w:tc>
      </w:tr>
    </w:tbl>
    <w:p>
      <w:pPr>
        <w:pBdr>
          <w:left w:val="single" w:color="1D4ED8" w:sz="4"/>
        </w:pBdr>
        <w:spacing w:after="80" w:before="80"/>
        <w:ind w:left="360"/>
      </w:pPr>
      <w:r>
        <w:rPr>
          <w:i/>
          <w:iCs/>
          <w:color w:val="6B7280"/>
          <w:sz w:val="20"/>
          <w:szCs w:val="20"/>
        </w:rPr>
        <w:t xml:space="preserve">The test dataset contains 5,000 golden teams across 3 sources with 1,750 triple-source overlaps, 2,452 dual-source overlaps, 748 single-source records, and 507 injected ghost members. Triple-source pairs are the strongest positive test cases; ghost members test false-positive suppression.</w:t>
      </w: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D1D5DB" w:sz="1"/>
        </w:pBdr>
        <w:spacing w:after="80" w:before="80"/>
      </w:pPr>
    </w:p>
    <w:p>
      <w:pPr>
        <w:spacing w:after="0" w:before="80"/>
        <w:jc w:val="right"/>
      </w:pPr>
      <w:r>
        <w:rPr>
          <w:i/>
          <w:iCs/>
          <w:color w:val="6B7280"/>
          <w:sz w:val="18"/>
          <w:szCs w:val="18"/>
        </w:rPr>
        <w:t xml:space="preserve">Apollo Advisors  ·  Golden Record Pipeline  ·  Generated August 12, 2026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Team Golden Record — Matching Rules</dc:title>
  <dc:creator>Apollo Advisors</dc:creator>
  <dc:description>Entity resolution matching rules for deduplicating business teams across multiple data providers</dc:description>
  <cp:lastModifiedBy>Un-named</cp:lastModifiedBy>
  <cp:revision>1</cp:revision>
  <dcterms:created xsi:type="dcterms:W3CDTF">2026-08-12T22:56:50.101Z</dcterms:created>
  <dcterms:modified xsi:type="dcterms:W3CDTF">2026-08-12T22:56:50.101Z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