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3BF" w:rsidRPr="00343A48" w:rsidRDefault="00E113BF" w:rsidP="00E113BF">
      <w:pPr>
        <w:spacing w:line="276" w:lineRule="auto"/>
        <w:jc w:val="center"/>
        <w:rPr>
          <w:rFonts w:asciiTheme="majorBidi" w:hAnsiTheme="majorBidi" w:cstheme="majorBidi"/>
          <w:sz w:val="24"/>
          <w:szCs w:val="24"/>
          <w:lang w:val="en-US"/>
        </w:rPr>
      </w:pPr>
      <w:bookmarkStart w:id="0" w:name="_GoBack"/>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sz w:val="24"/>
          <w:szCs w:val="24"/>
          <w:lang w:val="en-US"/>
        </w:rPr>
        <w:softHyphen/>
      </w:r>
      <w:r w:rsidRPr="00343A48">
        <w:rPr>
          <w:rFonts w:asciiTheme="majorBidi" w:hAnsiTheme="majorBidi" w:cstheme="majorBidi"/>
          <w:noProof/>
          <w:sz w:val="24"/>
          <w:szCs w:val="24"/>
          <w:lang w:val="en-US"/>
        </w:rPr>
        <w:drawing>
          <wp:inline distT="0" distB="0" distL="0" distR="0" wp14:anchorId="57A89839" wp14:editId="79E4B8CA">
            <wp:extent cx="1906210" cy="1360723"/>
            <wp:effectExtent l="0" t="0" r="0" b="0"/>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7" cstate="print"/>
                    <a:srcRect/>
                    <a:stretch/>
                  </pic:blipFill>
                  <pic:spPr>
                    <a:xfrm>
                      <a:off x="0" y="0"/>
                      <a:ext cx="1906210" cy="1360723"/>
                    </a:xfrm>
                    <a:prstGeom prst="rect">
                      <a:avLst/>
                    </a:prstGeom>
                  </pic:spPr>
                </pic:pic>
              </a:graphicData>
            </a:graphic>
          </wp:inline>
        </w:drawing>
      </w:r>
    </w:p>
    <w:bookmarkEnd w:id="0"/>
    <w:p w:rsidR="00E113BF" w:rsidRPr="00343A48" w:rsidRDefault="00E113BF" w:rsidP="00E113BF">
      <w:pPr>
        <w:spacing w:line="276" w:lineRule="auto"/>
        <w:jc w:val="center"/>
        <w:rPr>
          <w:rFonts w:asciiTheme="majorBidi" w:hAnsiTheme="majorBidi" w:cstheme="majorBidi"/>
          <w:sz w:val="24"/>
          <w:szCs w:val="24"/>
          <w:lang w:val="en-US"/>
        </w:rPr>
      </w:pP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THE STATE UNIVERSITY OF ZANZIBAR</w:t>
      </w: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DEPARTMENT OF COMPUTER SCIENCE AND IT</w:t>
      </w:r>
    </w:p>
    <w:p w:rsidR="00E113BF" w:rsidRPr="00E113BF" w:rsidRDefault="00E113BF" w:rsidP="00E113BF">
      <w:pPr>
        <w:spacing w:line="276" w:lineRule="auto"/>
        <w:jc w:val="center"/>
        <w:rPr>
          <w:rFonts w:asciiTheme="majorBidi" w:hAnsiTheme="majorBidi" w:cstheme="majorBidi"/>
          <w:b/>
          <w:bCs/>
          <w:sz w:val="32"/>
          <w:szCs w:val="32"/>
        </w:rPr>
      </w:pPr>
      <w:r w:rsidRPr="00E113BF">
        <w:rPr>
          <w:rFonts w:asciiTheme="majorBidi" w:hAnsiTheme="majorBidi" w:cstheme="majorBidi"/>
          <w:b/>
          <w:bCs/>
          <w:sz w:val="32"/>
          <w:szCs w:val="32"/>
        </w:rPr>
        <w:t>TUNGUU ZAZIBAR</w:t>
      </w:r>
    </w:p>
    <w:p w:rsidR="00E113BF" w:rsidRPr="00E113BF" w:rsidRDefault="00E113BF" w:rsidP="00E113BF">
      <w:pPr>
        <w:spacing w:line="276" w:lineRule="auto"/>
        <w:rPr>
          <w:rFonts w:asciiTheme="majorBidi" w:hAnsiTheme="majorBidi" w:cstheme="majorBidi"/>
          <w:b/>
          <w:bCs/>
          <w:sz w:val="28"/>
          <w:szCs w:val="28"/>
        </w:rPr>
      </w:pPr>
    </w:p>
    <w:p w:rsidR="00E113BF" w:rsidRPr="00E113BF" w:rsidRDefault="00E113BF" w:rsidP="00550A35">
      <w:pPr>
        <w:spacing w:line="276" w:lineRule="auto"/>
        <w:rPr>
          <w:rFonts w:asciiTheme="majorBidi" w:hAnsiTheme="majorBidi" w:cstheme="majorBidi"/>
          <w:b/>
          <w:bCs/>
          <w:sz w:val="28"/>
          <w:szCs w:val="28"/>
        </w:rPr>
      </w:pPr>
      <w:r w:rsidRPr="00E113BF">
        <w:rPr>
          <w:rFonts w:asciiTheme="majorBidi" w:hAnsiTheme="majorBidi" w:cstheme="majorBidi"/>
          <w:b/>
          <w:bCs/>
          <w:sz w:val="28"/>
          <w:szCs w:val="28"/>
        </w:rPr>
        <w:t>COURSE NAME</w:t>
      </w:r>
      <w:r>
        <w:rPr>
          <w:rFonts w:asciiTheme="majorBidi" w:hAnsiTheme="majorBidi" w:cstheme="majorBidi"/>
          <w:b/>
          <w:bCs/>
          <w:sz w:val="28"/>
          <w:szCs w:val="28"/>
        </w:rPr>
        <w:t>:</w:t>
      </w:r>
      <w:r w:rsidRPr="00E113BF">
        <w:rPr>
          <w:rFonts w:asciiTheme="majorBidi" w:hAnsiTheme="majorBidi" w:cstheme="majorBidi"/>
          <w:b/>
          <w:bCs/>
          <w:sz w:val="28"/>
          <w:szCs w:val="28"/>
        </w:rPr>
        <w:t xml:space="preserve">       HUMAN RESOURSCE MANAGEMENT AND </w:t>
      </w:r>
      <w:r>
        <w:rPr>
          <w:rFonts w:asciiTheme="majorBidi" w:hAnsiTheme="majorBidi" w:cstheme="majorBidi"/>
          <w:b/>
          <w:bCs/>
          <w:sz w:val="28"/>
          <w:szCs w:val="28"/>
        </w:rPr>
        <w:t xml:space="preserve">                                I</w:t>
      </w:r>
      <w:r w:rsidRPr="00E113BF">
        <w:rPr>
          <w:rFonts w:asciiTheme="majorBidi" w:hAnsiTheme="majorBidi" w:cstheme="majorBidi"/>
          <w:b/>
          <w:bCs/>
          <w:sz w:val="28"/>
          <w:szCs w:val="28"/>
        </w:rPr>
        <w:t>NFORMATION SYSTEM</w:t>
      </w:r>
    </w:p>
    <w:p w:rsidR="00E113BF" w:rsidRPr="00E113BF" w:rsidRDefault="00E113BF" w:rsidP="00E113BF">
      <w:pPr>
        <w:spacing w:line="276" w:lineRule="auto"/>
        <w:rPr>
          <w:rFonts w:asciiTheme="majorBidi" w:hAnsiTheme="majorBidi" w:cstheme="majorBidi"/>
          <w:b/>
          <w:bCs/>
          <w:sz w:val="28"/>
          <w:szCs w:val="28"/>
        </w:rPr>
      </w:pPr>
      <w:r w:rsidRPr="00E113BF">
        <w:rPr>
          <w:rFonts w:asciiTheme="majorBidi" w:hAnsiTheme="majorBidi" w:cstheme="majorBidi"/>
          <w:b/>
          <w:bCs/>
          <w:sz w:val="28"/>
          <w:szCs w:val="28"/>
        </w:rPr>
        <w:t xml:space="preserve"> COURSE CODE</w:t>
      </w:r>
      <w:r>
        <w:rPr>
          <w:rFonts w:asciiTheme="majorBidi" w:hAnsiTheme="majorBidi" w:cstheme="majorBidi"/>
          <w:b/>
          <w:bCs/>
          <w:sz w:val="28"/>
          <w:szCs w:val="28"/>
        </w:rPr>
        <w:t>:</w:t>
      </w:r>
      <w:r w:rsidRPr="00E113BF">
        <w:rPr>
          <w:rFonts w:asciiTheme="majorBidi" w:hAnsiTheme="majorBidi" w:cstheme="majorBidi"/>
          <w:b/>
          <w:bCs/>
          <w:sz w:val="28"/>
          <w:szCs w:val="28"/>
        </w:rPr>
        <w:t xml:space="preserve">          </w:t>
      </w:r>
      <w:r w:rsidRPr="00E113BF">
        <w:rPr>
          <w:rFonts w:asciiTheme="majorBidi" w:hAnsiTheme="majorBidi" w:cstheme="majorBidi"/>
          <w:b/>
          <w:bCs/>
          <w:sz w:val="28"/>
          <w:szCs w:val="28"/>
        </w:rPr>
        <w:tab/>
        <w:t xml:space="preserve">           INF3108</w:t>
      </w:r>
    </w:p>
    <w:p w:rsidR="00E113BF" w:rsidRPr="00E113BF" w:rsidRDefault="00E113BF" w:rsidP="00E113BF">
      <w:pPr>
        <w:spacing w:line="276" w:lineRule="auto"/>
        <w:rPr>
          <w:rFonts w:asciiTheme="majorBidi" w:hAnsiTheme="majorBidi" w:cstheme="majorBidi"/>
          <w:b/>
          <w:bCs/>
          <w:sz w:val="32"/>
          <w:szCs w:val="32"/>
        </w:rPr>
      </w:pPr>
      <w:r w:rsidRPr="00E113BF">
        <w:rPr>
          <w:rFonts w:asciiTheme="majorBidi" w:hAnsiTheme="majorBidi" w:cstheme="majorBidi"/>
          <w:b/>
          <w:bCs/>
          <w:sz w:val="32"/>
          <w:szCs w:val="32"/>
        </w:rPr>
        <w:t>SUPERVISOR’S NAME:     DR. ASHURA</w:t>
      </w:r>
    </w:p>
    <w:p w:rsidR="00E113BF" w:rsidRPr="00E113BF" w:rsidRDefault="00E113BF" w:rsidP="00E113BF">
      <w:pPr>
        <w:spacing w:line="276" w:lineRule="auto"/>
        <w:rPr>
          <w:rFonts w:asciiTheme="majorBidi" w:hAnsiTheme="majorBidi" w:cstheme="majorBidi"/>
          <w:b/>
          <w:bCs/>
          <w:sz w:val="32"/>
          <w:szCs w:val="32"/>
        </w:rPr>
      </w:pPr>
      <w:r w:rsidRPr="00E113BF">
        <w:rPr>
          <w:rFonts w:asciiTheme="majorBidi" w:hAnsiTheme="majorBidi" w:cstheme="majorBidi"/>
          <w:b/>
          <w:bCs/>
          <w:sz w:val="32"/>
          <w:szCs w:val="32"/>
        </w:rPr>
        <w:t>TYPE OF WORK:</w:t>
      </w:r>
      <w:r w:rsidRPr="00E113BF">
        <w:rPr>
          <w:rFonts w:asciiTheme="majorBidi" w:hAnsiTheme="majorBidi" w:cstheme="majorBidi"/>
          <w:b/>
          <w:bCs/>
          <w:sz w:val="32"/>
          <w:szCs w:val="32"/>
        </w:rPr>
        <w:tab/>
        <w:t xml:space="preserve">       GROUP ASSIGNMENT </w:t>
      </w:r>
    </w:p>
    <w:p w:rsidR="00E113BF" w:rsidRDefault="00E113BF" w:rsidP="00E113BF">
      <w:pPr>
        <w:spacing w:line="276" w:lineRule="auto"/>
        <w:rPr>
          <w:rFonts w:asciiTheme="majorBidi" w:hAnsiTheme="majorBidi" w:cstheme="majorBidi"/>
          <w:b/>
          <w:bCs/>
          <w:sz w:val="28"/>
          <w:szCs w:val="28"/>
        </w:rPr>
      </w:pPr>
    </w:p>
    <w:tbl>
      <w:tblPr>
        <w:tblStyle w:val="TableGrid"/>
        <w:tblW w:w="9028" w:type="dxa"/>
        <w:tblLook w:val="04A0" w:firstRow="1" w:lastRow="0" w:firstColumn="1" w:lastColumn="0" w:noHBand="0" w:noVBand="1"/>
      </w:tblPr>
      <w:tblGrid>
        <w:gridCol w:w="4514"/>
        <w:gridCol w:w="4514"/>
      </w:tblGrid>
      <w:tr w:rsidR="00E113BF" w:rsidTr="00E113BF">
        <w:trPr>
          <w:trHeight w:val="527"/>
        </w:trPr>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STUDENT NAME</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REGISTRATION</w:t>
            </w:r>
            <w:r>
              <w:rPr>
                <w:rFonts w:asciiTheme="majorBidi" w:hAnsiTheme="majorBidi" w:cstheme="majorBidi"/>
                <w:b/>
                <w:bCs/>
                <w:sz w:val="28"/>
                <w:szCs w:val="28"/>
              </w:rPr>
              <w:t xml:space="preserve"> NUMBER</w:t>
            </w:r>
          </w:p>
        </w:tc>
      </w:tr>
      <w:tr w:rsidR="00E113BF" w:rsidTr="00E113BF">
        <w:trPr>
          <w:trHeight w:val="717"/>
        </w:trPr>
        <w:tc>
          <w:tcPr>
            <w:tcW w:w="4514" w:type="dxa"/>
          </w:tcPr>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t>HARITH RASHID OMAR</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BITAM/11/23/05</w:t>
            </w:r>
            <w:r>
              <w:rPr>
                <w:rFonts w:asciiTheme="majorBidi" w:hAnsiTheme="majorBidi" w:cstheme="majorBidi"/>
                <w:b/>
                <w:bCs/>
                <w:sz w:val="28"/>
                <w:szCs w:val="28"/>
              </w:rPr>
              <w:t>6</w:t>
            </w:r>
            <w:r w:rsidRPr="00343A48">
              <w:rPr>
                <w:rFonts w:asciiTheme="majorBidi" w:hAnsiTheme="majorBidi" w:cstheme="majorBidi"/>
                <w:b/>
                <w:bCs/>
                <w:sz w:val="28"/>
                <w:szCs w:val="28"/>
              </w:rPr>
              <w:t>/TZ</w:t>
            </w:r>
          </w:p>
        </w:tc>
      </w:tr>
      <w:tr w:rsidR="00E113BF" w:rsidTr="00E113BF">
        <w:trPr>
          <w:trHeight w:val="625"/>
        </w:trPr>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HARITH HAJI MAKAME</w:t>
            </w:r>
          </w:p>
        </w:tc>
        <w:tc>
          <w:tcPr>
            <w:tcW w:w="4514" w:type="dxa"/>
          </w:tcPr>
          <w:p w:rsidR="00E113BF" w:rsidRDefault="00E113BF" w:rsidP="00E113BF">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BITAM/11/23/059/TZ</w:t>
            </w:r>
          </w:p>
        </w:tc>
      </w:tr>
      <w:tr w:rsidR="00E113BF" w:rsidTr="00E113BF">
        <w:trPr>
          <w:trHeight w:val="625"/>
        </w:trPr>
        <w:tc>
          <w:tcPr>
            <w:tcW w:w="4514" w:type="dxa"/>
          </w:tcPr>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t>SHALO</w:t>
            </w:r>
            <w:r w:rsidR="006B17AC">
              <w:rPr>
                <w:rFonts w:asciiTheme="majorBidi" w:hAnsiTheme="majorBidi" w:cstheme="majorBidi"/>
                <w:b/>
                <w:bCs/>
                <w:sz w:val="28"/>
                <w:szCs w:val="28"/>
              </w:rPr>
              <w:t>OM SAMWEL MUSSA</w:t>
            </w:r>
          </w:p>
        </w:tc>
        <w:tc>
          <w:tcPr>
            <w:tcW w:w="4514" w:type="dxa"/>
          </w:tcPr>
          <w:p w:rsidR="00E113BF" w:rsidRDefault="00E113BF" w:rsidP="006B17AC">
            <w:pPr>
              <w:spacing w:line="276" w:lineRule="auto"/>
              <w:rPr>
                <w:rFonts w:asciiTheme="majorBidi" w:hAnsiTheme="majorBidi" w:cstheme="majorBidi"/>
                <w:b/>
                <w:bCs/>
                <w:sz w:val="28"/>
                <w:szCs w:val="28"/>
              </w:rPr>
            </w:pPr>
            <w:r w:rsidRPr="00343A48">
              <w:rPr>
                <w:rFonts w:asciiTheme="majorBidi" w:hAnsiTheme="majorBidi" w:cstheme="majorBidi"/>
                <w:b/>
                <w:bCs/>
                <w:sz w:val="28"/>
                <w:szCs w:val="28"/>
              </w:rPr>
              <w:t>BITAM/11/23/</w:t>
            </w:r>
            <w:r w:rsidRPr="006B17AC">
              <w:rPr>
                <w:rFonts w:asciiTheme="majorBidi" w:hAnsiTheme="majorBidi" w:cstheme="majorBidi"/>
                <w:b/>
                <w:bCs/>
                <w:sz w:val="28"/>
                <w:szCs w:val="28"/>
              </w:rPr>
              <w:t>0</w:t>
            </w:r>
            <w:r w:rsidR="006B17AC" w:rsidRPr="006B17AC">
              <w:rPr>
                <w:rFonts w:asciiTheme="majorBidi" w:hAnsiTheme="majorBidi" w:cstheme="majorBidi"/>
                <w:b/>
                <w:bCs/>
                <w:sz w:val="28"/>
                <w:szCs w:val="28"/>
              </w:rPr>
              <w:t>21</w:t>
            </w:r>
            <w:r w:rsidRPr="006B17AC">
              <w:rPr>
                <w:rFonts w:asciiTheme="majorBidi" w:hAnsiTheme="majorBidi" w:cstheme="majorBidi"/>
                <w:b/>
                <w:bCs/>
                <w:sz w:val="28"/>
                <w:szCs w:val="28"/>
              </w:rPr>
              <w:t>/TZ</w:t>
            </w:r>
          </w:p>
        </w:tc>
      </w:tr>
    </w:tbl>
    <w:p w:rsidR="00E113BF" w:rsidRPr="00343A48" w:rsidRDefault="00E113BF" w:rsidP="00E113BF">
      <w:pPr>
        <w:spacing w:line="276" w:lineRule="auto"/>
        <w:rPr>
          <w:rFonts w:asciiTheme="majorBidi" w:hAnsiTheme="majorBidi" w:cstheme="majorBidi"/>
          <w:b/>
          <w:bCs/>
          <w:sz w:val="28"/>
          <w:szCs w:val="28"/>
        </w:rPr>
      </w:pPr>
    </w:p>
    <w:p w:rsidR="00E113BF" w:rsidRDefault="00E113BF" w:rsidP="00E113BF">
      <w:pPr>
        <w:spacing w:line="276" w:lineRule="auto"/>
        <w:rPr>
          <w:rFonts w:asciiTheme="majorBidi" w:hAnsiTheme="majorBidi" w:cstheme="majorBidi"/>
          <w:b/>
          <w:bCs/>
          <w:sz w:val="28"/>
          <w:szCs w:val="28"/>
        </w:rPr>
      </w:pPr>
      <w:r>
        <w:rPr>
          <w:rFonts w:asciiTheme="majorBidi" w:hAnsiTheme="majorBidi" w:cstheme="majorBidi"/>
          <w:b/>
          <w:bCs/>
          <w:sz w:val="28"/>
          <w:szCs w:val="28"/>
        </w:rPr>
        <w:br w:type="page"/>
      </w:r>
    </w:p>
    <w:p w:rsidR="00E113BF" w:rsidRPr="00E113BF" w:rsidRDefault="00E113BF" w:rsidP="00E113BF">
      <w:pPr>
        <w:spacing w:line="276" w:lineRule="auto"/>
        <w:jc w:val="both"/>
        <w:rPr>
          <w:rFonts w:asciiTheme="majorBidi" w:hAnsiTheme="majorBidi" w:cstheme="majorBidi"/>
          <w:sz w:val="28"/>
          <w:szCs w:val="28"/>
        </w:rPr>
      </w:pPr>
      <w:r w:rsidRPr="00E113BF">
        <w:rPr>
          <w:rFonts w:asciiTheme="majorBidi" w:hAnsiTheme="majorBidi" w:cstheme="majorBidi"/>
          <w:b/>
          <w:bCs/>
          <w:sz w:val="28"/>
          <w:szCs w:val="28"/>
        </w:rPr>
        <w:lastRenderedPageBreak/>
        <w:t>Introduction</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A data warehouse is a large-scale data storage system that collects, consolidates, and organizes data from various operational sources into a single, unified repository. Unlike regular databases that handle day-to-day transactions, a data warehouse is optimized for querying, reporting, and analysis. In HRIS, it stores integrated HR data from modules such as recruitment, payroll, attendance, training, and performance management. A data warehouse is a centralized, integrated repository specifically designed to store large volumes of structured data collected from multiple sources over time. In the context of HRIS, it serves as the backbone for storing historical HR data, enabling organizations to make informed, data-driven decisions about their workforce. Understanding data warehousing within HRIS is therefore a critical component of effective data management.</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 xml:space="preserve">Key characteristics of a </w:t>
      </w:r>
      <w:r w:rsidRPr="00E113BF">
        <w:rPr>
          <w:rFonts w:asciiTheme="majorBidi" w:hAnsiTheme="majorBidi" w:cstheme="majorBidi"/>
          <w:b/>
          <w:bCs/>
          <w:sz w:val="28"/>
          <w:szCs w:val="28"/>
        </w:rPr>
        <w:t>HR Data Warehouse</w:t>
      </w:r>
      <w:r w:rsidRPr="00E113BF">
        <w:rPr>
          <w:rFonts w:asciiTheme="majorBidi" w:eastAsia="Times New Roman" w:hAnsiTheme="majorBidi" w:cstheme="majorBidi"/>
          <w:b/>
          <w:bCs/>
          <w:sz w:val="28"/>
          <w:szCs w:val="28"/>
        </w:rPr>
        <w:t>:</w:t>
      </w: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t xml:space="preserve">Extract, Transform, Load (ETL) Process:  </w:t>
      </w:r>
    </w:p>
    <w:p w:rsidR="00E113BF" w:rsidRPr="00550A35" w:rsidRDefault="006B17AC" w:rsidP="00550A35">
      <w:pPr>
        <w:spacing w:line="276" w:lineRule="auto"/>
        <w:jc w:val="both"/>
        <w:rPr>
          <w:rFonts w:asciiTheme="majorBidi" w:hAnsiTheme="majorBidi" w:cstheme="majorBidi"/>
          <w:sz w:val="28"/>
          <w:szCs w:val="28"/>
          <w:lang w:val="en-US"/>
        </w:rPr>
      </w:pPr>
      <w:r w:rsidRPr="00550A35">
        <w:rPr>
          <w:rFonts w:asciiTheme="majorBidi" w:hAnsiTheme="majorBidi" w:cstheme="majorBidi"/>
          <w:sz w:val="28"/>
          <w:szCs w:val="28"/>
          <w:lang w:val="en-US"/>
        </w:rPr>
        <w:t>ETL is the process of extracting data from various sources</w:t>
      </w:r>
      <w:r w:rsidR="00550A35">
        <w:rPr>
          <w:rFonts w:asciiTheme="majorBidi" w:hAnsiTheme="majorBidi" w:cstheme="majorBidi"/>
          <w:sz w:val="28"/>
          <w:szCs w:val="28"/>
          <w:lang w:val="en-US"/>
        </w:rPr>
        <w:t xml:space="preserve">, </w:t>
      </w:r>
      <w:r w:rsidR="00550A35" w:rsidRPr="00E113BF">
        <w:rPr>
          <w:rFonts w:asciiTheme="majorBidi" w:hAnsiTheme="majorBidi" w:cstheme="majorBidi"/>
          <w:sz w:val="28"/>
          <w:szCs w:val="28"/>
        </w:rPr>
        <w:t>e.g</w:t>
      </w:r>
      <w:r w:rsidR="00550A35">
        <w:rPr>
          <w:rFonts w:asciiTheme="majorBidi" w:hAnsiTheme="majorBidi" w:cstheme="majorBidi"/>
          <w:sz w:val="28"/>
          <w:szCs w:val="28"/>
        </w:rPr>
        <w:t>,</w:t>
      </w:r>
      <w:r w:rsidR="00550A35" w:rsidRPr="00E113BF">
        <w:rPr>
          <w:rFonts w:asciiTheme="majorBidi" w:hAnsiTheme="majorBidi" w:cstheme="majorBidi"/>
          <w:sz w:val="28"/>
          <w:szCs w:val="28"/>
        </w:rPr>
        <w:t xml:space="preserve"> payro</w:t>
      </w:r>
      <w:r w:rsidR="00550A35">
        <w:rPr>
          <w:rFonts w:asciiTheme="majorBidi" w:hAnsiTheme="majorBidi" w:cstheme="majorBidi"/>
          <w:sz w:val="28"/>
          <w:szCs w:val="28"/>
        </w:rPr>
        <w:t>ll, recruitment, time-tracking</w:t>
      </w:r>
      <w:r w:rsidRPr="00550A35">
        <w:rPr>
          <w:rFonts w:asciiTheme="majorBidi" w:hAnsiTheme="majorBidi" w:cstheme="majorBidi"/>
          <w:sz w:val="28"/>
          <w:szCs w:val="28"/>
          <w:lang w:val="en-US"/>
        </w:rPr>
        <w:t>, transforming it into a consistent format</w:t>
      </w:r>
      <w:r w:rsidR="00550A35">
        <w:rPr>
          <w:rFonts w:asciiTheme="majorBidi" w:hAnsiTheme="majorBidi" w:cstheme="majorBidi"/>
          <w:sz w:val="28"/>
          <w:szCs w:val="28"/>
          <w:lang w:val="en-US"/>
        </w:rPr>
        <w:t xml:space="preserve"> </w:t>
      </w:r>
      <w:r w:rsidR="00550A35" w:rsidRPr="00E113BF">
        <w:rPr>
          <w:rFonts w:asciiTheme="majorBidi" w:hAnsiTheme="majorBidi" w:cstheme="majorBidi"/>
          <w:sz w:val="28"/>
          <w:szCs w:val="28"/>
        </w:rPr>
        <w:t>e.g., standardizing date formats or job titles</w:t>
      </w:r>
      <w:r w:rsidRPr="00550A35">
        <w:rPr>
          <w:rFonts w:asciiTheme="majorBidi" w:hAnsiTheme="majorBidi" w:cstheme="majorBidi"/>
          <w:sz w:val="28"/>
          <w:szCs w:val="28"/>
          <w:lang w:val="en-US"/>
        </w:rPr>
        <w:t xml:space="preserve">, and loading it into a data warehouse. Transformation includes cleaning, filtering, aggregating, and converting data to ensure consistency and quality. </w:t>
      </w:r>
      <w:r w:rsidR="00E113BF" w:rsidRPr="00E113BF">
        <w:rPr>
          <w:rFonts w:asciiTheme="majorBidi" w:hAnsiTheme="majorBidi" w:cstheme="majorBidi"/>
          <w:sz w:val="28"/>
          <w:szCs w:val="28"/>
        </w:rPr>
        <w:t>Before data enters the warehouse, it must be cleaned and standardized. This ensures that when the organization runs a report on "turnover rates across all departments over the last five years," the data is uniform and reliable.</w:t>
      </w: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t xml:space="preserve">Subject-Oriented Organization:  </w:t>
      </w:r>
    </w:p>
    <w:p w:rsidR="00E113BF" w:rsidRPr="00E113BF" w:rsidRDefault="00550A35" w:rsidP="003F37D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3F37D8" w:rsidRPr="003F37D8">
        <w:rPr>
          <w:rFonts w:asciiTheme="majorBidi" w:hAnsiTheme="majorBidi" w:cstheme="majorBidi"/>
          <w:sz w:val="28"/>
          <w:szCs w:val="28"/>
        </w:rPr>
        <w:t>Designed to store data that is organized around specific subjects or themes relevant to the business</w:t>
      </w:r>
      <w:r w:rsidR="003F37D8">
        <w:rPr>
          <w:rFonts w:asciiTheme="majorBidi" w:hAnsiTheme="majorBidi" w:cstheme="majorBidi"/>
          <w:sz w:val="28"/>
          <w:szCs w:val="28"/>
        </w:rPr>
        <w:t xml:space="preserve">, </w:t>
      </w:r>
      <w:r w:rsidR="00E113BF" w:rsidRPr="00E113BF">
        <w:rPr>
          <w:rFonts w:asciiTheme="majorBidi" w:hAnsiTheme="majorBidi" w:cstheme="majorBidi"/>
          <w:sz w:val="28"/>
          <w:szCs w:val="28"/>
        </w:rPr>
        <w:t xml:space="preserve">Unlike transactional databases that organize data by application (e.g., "Payroll App"), a Data Warehouse organizes data by subject (e.g., "Employee," "Position," "Compensation"). This structure allows HR analysts to easily </w:t>
      </w:r>
      <w:r w:rsidR="003F37D8">
        <w:rPr>
          <w:rFonts w:asciiTheme="majorBidi" w:hAnsiTheme="majorBidi" w:cstheme="majorBidi"/>
          <w:sz w:val="28"/>
          <w:szCs w:val="28"/>
        </w:rPr>
        <w:t>pull data from multiple domains-</w:t>
      </w:r>
      <w:r w:rsidR="00E113BF" w:rsidRPr="00E113BF">
        <w:rPr>
          <w:rFonts w:asciiTheme="majorBidi" w:hAnsiTheme="majorBidi" w:cstheme="majorBidi"/>
          <w:sz w:val="28"/>
          <w:szCs w:val="28"/>
        </w:rPr>
        <w:t>for instance, correlating a specific training program with</w:t>
      </w:r>
      <w:r w:rsidR="003F37D8">
        <w:rPr>
          <w:rFonts w:asciiTheme="majorBidi" w:hAnsiTheme="majorBidi" w:cstheme="majorBidi"/>
          <w:sz w:val="28"/>
          <w:szCs w:val="28"/>
        </w:rPr>
        <w:t xml:space="preserve"> subsequent performance ratings-</w:t>
      </w:r>
      <w:r w:rsidR="00E113BF" w:rsidRPr="00E113BF">
        <w:rPr>
          <w:rFonts w:asciiTheme="majorBidi" w:hAnsiTheme="majorBidi" w:cstheme="majorBidi"/>
          <w:sz w:val="28"/>
          <w:szCs w:val="28"/>
        </w:rPr>
        <w:t>without needing to navigate complex, disjointed operational tables.</w:t>
      </w:r>
    </w:p>
    <w:p w:rsidR="003F37D8" w:rsidRDefault="003F37D8" w:rsidP="00E113BF">
      <w:pPr>
        <w:spacing w:line="276" w:lineRule="auto"/>
        <w:jc w:val="both"/>
        <w:rPr>
          <w:rFonts w:asciiTheme="majorBidi" w:hAnsiTheme="majorBidi" w:cstheme="majorBidi"/>
          <w:b/>
          <w:bCs/>
          <w:i/>
          <w:iCs/>
          <w:sz w:val="28"/>
          <w:szCs w:val="28"/>
        </w:rPr>
      </w:pPr>
    </w:p>
    <w:p w:rsidR="003F37D8" w:rsidRDefault="003F37D8" w:rsidP="00E113BF">
      <w:pPr>
        <w:spacing w:line="276" w:lineRule="auto"/>
        <w:jc w:val="both"/>
        <w:rPr>
          <w:rFonts w:asciiTheme="majorBidi" w:hAnsiTheme="majorBidi" w:cstheme="majorBidi"/>
          <w:b/>
          <w:bCs/>
          <w:i/>
          <w:iCs/>
          <w:sz w:val="28"/>
          <w:szCs w:val="28"/>
        </w:rPr>
      </w:pPr>
    </w:p>
    <w:p w:rsidR="00E113BF" w:rsidRPr="00E113BF" w:rsidRDefault="00E113BF" w:rsidP="00E113BF">
      <w:pPr>
        <w:spacing w:line="276" w:lineRule="auto"/>
        <w:jc w:val="both"/>
        <w:rPr>
          <w:rFonts w:asciiTheme="majorBidi" w:hAnsiTheme="majorBidi" w:cstheme="majorBidi"/>
          <w:b/>
          <w:bCs/>
          <w:i/>
          <w:iCs/>
          <w:sz w:val="28"/>
          <w:szCs w:val="28"/>
        </w:rPr>
      </w:pPr>
      <w:r w:rsidRPr="00E113BF">
        <w:rPr>
          <w:rFonts w:asciiTheme="majorBidi" w:hAnsiTheme="majorBidi" w:cstheme="majorBidi"/>
          <w:b/>
          <w:bCs/>
          <w:i/>
          <w:iCs/>
          <w:sz w:val="28"/>
          <w:szCs w:val="28"/>
        </w:rPr>
        <w:lastRenderedPageBreak/>
        <w:t xml:space="preserve">Time-Variant Storage: </w:t>
      </w:r>
    </w:p>
    <w:p w:rsidR="00E113BF" w:rsidRPr="00E113BF" w:rsidRDefault="003F37D8" w:rsidP="003F37D8">
      <w:pPr>
        <w:spacing w:line="276" w:lineRule="auto"/>
        <w:jc w:val="both"/>
        <w:rPr>
          <w:rFonts w:asciiTheme="majorBidi" w:hAnsiTheme="majorBidi" w:cstheme="majorBidi"/>
          <w:sz w:val="28"/>
          <w:szCs w:val="28"/>
        </w:rPr>
      </w:pPr>
      <w:r>
        <w:rPr>
          <w:rFonts w:asciiTheme="majorBidi" w:hAnsiTheme="majorBidi" w:cstheme="majorBidi"/>
          <w:sz w:val="28"/>
          <w:szCs w:val="28"/>
        </w:rPr>
        <w:t xml:space="preserve"> </w:t>
      </w:r>
      <w:r w:rsidR="00E113BF" w:rsidRPr="00E113BF">
        <w:rPr>
          <w:rFonts w:asciiTheme="majorBidi" w:hAnsiTheme="majorBidi" w:cstheme="majorBidi"/>
          <w:sz w:val="28"/>
          <w:szCs w:val="28"/>
        </w:rPr>
        <w:t xml:space="preserve">This is a critical feature for HR. </w:t>
      </w:r>
      <w:r w:rsidRPr="003F37D8">
        <w:rPr>
          <w:rFonts w:asciiTheme="majorBidi" w:hAnsiTheme="majorBidi" w:cstheme="majorBidi"/>
          <w:sz w:val="28"/>
          <w:szCs w:val="28"/>
        </w:rPr>
        <w:t>Data warehouses maintain historical data over time, allowing analysts to perform trend analysis, track changes, and</w:t>
      </w:r>
      <w:r>
        <w:rPr>
          <w:rFonts w:asciiTheme="majorBidi" w:hAnsiTheme="majorBidi" w:cstheme="majorBidi"/>
          <w:sz w:val="28"/>
          <w:szCs w:val="28"/>
        </w:rPr>
        <w:t xml:space="preserve"> conduct historical comparisons,</w:t>
      </w:r>
      <w:r w:rsidRPr="003F37D8">
        <w:rPr>
          <w:rFonts w:asciiTheme="majorBidi" w:hAnsiTheme="majorBidi" w:cstheme="majorBidi"/>
          <w:sz w:val="28"/>
          <w:szCs w:val="28"/>
        </w:rPr>
        <w:t xml:space="preserve"> </w:t>
      </w:r>
      <w:r>
        <w:rPr>
          <w:rFonts w:asciiTheme="majorBidi" w:hAnsiTheme="majorBidi" w:cstheme="majorBidi"/>
          <w:sz w:val="28"/>
          <w:szCs w:val="28"/>
        </w:rPr>
        <w:t>allows HR to analys</w:t>
      </w:r>
      <w:r w:rsidR="00E113BF" w:rsidRPr="00E113BF">
        <w:rPr>
          <w:rFonts w:asciiTheme="majorBidi" w:hAnsiTheme="majorBidi" w:cstheme="majorBidi"/>
          <w:sz w:val="28"/>
          <w:szCs w:val="28"/>
        </w:rPr>
        <w:t>e trends, such as how average tenure has changed over the last decade or how salary bands have shifted year-over-year. It creates a "time-machine" capability for HR metrics.</w:t>
      </w:r>
    </w:p>
    <w:p w:rsidR="00E113BF" w:rsidRPr="00E113BF" w:rsidRDefault="00E113BF" w:rsidP="00E113BF">
      <w:pPr>
        <w:spacing w:line="276" w:lineRule="auto"/>
        <w:jc w:val="both"/>
        <w:rPr>
          <w:rFonts w:asciiTheme="majorBidi" w:hAnsiTheme="majorBidi" w:cstheme="majorBidi"/>
          <w:sz w:val="28"/>
          <w:szCs w:val="28"/>
        </w:rPr>
      </w:pPr>
      <w:r w:rsidRPr="00E113BF">
        <w:rPr>
          <w:rFonts w:asciiTheme="majorBidi" w:hAnsiTheme="majorBidi" w:cstheme="majorBidi"/>
          <w:b/>
          <w:bCs/>
          <w:i/>
          <w:iCs/>
          <w:sz w:val="28"/>
          <w:szCs w:val="28"/>
        </w:rPr>
        <w:t xml:space="preserve">Integration with Business Intelligence (BI) Tools:  </w:t>
      </w:r>
    </w:p>
    <w:p w:rsidR="00E113BF" w:rsidRPr="00E113BF" w:rsidRDefault="00E113BF" w:rsidP="00E113BF">
      <w:pPr>
        <w:spacing w:line="276" w:lineRule="auto"/>
        <w:jc w:val="both"/>
        <w:rPr>
          <w:rFonts w:asciiTheme="majorBidi" w:eastAsiaTheme="minorHAnsi" w:hAnsiTheme="majorBidi" w:cstheme="majorBidi"/>
          <w:sz w:val="28"/>
          <w:szCs w:val="28"/>
        </w:rPr>
      </w:pPr>
      <w:r w:rsidRPr="00E113BF">
        <w:rPr>
          <w:rFonts w:asciiTheme="majorBidi" w:hAnsiTheme="majorBidi" w:cstheme="majorBidi"/>
          <w:sz w:val="28"/>
          <w:szCs w:val="28"/>
        </w:rPr>
        <w:t>The stored data is not meant to be static. The warehouse interfaces with BI and visualization tools (such as Power BI or Tableau) to generate dashboards. This allows leadership to visualize "headcount by region," "cost per hire," or "absenteeism rates" in real-time, using the historical, integrated data housed within the warehouse.</w:t>
      </w:r>
    </w:p>
    <w:p w:rsidR="00E113BF" w:rsidRPr="00E113BF" w:rsidRDefault="00E113BF" w:rsidP="00E113BF">
      <w:pPr>
        <w:spacing w:before="100" w:beforeAutospacing="1" w:after="100" w:afterAutospacing="1" w:line="276" w:lineRule="auto"/>
        <w:jc w:val="both"/>
        <w:outlineLvl w:val="2"/>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Components of a Data Warehouse in HRIS</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A well-structured HRIS data warehouse consists of several key components:</w:t>
      </w:r>
    </w:p>
    <w:p w:rsidR="00E113BF" w:rsidRPr="00E113BF" w:rsidRDefault="00E113BF" w:rsidP="003F37D8">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Data Sources:</w:t>
      </w:r>
      <w:r w:rsidRPr="00E113BF">
        <w:rPr>
          <w:rFonts w:asciiTheme="majorBidi" w:eastAsia="Times New Roman" w:hAnsiTheme="majorBidi" w:cstheme="majorBidi"/>
          <w:sz w:val="28"/>
          <w:szCs w:val="28"/>
        </w:rPr>
        <w:t xml:space="preserve"> These are the origin points of HR data </w:t>
      </w:r>
      <w:r w:rsidR="003F37D8">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including recruitment systems, payroll software, attendance tracking tools, performance management platforms, and employee self-service portals. All these feed data into the warehouse.</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ETL Process (Extract, Transform, Load):</w:t>
      </w:r>
      <w:r w:rsidRPr="00E113BF">
        <w:rPr>
          <w:rFonts w:asciiTheme="majorBidi" w:eastAsia="Times New Roman" w:hAnsiTheme="majorBidi" w:cstheme="majorBidi"/>
          <w:sz w:val="28"/>
          <w:szCs w:val="28"/>
        </w:rPr>
        <w:t xml:space="preserve"> This is the pipeline through which raw data moves into the warehouse. Data is first </w:t>
      </w:r>
      <w:r w:rsidRPr="00E113BF">
        <w:rPr>
          <w:rFonts w:asciiTheme="majorBidi" w:eastAsia="Times New Roman" w:hAnsiTheme="majorBidi" w:cstheme="majorBidi"/>
          <w:i/>
          <w:iCs/>
          <w:sz w:val="28"/>
          <w:szCs w:val="28"/>
        </w:rPr>
        <w:t>extracted</w:t>
      </w:r>
      <w:r w:rsidRPr="00E113BF">
        <w:rPr>
          <w:rFonts w:asciiTheme="majorBidi" w:eastAsia="Times New Roman" w:hAnsiTheme="majorBidi" w:cstheme="majorBidi"/>
          <w:sz w:val="28"/>
          <w:szCs w:val="28"/>
        </w:rPr>
        <w:t xml:space="preserve"> from source systems, then </w:t>
      </w:r>
      <w:r w:rsidRPr="00E113BF">
        <w:rPr>
          <w:rFonts w:asciiTheme="majorBidi" w:eastAsia="Times New Roman" w:hAnsiTheme="majorBidi" w:cstheme="majorBidi"/>
          <w:i/>
          <w:iCs/>
          <w:sz w:val="28"/>
          <w:szCs w:val="28"/>
        </w:rPr>
        <w:t>transformed</w:t>
      </w:r>
      <w:r w:rsidRPr="00E113BF">
        <w:rPr>
          <w:rFonts w:asciiTheme="majorBidi" w:eastAsia="Times New Roman" w:hAnsiTheme="majorBidi" w:cstheme="majorBidi"/>
          <w:sz w:val="28"/>
          <w:szCs w:val="28"/>
        </w:rPr>
        <w:t xml:space="preserve"> (cleaned, standardized, and formatted), and finally </w:t>
      </w:r>
      <w:r w:rsidRPr="00E113BF">
        <w:rPr>
          <w:rFonts w:asciiTheme="majorBidi" w:eastAsia="Times New Roman" w:hAnsiTheme="majorBidi" w:cstheme="majorBidi"/>
          <w:i/>
          <w:iCs/>
          <w:sz w:val="28"/>
          <w:szCs w:val="28"/>
        </w:rPr>
        <w:t>loaded</w:t>
      </w:r>
      <w:r w:rsidRPr="00E113BF">
        <w:rPr>
          <w:rFonts w:asciiTheme="majorBidi" w:eastAsia="Times New Roman" w:hAnsiTheme="majorBidi" w:cstheme="majorBidi"/>
          <w:sz w:val="28"/>
          <w:szCs w:val="28"/>
        </w:rPr>
        <w:t xml:space="preserve"> into the warehouse. This ensures that only accurate and consistent data enters the system.</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Central Repository (The Warehouse Core):</w:t>
      </w:r>
      <w:r w:rsidRPr="00E113BF">
        <w:rPr>
          <w:rFonts w:asciiTheme="majorBidi" w:eastAsia="Times New Roman" w:hAnsiTheme="majorBidi" w:cstheme="majorBidi"/>
          <w:sz w:val="28"/>
          <w:szCs w:val="28"/>
        </w:rPr>
        <w:t xml:space="preserve"> This is the main storage layer where processed and integrated HR data is held. It is designed for fast retrieval and large-scale querying without affecting the performance of live operational systems.</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t>Data Marts:</w:t>
      </w:r>
      <w:r w:rsidRPr="00E113BF">
        <w:rPr>
          <w:rFonts w:asciiTheme="majorBidi" w:eastAsia="Times New Roman" w:hAnsiTheme="majorBidi" w:cstheme="majorBidi"/>
          <w:sz w:val="28"/>
          <w:szCs w:val="28"/>
        </w:rPr>
        <w:t xml:space="preserve"> These are smaller, department-specific subsets of the data warehouse. For example, the HR department may have a data mart focused solely on employee turnover, while the Finance department accesses one focused on payroll costs. Data marts make access faster and more targeted.</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3F37D8">
        <w:rPr>
          <w:rFonts w:asciiTheme="majorBidi" w:eastAsia="Times New Roman" w:hAnsiTheme="majorBidi" w:cstheme="majorBidi"/>
          <w:b/>
          <w:bCs/>
          <w:i/>
          <w:iCs/>
          <w:sz w:val="28"/>
          <w:szCs w:val="28"/>
        </w:rPr>
        <w:lastRenderedPageBreak/>
        <w:t>Metadata:</w:t>
      </w:r>
      <w:r w:rsidRPr="00E113BF">
        <w:rPr>
          <w:rFonts w:asciiTheme="majorBidi" w:eastAsia="Times New Roman" w:hAnsiTheme="majorBidi" w:cstheme="majorBidi"/>
          <w:sz w:val="28"/>
          <w:szCs w:val="28"/>
        </w:rPr>
        <w:t xml:space="preserve"> Metadata describes the structure, origin, and meaning of data stored in the warehouse. It acts as a directory that helps users understand what data is available and how it can be used.</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b/>
          <w:bCs/>
          <w:sz w:val="28"/>
          <w:szCs w:val="28"/>
        </w:rPr>
        <w:t>Types of Data Stored in an HRIS Data Warehouse</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Employee master data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names, IDs, job titles, departments, and contact details</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Payroll and compensation history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salary records, bonuses, deductions over time</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Attendance and leave records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historical logs of working hours, absences, and leave patterns</w:t>
      </w:r>
      <w:r w:rsidR="006B17AC">
        <w:rPr>
          <w:rFonts w:asciiTheme="majorBidi" w:eastAsia="Times New Roman" w:hAnsiTheme="majorBidi" w:cstheme="majorBidi"/>
          <w:sz w:val="28"/>
          <w:szCs w:val="28"/>
        </w:rPr>
        <w:t>.</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Training and development records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courses attended, certifications earned, skill progression</w:t>
      </w:r>
    </w:p>
    <w:p w:rsidR="00E113BF" w:rsidRPr="00E113BF" w:rsidRDefault="00E113BF" w:rsidP="006B17AC">
      <w:pPr>
        <w:numPr>
          <w:ilvl w:val="0"/>
          <w:numId w:val="7"/>
        </w:num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 xml:space="preserve">Performance appraisal data </w:t>
      </w:r>
      <w:r w:rsidR="006B17AC">
        <w:rPr>
          <w:rFonts w:asciiTheme="majorBidi" w:eastAsia="Times New Roman" w:hAnsiTheme="majorBidi" w:cstheme="majorBidi"/>
          <w:sz w:val="28"/>
          <w:szCs w:val="28"/>
        </w:rPr>
        <w:t>-</w:t>
      </w:r>
      <w:r w:rsidRPr="00E113BF">
        <w:rPr>
          <w:rFonts w:asciiTheme="majorBidi" w:eastAsia="Times New Roman" w:hAnsiTheme="majorBidi" w:cstheme="majorBidi"/>
          <w:sz w:val="28"/>
          <w:szCs w:val="28"/>
        </w:rPr>
        <w:t xml:space="preserve"> ratings, goals, and evaluation trends over multiple period</w:t>
      </w:r>
    </w:p>
    <w:p w:rsidR="00E113BF" w:rsidRPr="00E113BF" w:rsidRDefault="00E113BF" w:rsidP="00E113BF">
      <w:pPr>
        <w:spacing w:before="100" w:beforeAutospacing="1" w:after="100" w:afterAutospacing="1" w:line="276" w:lineRule="auto"/>
        <w:jc w:val="both"/>
        <w:outlineLvl w:val="1"/>
        <w:rPr>
          <w:rFonts w:asciiTheme="majorBidi" w:eastAsia="Times New Roman" w:hAnsiTheme="majorBidi" w:cstheme="majorBidi"/>
          <w:b/>
          <w:bCs/>
          <w:sz w:val="28"/>
          <w:szCs w:val="28"/>
        </w:rPr>
      </w:pPr>
      <w:r w:rsidRPr="00E113BF">
        <w:rPr>
          <w:rFonts w:asciiTheme="majorBidi" w:eastAsia="Times New Roman" w:hAnsiTheme="majorBidi" w:cstheme="majorBidi"/>
          <w:b/>
          <w:bCs/>
          <w:sz w:val="28"/>
          <w:szCs w:val="28"/>
        </w:rPr>
        <w:t>Conclusion</w:t>
      </w:r>
    </w:p>
    <w:p w:rsidR="00E113BF" w:rsidRPr="00E113BF" w:rsidRDefault="00E113BF" w:rsidP="00E113BF">
      <w:pPr>
        <w:spacing w:before="100" w:beforeAutospacing="1" w:after="100" w:afterAutospacing="1" w:line="276" w:lineRule="auto"/>
        <w:jc w:val="both"/>
        <w:rPr>
          <w:rFonts w:asciiTheme="majorBidi" w:eastAsia="Times New Roman" w:hAnsiTheme="majorBidi" w:cstheme="majorBidi"/>
          <w:sz w:val="28"/>
          <w:szCs w:val="28"/>
        </w:rPr>
      </w:pPr>
      <w:r w:rsidRPr="00E113BF">
        <w:rPr>
          <w:rFonts w:asciiTheme="majorBidi" w:eastAsia="Times New Roman" w:hAnsiTheme="majorBidi" w:cstheme="majorBidi"/>
          <w:sz w:val="28"/>
          <w:szCs w:val="28"/>
        </w:rPr>
        <w:t>In summary, a data warehouse is a powerful and indispensable tool in the data management architecture of any modern HRIS. By integrating data from multiple HR sources into a centralized, organized, and historically rich repository, it transforms raw HR data into a strategic asset. It empowers HR professionals and organizational leaders to move beyond simple record-keeping and engage in deep analysis, trend forecasting, and evidence-based workforce planning.</w:t>
      </w:r>
    </w:p>
    <w:p w:rsidR="00E113BF" w:rsidRDefault="00E113BF" w:rsidP="00E113BF">
      <w:pPr>
        <w:spacing w:line="276" w:lineRule="auto"/>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rsidR="00FE5037" w:rsidRPr="00FE5037" w:rsidRDefault="00FE5037" w:rsidP="00FE5037">
      <w:pPr>
        <w:pStyle w:val="NormalWeb"/>
        <w:rPr>
          <w:lang w:val="en-US"/>
        </w:rPr>
      </w:pPr>
      <w:r>
        <w:rPr>
          <w:rFonts w:asciiTheme="minorHAnsi" w:hAnsiTheme="minorHAnsi" w:cstheme="minorHAnsi"/>
          <w:b/>
          <w:bCs/>
        </w:rPr>
        <w:lastRenderedPageBreak/>
        <w:t xml:space="preserve">                                                      </w:t>
      </w:r>
      <w:r>
        <w:rPr>
          <w:b/>
          <w:bCs/>
          <w:lang w:val="en-US"/>
        </w:rPr>
        <w:t>REFERRENCES</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Armstrong, M., &amp; Taylor, S. (2023). </w:t>
      </w:r>
      <w:r w:rsidRPr="00FE5037">
        <w:rPr>
          <w:rFonts w:ascii="Times New Roman" w:eastAsia="Times New Roman" w:hAnsi="Times New Roman" w:cs="Times New Roman"/>
          <w:i/>
          <w:iCs/>
          <w:sz w:val="24"/>
          <w:szCs w:val="24"/>
          <w:lang w:val="en-US"/>
        </w:rPr>
        <w:t>Armstrong's handbook of human resource management practice</w:t>
      </w:r>
      <w:r w:rsidRPr="00FE5037">
        <w:rPr>
          <w:rFonts w:ascii="Times New Roman" w:eastAsia="Times New Roman" w:hAnsi="Times New Roman" w:cs="Times New Roman"/>
          <w:sz w:val="24"/>
          <w:szCs w:val="24"/>
          <w:lang w:val="en-US"/>
        </w:rPr>
        <w:t xml:space="preserve"> (16th ed.). Kogan Page.</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Dessler, G. (2020). </w:t>
      </w:r>
      <w:r w:rsidRPr="00FE5037">
        <w:rPr>
          <w:rFonts w:ascii="Times New Roman" w:eastAsia="Times New Roman" w:hAnsi="Times New Roman" w:cs="Times New Roman"/>
          <w:i/>
          <w:iCs/>
          <w:sz w:val="24"/>
          <w:szCs w:val="24"/>
          <w:lang w:val="en-US"/>
        </w:rPr>
        <w:t>Human resource management</w:t>
      </w:r>
      <w:r w:rsidRPr="00FE5037">
        <w:rPr>
          <w:rFonts w:ascii="Times New Roman" w:eastAsia="Times New Roman" w:hAnsi="Times New Roman" w:cs="Times New Roman"/>
          <w:sz w:val="24"/>
          <w:szCs w:val="24"/>
          <w:lang w:val="en-US"/>
        </w:rPr>
        <w:t xml:space="preserve"> (16th ed.). Pearson.</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Inmon, W. H. (2005). </w:t>
      </w:r>
      <w:r w:rsidRPr="00FE5037">
        <w:rPr>
          <w:rFonts w:ascii="Times New Roman" w:eastAsia="Times New Roman" w:hAnsi="Times New Roman" w:cs="Times New Roman"/>
          <w:i/>
          <w:iCs/>
          <w:sz w:val="24"/>
          <w:szCs w:val="24"/>
          <w:lang w:val="en-US"/>
        </w:rPr>
        <w:t>Building the data warehouse</w:t>
      </w:r>
      <w:r w:rsidRPr="00FE5037">
        <w:rPr>
          <w:rFonts w:ascii="Times New Roman" w:eastAsia="Times New Roman" w:hAnsi="Times New Roman" w:cs="Times New Roman"/>
          <w:sz w:val="24"/>
          <w:szCs w:val="24"/>
          <w:lang w:val="en-US"/>
        </w:rPr>
        <w:t xml:space="preserve"> (4th ed.). Wiley.</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Kavanagh, M. J., Johnson, R. D., &amp; Thite, M. (2015). </w:t>
      </w:r>
      <w:r w:rsidRPr="00FE5037">
        <w:rPr>
          <w:rFonts w:ascii="Times New Roman" w:eastAsia="Times New Roman" w:hAnsi="Times New Roman" w:cs="Times New Roman"/>
          <w:i/>
          <w:iCs/>
          <w:sz w:val="24"/>
          <w:szCs w:val="24"/>
          <w:lang w:val="en-US"/>
        </w:rPr>
        <w:t>Human resource information systems: Basics, applications, and future directions</w:t>
      </w:r>
      <w:r w:rsidRPr="00FE5037">
        <w:rPr>
          <w:rFonts w:ascii="Times New Roman" w:eastAsia="Times New Roman" w:hAnsi="Times New Roman" w:cs="Times New Roman"/>
          <w:sz w:val="24"/>
          <w:szCs w:val="24"/>
          <w:lang w:val="en-US"/>
        </w:rPr>
        <w:t xml:space="preserve"> (3rd ed.). SAGE Publications.</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Kimball, R., &amp; Ross, M. (2013). </w:t>
      </w:r>
      <w:r w:rsidRPr="00FE5037">
        <w:rPr>
          <w:rFonts w:ascii="Times New Roman" w:eastAsia="Times New Roman" w:hAnsi="Times New Roman" w:cs="Times New Roman"/>
          <w:i/>
          <w:iCs/>
          <w:sz w:val="24"/>
          <w:szCs w:val="24"/>
          <w:lang w:val="en-US"/>
        </w:rPr>
        <w:t>The data warehouse toolkit: The definitive guide to dimensional modeling</w:t>
      </w:r>
      <w:r w:rsidRPr="00FE5037">
        <w:rPr>
          <w:rFonts w:ascii="Times New Roman" w:eastAsia="Times New Roman" w:hAnsi="Times New Roman" w:cs="Times New Roman"/>
          <w:sz w:val="24"/>
          <w:szCs w:val="24"/>
          <w:lang w:val="en-US"/>
        </w:rPr>
        <w:t xml:space="preserve"> (3rd ed.). Wiley.</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Laudon, K. C., &amp; Laudon, J. P. (2022). </w:t>
      </w:r>
      <w:r w:rsidRPr="00FE5037">
        <w:rPr>
          <w:rFonts w:ascii="Times New Roman" w:eastAsia="Times New Roman" w:hAnsi="Times New Roman" w:cs="Times New Roman"/>
          <w:i/>
          <w:iCs/>
          <w:sz w:val="24"/>
          <w:szCs w:val="24"/>
          <w:lang w:val="en-US"/>
        </w:rPr>
        <w:t>Management information systems: Managing the digital firm</w:t>
      </w:r>
      <w:r w:rsidRPr="00FE5037">
        <w:rPr>
          <w:rFonts w:ascii="Times New Roman" w:eastAsia="Times New Roman" w:hAnsi="Times New Roman" w:cs="Times New Roman"/>
          <w:sz w:val="24"/>
          <w:szCs w:val="24"/>
          <w:lang w:val="en-US"/>
        </w:rPr>
        <w:t xml:space="preserve"> (17th ed.). Pearson.</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O'Brien, J. A., &amp; Marakas, G. M. (2011). </w:t>
      </w:r>
      <w:r w:rsidRPr="00FE5037">
        <w:rPr>
          <w:rFonts w:ascii="Times New Roman" w:eastAsia="Times New Roman" w:hAnsi="Times New Roman" w:cs="Times New Roman"/>
          <w:i/>
          <w:iCs/>
          <w:sz w:val="24"/>
          <w:szCs w:val="24"/>
          <w:lang w:val="en-US"/>
        </w:rPr>
        <w:t>Management information systems</w:t>
      </w:r>
      <w:r w:rsidRPr="00FE5037">
        <w:rPr>
          <w:rFonts w:ascii="Times New Roman" w:eastAsia="Times New Roman" w:hAnsi="Times New Roman" w:cs="Times New Roman"/>
          <w:sz w:val="24"/>
          <w:szCs w:val="24"/>
          <w:lang w:val="en-US"/>
        </w:rPr>
        <w:t xml:space="preserve"> (10th ed.). McGraw-Hill Education.</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Rainer, R. K., Prince, B., &amp; Watson, H. J. (2021). </w:t>
      </w:r>
      <w:r w:rsidRPr="00FE5037">
        <w:rPr>
          <w:rFonts w:ascii="Times New Roman" w:eastAsia="Times New Roman" w:hAnsi="Times New Roman" w:cs="Times New Roman"/>
          <w:i/>
          <w:iCs/>
          <w:sz w:val="24"/>
          <w:szCs w:val="24"/>
          <w:lang w:val="en-US"/>
        </w:rPr>
        <w:t>Management information systems</w:t>
      </w:r>
      <w:r w:rsidRPr="00FE5037">
        <w:rPr>
          <w:rFonts w:ascii="Times New Roman" w:eastAsia="Times New Roman" w:hAnsi="Times New Roman" w:cs="Times New Roman"/>
          <w:sz w:val="24"/>
          <w:szCs w:val="24"/>
          <w:lang w:val="en-US"/>
        </w:rPr>
        <w:t xml:space="preserve"> (6th ed.). Wiley.</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Stair, R., &amp; Reynolds, G. (2020). </w:t>
      </w:r>
      <w:r w:rsidRPr="00FE5037">
        <w:rPr>
          <w:rFonts w:ascii="Times New Roman" w:eastAsia="Times New Roman" w:hAnsi="Times New Roman" w:cs="Times New Roman"/>
          <w:i/>
          <w:iCs/>
          <w:sz w:val="24"/>
          <w:szCs w:val="24"/>
          <w:lang w:val="en-US"/>
        </w:rPr>
        <w:t>Principles of information systems</w:t>
      </w:r>
      <w:r w:rsidRPr="00FE5037">
        <w:rPr>
          <w:rFonts w:ascii="Times New Roman" w:eastAsia="Times New Roman" w:hAnsi="Times New Roman" w:cs="Times New Roman"/>
          <w:sz w:val="24"/>
          <w:szCs w:val="24"/>
          <w:lang w:val="en-US"/>
        </w:rPr>
        <w:t xml:space="preserve"> (14th ed.). Cengage Learning.</w:t>
      </w:r>
    </w:p>
    <w:p w:rsidR="00FE5037" w:rsidRPr="00FE5037" w:rsidRDefault="00FE5037" w:rsidP="00FE5037">
      <w:pPr>
        <w:spacing w:before="100" w:beforeAutospacing="1" w:after="100" w:afterAutospacing="1" w:line="240" w:lineRule="auto"/>
        <w:rPr>
          <w:rFonts w:ascii="Times New Roman" w:eastAsia="Times New Roman" w:hAnsi="Times New Roman" w:cs="Times New Roman"/>
          <w:sz w:val="24"/>
          <w:szCs w:val="24"/>
          <w:lang w:val="en-US"/>
        </w:rPr>
      </w:pPr>
      <w:r w:rsidRPr="00FE5037">
        <w:rPr>
          <w:rFonts w:ascii="Times New Roman" w:eastAsia="Times New Roman" w:hAnsi="Times New Roman" w:cs="Times New Roman"/>
          <w:sz w:val="24"/>
          <w:szCs w:val="24"/>
          <w:lang w:val="en-US"/>
        </w:rPr>
        <w:t xml:space="preserve">Turban, E., Pollard, C., &amp; Wood, G. (2018). </w:t>
      </w:r>
      <w:r w:rsidRPr="00FE5037">
        <w:rPr>
          <w:rFonts w:ascii="Times New Roman" w:eastAsia="Times New Roman" w:hAnsi="Times New Roman" w:cs="Times New Roman"/>
          <w:i/>
          <w:iCs/>
          <w:sz w:val="24"/>
          <w:szCs w:val="24"/>
          <w:lang w:val="en-US"/>
        </w:rPr>
        <w:t>Information technology for management: On-demand strategies for performance, growth and sustainability</w:t>
      </w:r>
      <w:r w:rsidRPr="00FE5037">
        <w:rPr>
          <w:rFonts w:ascii="Times New Roman" w:eastAsia="Times New Roman" w:hAnsi="Times New Roman" w:cs="Times New Roman"/>
          <w:sz w:val="24"/>
          <w:szCs w:val="24"/>
          <w:lang w:val="en-US"/>
        </w:rPr>
        <w:t xml:space="preserve"> (11th ed.). Wiley.</w:t>
      </w:r>
    </w:p>
    <w:p w:rsidR="00E113BF" w:rsidRPr="009E5B47" w:rsidRDefault="00E113BF" w:rsidP="00E113BF">
      <w:pPr>
        <w:spacing w:before="100" w:beforeAutospacing="1" w:after="100" w:afterAutospacing="1" w:line="276" w:lineRule="auto"/>
        <w:jc w:val="center"/>
        <w:rPr>
          <w:rFonts w:asciiTheme="minorHAnsi" w:eastAsia="Times New Roman" w:hAnsiTheme="minorHAnsi" w:cstheme="minorHAnsi"/>
          <w:b/>
          <w:bCs/>
          <w:sz w:val="24"/>
          <w:szCs w:val="24"/>
        </w:rPr>
      </w:pPr>
    </w:p>
    <w:p w:rsidR="002A750C" w:rsidRPr="00E113BF" w:rsidRDefault="002A750C" w:rsidP="00E113BF">
      <w:pPr>
        <w:spacing w:line="276" w:lineRule="auto"/>
      </w:pPr>
    </w:p>
    <w:sectPr w:rsidR="002A750C" w:rsidRPr="00E113BF" w:rsidSect="006B17AC">
      <w:headerReference w:type="default" r:id="rId8"/>
      <w:footerReference w:type="default" r:id="rId9"/>
      <w:pgSz w:w="11906" w:h="16838"/>
      <w:pgMar w:top="1440" w:right="1440" w:bottom="1440" w:left="1440"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5D73" w:rsidRDefault="001F5D73">
      <w:pPr>
        <w:spacing w:after="0" w:line="240" w:lineRule="auto"/>
      </w:pPr>
      <w:r>
        <w:separator/>
      </w:r>
    </w:p>
  </w:endnote>
  <w:endnote w:type="continuationSeparator" w:id="0">
    <w:p w:rsidR="001F5D73" w:rsidRDefault="001F5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556" w:rsidRDefault="006B17AC">
    <w:pPr>
      <w:pStyle w:val="Footer"/>
      <w:jc w:val="center"/>
    </w:pPr>
    <w:r>
      <w:fldChar w:fldCharType="begin"/>
    </w:r>
    <w:r>
      <w:instrText xml:space="preserve"> PAGE   \* MERGEFORMAT </w:instrText>
    </w:r>
    <w:r>
      <w:fldChar w:fldCharType="separate"/>
    </w:r>
    <w:r w:rsidR="00FE5037">
      <w:rPr>
        <w:noProof/>
      </w:rPr>
      <w:t>4</w:t>
    </w:r>
    <w:r>
      <w:rPr>
        <w:noProof/>
      </w:rPr>
      <w:fldChar w:fldCharType="end"/>
    </w:r>
  </w:p>
  <w:p w:rsidR="00772556" w:rsidRDefault="001F5D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5D73" w:rsidRDefault="001F5D73">
      <w:pPr>
        <w:spacing w:after="0" w:line="240" w:lineRule="auto"/>
      </w:pPr>
      <w:r>
        <w:separator/>
      </w:r>
    </w:p>
  </w:footnote>
  <w:footnote w:type="continuationSeparator" w:id="0">
    <w:p w:rsidR="001F5D73" w:rsidRDefault="001F5D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2556" w:rsidRDefault="001F5D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53BEF"/>
    <w:multiLevelType w:val="multilevel"/>
    <w:tmpl w:val="EED28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346C23"/>
    <w:multiLevelType w:val="hybridMultilevel"/>
    <w:tmpl w:val="2550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CC42CA"/>
    <w:multiLevelType w:val="multilevel"/>
    <w:tmpl w:val="294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286920"/>
    <w:multiLevelType w:val="hybridMultilevel"/>
    <w:tmpl w:val="8048B6D4"/>
    <w:lvl w:ilvl="0" w:tplc="72A6E1F2">
      <w:start w:val="1"/>
      <w:numFmt w:val="bullet"/>
      <w:lvlText w:val=""/>
      <w:lvlJc w:val="left"/>
      <w:pPr>
        <w:tabs>
          <w:tab w:val="num" w:pos="720"/>
        </w:tabs>
        <w:ind w:left="720" w:hanging="360"/>
      </w:pPr>
      <w:rPr>
        <w:rFonts w:ascii="Wingdings" w:hAnsi="Wingdings" w:hint="default"/>
      </w:rPr>
    </w:lvl>
    <w:lvl w:ilvl="1" w:tplc="7B1659C0" w:tentative="1">
      <w:start w:val="1"/>
      <w:numFmt w:val="bullet"/>
      <w:lvlText w:val=""/>
      <w:lvlJc w:val="left"/>
      <w:pPr>
        <w:tabs>
          <w:tab w:val="num" w:pos="1440"/>
        </w:tabs>
        <w:ind w:left="1440" w:hanging="360"/>
      </w:pPr>
      <w:rPr>
        <w:rFonts w:ascii="Wingdings" w:hAnsi="Wingdings" w:hint="default"/>
      </w:rPr>
    </w:lvl>
    <w:lvl w:ilvl="2" w:tplc="AEF21CAE" w:tentative="1">
      <w:start w:val="1"/>
      <w:numFmt w:val="bullet"/>
      <w:lvlText w:val=""/>
      <w:lvlJc w:val="left"/>
      <w:pPr>
        <w:tabs>
          <w:tab w:val="num" w:pos="2160"/>
        </w:tabs>
        <w:ind w:left="2160" w:hanging="360"/>
      </w:pPr>
      <w:rPr>
        <w:rFonts w:ascii="Wingdings" w:hAnsi="Wingdings" w:hint="default"/>
      </w:rPr>
    </w:lvl>
    <w:lvl w:ilvl="3" w:tplc="BACCA19E" w:tentative="1">
      <w:start w:val="1"/>
      <w:numFmt w:val="bullet"/>
      <w:lvlText w:val=""/>
      <w:lvlJc w:val="left"/>
      <w:pPr>
        <w:tabs>
          <w:tab w:val="num" w:pos="2880"/>
        </w:tabs>
        <w:ind w:left="2880" w:hanging="360"/>
      </w:pPr>
      <w:rPr>
        <w:rFonts w:ascii="Wingdings" w:hAnsi="Wingdings" w:hint="default"/>
      </w:rPr>
    </w:lvl>
    <w:lvl w:ilvl="4" w:tplc="CA4C52D6" w:tentative="1">
      <w:start w:val="1"/>
      <w:numFmt w:val="bullet"/>
      <w:lvlText w:val=""/>
      <w:lvlJc w:val="left"/>
      <w:pPr>
        <w:tabs>
          <w:tab w:val="num" w:pos="3600"/>
        </w:tabs>
        <w:ind w:left="3600" w:hanging="360"/>
      </w:pPr>
      <w:rPr>
        <w:rFonts w:ascii="Wingdings" w:hAnsi="Wingdings" w:hint="default"/>
      </w:rPr>
    </w:lvl>
    <w:lvl w:ilvl="5" w:tplc="2CA40F58" w:tentative="1">
      <w:start w:val="1"/>
      <w:numFmt w:val="bullet"/>
      <w:lvlText w:val=""/>
      <w:lvlJc w:val="left"/>
      <w:pPr>
        <w:tabs>
          <w:tab w:val="num" w:pos="4320"/>
        </w:tabs>
        <w:ind w:left="4320" w:hanging="360"/>
      </w:pPr>
      <w:rPr>
        <w:rFonts w:ascii="Wingdings" w:hAnsi="Wingdings" w:hint="default"/>
      </w:rPr>
    </w:lvl>
    <w:lvl w:ilvl="6" w:tplc="0C3A472E" w:tentative="1">
      <w:start w:val="1"/>
      <w:numFmt w:val="bullet"/>
      <w:lvlText w:val=""/>
      <w:lvlJc w:val="left"/>
      <w:pPr>
        <w:tabs>
          <w:tab w:val="num" w:pos="5040"/>
        </w:tabs>
        <w:ind w:left="5040" w:hanging="360"/>
      </w:pPr>
      <w:rPr>
        <w:rFonts w:ascii="Wingdings" w:hAnsi="Wingdings" w:hint="default"/>
      </w:rPr>
    </w:lvl>
    <w:lvl w:ilvl="7" w:tplc="FF26F306" w:tentative="1">
      <w:start w:val="1"/>
      <w:numFmt w:val="bullet"/>
      <w:lvlText w:val=""/>
      <w:lvlJc w:val="left"/>
      <w:pPr>
        <w:tabs>
          <w:tab w:val="num" w:pos="5760"/>
        </w:tabs>
        <w:ind w:left="5760" w:hanging="360"/>
      </w:pPr>
      <w:rPr>
        <w:rFonts w:ascii="Wingdings" w:hAnsi="Wingdings" w:hint="default"/>
      </w:rPr>
    </w:lvl>
    <w:lvl w:ilvl="8" w:tplc="C29EDA74" w:tentative="1">
      <w:start w:val="1"/>
      <w:numFmt w:val="bullet"/>
      <w:lvlText w:val=""/>
      <w:lvlJc w:val="left"/>
      <w:pPr>
        <w:tabs>
          <w:tab w:val="num" w:pos="6480"/>
        </w:tabs>
        <w:ind w:left="6480" w:hanging="360"/>
      </w:pPr>
      <w:rPr>
        <w:rFonts w:ascii="Wingdings" w:hAnsi="Wingdings" w:hint="default"/>
      </w:rPr>
    </w:lvl>
  </w:abstractNum>
  <w:abstractNum w:abstractNumId="4">
    <w:nsid w:val="53D263A4"/>
    <w:multiLevelType w:val="multilevel"/>
    <w:tmpl w:val="8B98C6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667BDA"/>
    <w:multiLevelType w:val="multilevel"/>
    <w:tmpl w:val="716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912C4C"/>
    <w:multiLevelType w:val="multilevel"/>
    <w:tmpl w:val="56E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7C4A8E"/>
    <w:multiLevelType w:val="multilevel"/>
    <w:tmpl w:val="D42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5"/>
  </w:num>
  <w:num w:numId="5">
    <w:abstractNumId w:val="0"/>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76D"/>
    <w:rsid w:val="00044F13"/>
    <w:rsid w:val="000B7A14"/>
    <w:rsid w:val="001F5D73"/>
    <w:rsid w:val="002A750C"/>
    <w:rsid w:val="002E06C8"/>
    <w:rsid w:val="002E5CE4"/>
    <w:rsid w:val="003F37D8"/>
    <w:rsid w:val="004631D9"/>
    <w:rsid w:val="00550A35"/>
    <w:rsid w:val="005557E0"/>
    <w:rsid w:val="0056376D"/>
    <w:rsid w:val="00687F2C"/>
    <w:rsid w:val="006B17AC"/>
    <w:rsid w:val="007E2B14"/>
    <w:rsid w:val="008D3F23"/>
    <w:rsid w:val="00951DD0"/>
    <w:rsid w:val="00A239C8"/>
    <w:rsid w:val="00A76DF0"/>
    <w:rsid w:val="00C571F0"/>
    <w:rsid w:val="00DE23DE"/>
    <w:rsid w:val="00E113BF"/>
    <w:rsid w:val="00F70580"/>
    <w:rsid w:val="00FE5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9D61F7-8FCF-4DCA-B558-BB37D705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3BF"/>
    <w:rPr>
      <w:rFonts w:ascii="Calibri" w:eastAsia="Calibri" w:hAnsi="Calibri" w:cs="SimSun"/>
      <w:lang w:val="en-GB"/>
    </w:rPr>
  </w:style>
  <w:style w:type="paragraph" w:styleId="Heading1">
    <w:name w:val="heading 1"/>
    <w:basedOn w:val="Normal"/>
    <w:link w:val="Heading1Char"/>
    <w:uiPriority w:val="9"/>
    <w:qFormat/>
    <w:rsid w:val="002A75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75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75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75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75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75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750C"/>
    <w:rPr>
      <w:b/>
      <w:bCs/>
    </w:rPr>
  </w:style>
  <w:style w:type="character" w:styleId="Emphasis">
    <w:name w:val="Emphasis"/>
    <w:basedOn w:val="DefaultParagraphFont"/>
    <w:uiPriority w:val="20"/>
    <w:qFormat/>
    <w:rsid w:val="002A750C"/>
    <w:rPr>
      <w:i/>
      <w:iCs/>
    </w:rPr>
  </w:style>
  <w:style w:type="paragraph" w:styleId="ListParagraph">
    <w:name w:val="List Paragraph"/>
    <w:basedOn w:val="Normal"/>
    <w:uiPriority w:val="34"/>
    <w:qFormat/>
    <w:rsid w:val="002E06C8"/>
    <w:pPr>
      <w:ind w:left="720"/>
      <w:contextualSpacing/>
    </w:pPr>
  </w:style>
  <w:style w:type="paragraph" w:styleId="Header">
    <w:name w:val="header"/>
    <w:basedOn w:val="Normal"/>
    <w:link w:val="HeaderChar"/>
    <w:uiPriority w:val="99"/>
    <w:rsid w:val="00E11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3BF"/>
    <w:rPr>
      <w:rFonts w:ascii="Calibri" w:eastAsia="Calibri" w:hAnsi="Calibri" w:cs="SimSun"/>
      <w:lang w:val="en-GB"/>
    </w:rPr>
  </w:style>
  <w:style w:type="paragraph" w:styleId="Footer">
    <w:name w:val="footer"/>
    <w:basedOn w:val="Normal"/>
    <w:link w:val="FooterChar"/>
    <w:uiPriority w:val="99"/>
    <w:rsid w:val="00E11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3BF"/>
    <w:rPr>
      <w:rFonts w:ascii="Calibri" w:eastAsia="Calibri" w:hAnsi="Calibri" w:cs="SimSun"/>
      <w:lang w:val="en-GB"/>
    </w:rPr>
  </w:style>
  <w:style w:type="table" w:styleId="TableGrid">
    <w:name w:val="Table Grid"/>
    <w:basedOn w:val="TableNormal"/>
    <w:uiPriority w:val="39"/>
    <w:rsid w:val="00E113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3030">
      <w:bodyDiv w:val="1"/>
      <w:marLeft w:val="0"/>
      <w:marRight w:val="0"/>
      <w:marTop w:val="0"/>
      <w:marBottom w:val="0"/>
      <w:divBdr>
        <w:top w:val="none" w:sz="0" w:space="0" w:color="auto"/>
        <w:left w:val="none" w:sz="0" w:space="0" w:color="auto"/>
        <w:bottom w:val="none" w:sz="0" w:space="0" w:color="auto"/>
        <w:right w:val="none" w:sz="0" w:space="0" w:color="auto"/>
      </w:divBdr>
    </w:div>
    <w:div w:id="633757789">
      <w:bodyDiv w:val="1"/>
      <w:marLeft w:val="0"/>
      <w:marRight w:val="0"/>
      <w:marTop w:val="0"/>
      <w:marBottom w:val="0"/>
      <w:divBdr>
        <w:top w:val="none" w:sz="0" w:space="0" w:color="auto"/>
        <w:left w:val="none" w:sz="0" w:space="0" w:color="auto"/>
        <w:bottom w:val="none" w:sz="0" w:space="0" w:color="auto"/>
        <w:right w:val="none" w:sz="0" w:space="0" w:color="auto"/>
      </w:divBdr>
      <w:divsChild>
        <w:div w:id="1810392802">
          <w:marLeft w:val="547"/>
          <w:marRight w:val="0"/>
          <w:marTop w:val="0"/>
          <w:marBottom w:val="0"/>
          <w:divBdr>
            <w:top w:val="none" w:sz="0" w:space="0" w:color="auto"/>
            <w:left w:val="none" w:sz="0" w:space="0" w:color="auto"/>
            <w:bottom w:val="none" w:sz="0" w:space="0" w:color="auto"/>
            <w:right w:val="none" w:sz="0" w:space="0" w:color="auto"/>
          </w:divBdr>
        </w:div>
      </w:divsChild>
    </w:div>
    <w:div w:id="1696803831">
      <w:bodyDiv w:val="1"/>
      <w:marLeft w:val="0"/>
      <w:marRight w:val="0"/>
      <w:marTop w:val="0"/>
      <w:marBottom w:val="0"/>
      <w:divBdr>
        <w:top w:val="none" w:sz="0" w:space="0" w:color="auto"/>
        <w:left w:val="none" w:sz="0" w:space="0" w:color="auto"/>
        <w:bottom w:val="none" w:sz="0" w:space="0" w:color="auto"/>
        <w:right w:val="none" w:sz="0" w:space="0" w:color="auto"/>
      </w:divBdr>
      <w:divsChild>
        <w:div w:id="404765379">
          <w:marLeft w:val="0"/>
          <w:marRight w:val="0"/>
          <w:marTop w:val="0"/>
          <w:marBottom w:val="0"/>
          <w:divBdr>
            <w:top w:val="none" w:sz="0" w:space="0" w:color="auto"/>
            <w:left w:val="none" w:sz="0" w:space="0" w:color="auto"/>
            <w:bottom w:val="none" w:sz="0" w:space="0" w:color="auto"/>
            <w:right w:val="none" w:sz="0" w:space="0" w:color="auto"/>
          </w:divBdr>
        </w:div>
      </w:divsChild>
    </w:div>
    <w:div w:id="193601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MUDHAKKIR-313</dc:creator>
  <cp:keywords/>
  <dc:description/>
  <cp:lastModifiedBy>ABUU U'BAH</cp:lastModifiedBy>
  <cp:revision>2</cp:revision>
  <dcterms:created xsi:type="dcterms:W3CDTF">2026-06-16T19:48:00Z</dcterms:created>
  <dcterms:modified xsi:type="dcterms:W3CDTF">2026-06-16T19:48:00Z</dcterms:modified>
</cp:coreProperties>
</file>