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ela-Siatka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ela-Siatka"/>
                    <w:tblW w:w="0" w:type="auto"/>
                    <w:tblLook w:val="04A0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  <w:proofErr w:type="spellEnd"/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  <w:proofErr w:type="spellEnd"/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i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i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roku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kalendarza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boolean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=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LocalDate.parse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data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zadanym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dniu</w:t>
                        </w:r>
                        <w:proofErr w:type="spellEnd"/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i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czasowa</w:t>
                        </w:r>
                        <w:proofErr w:type="spellEnd"/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-wstpniesformatowany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-wstpniesformatowany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fixed !!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: 2,2=’’; 2,4=’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’;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Arrays.parallelPrefix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E04DFB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ela-Siatka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Repetable</w:t>
                        </w:r>
                        <w:proofErr w:type="spellEnd"/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-kod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hyperlink r:id="rId5" w:history="1">
                          <w:r w:rsidR="00673E1F" w:rsidRPr="00E04DFB">
                            <w:rPr>
                              <w:rStyle w:val="Hipercze"/>
                              <w:rFonts w:ascii="Consolas" w:hAnsi="Consolas" w:cs="Consolas"/>
                              <w:sz w:val="12"/>
                              <w:szCs w:val="12"/>
                              <w:u w:val="none"/>
                            </w:rPr>
                            <w:t>https://www.baeldung.com/java-default-annotations</w:t>
                          </w:r>
                        </w:hyperlink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1464B2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6" w:history="1">
                          <w:r w:rsidR="00C64A0A" w:rsidRPr="00E04DFB">
                            <w:rPr>
                              <w:rStyle w:val="Hipercze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04DFB">
                            <w:rPr>
                              <w:rStyle w:val="Hipercze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status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.rollback</w:t>
                  </w:r>
                  <w:proofErr w:type="spell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&amp;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Iterator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t, W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w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ff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&lt;Object&gt; ff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&lt;String&gt; ff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A3112C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A3112C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8">
                    <w:r w:rsidRPr="00A3112C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9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A3112C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A3112C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 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9C12D2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bookmarkStart w:id="0" w:name="_GoBack"/>
                  <w:bookmarkEnd w:id="0"/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ApplicationEvent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</w:t>
                  </w:r>
                </w:p>
                <w:p w:rsidR="00B33291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B33291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…);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Nowe podejście: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doYourWork(MySecondEventNew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7F3535" w:rsidRDefault="009C12D2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EnableJms</w:t>
                  </w:r>
                  <w:proofErr w:type="spellEnd"/>
                </w:p>
                <w:p w:rsidR="007F3535" w:rsidRPr="007F3535" w:rsidRDefault="007F3535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Jest możliwość tworzenia wielu </w:t>
                  </w:r>
                  <w:proofErr w:type="spellStart"/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JmsTemplate</w:t>
                  </w:r>
                  <w:proofErr w:type="spellEnd"/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- </w:t>
                  </w:r>
                  <w:r w:rsidRPr="007F3535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https://stackoverflow.com/questions/43399072/spring-boot-configure-multiple-activemq-instances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JmsConfiguration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configureJmsListeners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JmsListenerEndpointRegistrar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&lt;?&gt;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org.springframework.util.ErrorHandler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factory.setBackOff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(new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ExponentialBackOff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bezie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jacksonJmsMessageConverter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handleError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Throwable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log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…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  <w:t>Listener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receiveTxtMessage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MessageConverter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Domyślny pozwala tylko na 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implements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,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np String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.send(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"MyEventJmsTxt"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.createTextMessage(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"hello queue world"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Wysyła bez udział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 xml:space="preserve"> domyślnego konwertera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String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.send(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"MyEventJmsLong"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.createObjectMessage(11L));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Wysyła bez udział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 xml:space="preserve"> domyślnego konwertera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</w:tc>
            </w:tr>
            <w:tr w:rsidR="00B23BAF" w:rsidRPr="009C12D2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8D5DB8" w:rsidRPr="009C12D2" w:rsidRDefault="008D5DB8" w:rsidP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8D5DB8" w:rsidRPr="009C12D2" w:rsidTr="00423221">
              <w:tc>
                <w:tcPr>
                  <w:tcW w:w="9519" w:type="dxa"/>
                </w:tcPr>
                <w:p w:rsidR="008D5DB8" w:rsidRPr="008D5DB8" w:rsidRDefault="008D5DB8" w:rsidP="00423221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Json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jackson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–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mechanizmy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SD</w:t>
                  </w:r>
                </w:p>
              </w:tc>
            </w:tr>
            <w:tr w:rsidR="008D5DB8" w:rsidRPr="00A3112C" w:rsidTr="00423221">
              <w:tc>
                <w:tcPr>
                  <w:tcW w:w="9519" w:type="dxa"/>
                </w:tcPr>
                <w:p w:rsidR="008D5DB8" w:rsidRDefault="008D5DB8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*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Praca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z J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może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odbywać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się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jawnie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–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za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pomocą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mappera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 w:cs="Consolas"/>
                      <w:b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.read</w:t>
                  </w:r>
                  <w:proofErr w:type="spellEnd"/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/</w:t>
                  </w:r>
                  <w:proofErr w:type="spellStart"/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writeValue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lub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niejawnie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-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np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końcówki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REST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korzystją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z J </w:t>
                  </w:r>
                  <w:proofErr w:type="spellStart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i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wystarczy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tylko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go </w:t>
                  </w:r>
                  <w:proofErr w:type="spellStart"/>
                  <w:r w:rsidRPr="008D5DB8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podać</w:t>
                  </w:r>
                  <w:proofErr w:type="spellEnd"/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* String J: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Płaski</w:t>
                  </w:r>
                  <w:proofErr w:type="spellEnd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Z </w:t>
                  </w:r>
                  <w:proofErr w:type="spellStart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podobiektem</w:t>
                  </w:r>
                  <w:proofErr w:type="spellEnd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B541F7" w:rsidRPr="008D5DB8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</w:tc>
            </w:tr>
          </w:tbl>
          <w:p w:rsidR="008D5DB8" w:rsidRPr="009C12D2" w:rsidRDefault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9C12D2" w:rsidRDefault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9519"/>
            </w:tblGrid>
            <w:tr w:rsidR="00E50977" w:rsidRPr="009C12D2" w:rsidTr="00E50977">
              <w:tc>
                <w:tcPr>
                  <w:tcW w:w="9519" w:type="dxa"/>
                </w:tcPr>
                <w:p w:rsidR="00E50977" w:rsidRPr="009C12D2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50977" w:rsidRPr="00A3112C" w:rsidTr="00E50977">
              <w:tc>
                <w:tcPr>
                  <w:tcW w:w="9519" w:type="dxa"/>
                </w:tcPr>
                <w:p w:rsidR="00E50977" w:rsidRPr="00A3112C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</w:t>
                  </w: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f</w:t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</w:tbl>
    <w:p w:rsidR="003E1367" w:rsidRPr="00A3112C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A3112C" w:rsidSect="001464B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3E1367"/>
    <w:rsid w:val="000026DE"/>
    <w:rsid w:val="00015B06"/>
    <w:rsid w:val="000C20C7"/>
    <w:rsid w:val="00122129"/>
    <w:rsid w:val="00123C58"/>
    <w:rsid w:val="001464B2"/>
    <w:rsid w:val="001727D1"/>
    <w:rsid w:val="00186572"/>
    <w:rsid w:val="001B5D0E"/>
    <w:rsid w:val="001E12DC"/>
    <w:rsid w:val="0037039E"/>
    <w:rsid w:val="003E1367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7F3535"/>
    <w:rsid w:val="00877A40"/>
    <w:rsid w:val="00882D18"/>
    <w:rsid w:val="008D5DB8"/>
    <w:rsid w:val="009101C5"/>
    <w:rsid w:val="00912553"/>
    <w:rsid w:val="0093030E"/>
    <w:rsid w:val="009441A7"/>
    <w:rsid w:val="009A2073"/>
    <w:rsid w:val="009A6D49"/>
    <w:rsid w:val="009C12D2"/>
    <w:rsid w:val="00A3112C"/>
    <w:rsid w:val="00A65396"/>
    <w:rsid w:val="00A854AA"/>
    <w:rsid w:val="00AA37AC"/>
    <w:rsid w:val="00AD17EC"/>
    <w:rsid w:val="00B23BAF"/>
    <w:rsid w:val="00B33291"/>
    <w:rsid w:val="00B541F7"/>
    <w:rsid w:val="00C64A0A"/>
    <w:rsid w:val="00CB3740"/>
    <w:rsid w:val="00D13244"/>
    <w:rsid w:val="00E04DFB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DB8"/>
  </w:style>
  <w:style w:type="paragraph" w:styleId="Nagwek2">
    <w:name w:val="heading 2"/>
    <w:basedOn w:val="Nagwek1"/>
    <w:next w:val="Tekstpodstawowy"/>
    <w:link w:val="Nagwek2Znak"/>
    <w:qFormat/>
    <w:rsid w:val="001464B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1464B2"/>
    <w:rPr>
      <w:color w:val="000080"/>
      <w:u w:val="single"/>
    </w:rPr>
  </w:style>
  <w:style w:type="character" w:customStyle="1" w:styleId="Tekstrdowy">
    <w:name w:val="Tekst źródłowy"/>
    <w:qFormat/>
    <w:rsid w:val="001464B2"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sid w:val="001464B2"/>
    <w:rPr>
      <w:i/>
      <w:iCs/>
    </w:rPr>
  </w:style>
  <w:style w:type="character" w:customStyle="1" w:styleId="Znakiwypunktowania">
    <w:name w:val="Znaki wypunktowania"/>
    <w:qFormat/>
    <w:rsid w:val="001464B2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qFormat/>
    <w:rsid w:val="001464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1464B2"/>
    <w:pPr>
      <w:spacing w:after="140" w:line="288" w:lineRule="auto"/>
    </w:pPr>
  </w:style>
  <w:style w:type="paragraph" w:styleId="Lista">
    <w:name w:val="List"/>
    <w:basedOn w:val="Tekstpodstawowy"/>
    <w:rsid w:val="001464B2"/>
  </w:style>
  <w:style w:type="paragraph" w:styleId="Legenda">
    <w:name w:val="caption"/>
    <w:basedOn w:val="Normalny"/>
    <w:qFormat/>
    <w:rsid w:val="001464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1464B2"/>
    <w:pPr>
      <w:suppressLineNumbers/>
    </w:pPr>
  </w:style>
  <w:style w:type="paragraph" w:customStyle="1" w:styleId="Zawartotabeli">
    <w:name w:val="Zawartość tabeli"/>
    <w:basedOn w:val="Normalny"/>
    <w:qFormat/>
    <w:rsid w:val="001464B2"/>
    <w:pPr>
      <w:suppressLineNumbers/>
    </w:pPr>
  </w:style>
  <w:style w:type="paragraph" w:customStyle="1" w:styleId="Nagwektabeli">
    <w:name w:val="Nagłówek tabeli"/>
    <w:basedOn w:val="Zawartotabeli"/>
    <w:qFormat/>
    <w:rsid w:val="001464B2"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ny"/>
    <w:qFormat/>
    <w:rsid w:val="001464B2"/>
    <w:rPr>
      <w:rFonts w:ascii="Liberation Mono" w:eastAsia="NSimSun" w:hAnsi="Liberation Mono" w:cs="Liberation Mono"/>
      <w:sz w:val="20"/>
      <w:szCs w:val="20"/>
    </w:rPr>
  </w:style>
  <w:style w:type="table" w:styleId="Tabela-Siatka">
    <w:name w:val="Table Grid"/>
    <w:basedOn w:val="Standardowy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-kod">
    <w:name w:val="HTML Code"/>
    <w:basedOn w:val="Domylnaczcionkaakapitu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rsid w:val="001B5D0E"/>
    <w:rPr>
      <w:b/>
      <w:bCs/>
      <w:sz w:val="36"/>
      <w:szCs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Akapitzlist">
    <w:name w:val="List Paragraph"/>
    <w:basedOn w:val="Normalny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Uwydatnienie">
    <w:name w:val="Emphasis"/>
    <w:basedOn w:val="Domylnaczcionkaakapitu"/>
    <w:uiPriority w:val="20"/>
    <w:qFormat/>
    <w:rsid w:val="00882D18"/>
    <w:rPr>
      <w:i/>
      <w:iCs/>
    </w:rPr>
  </w:style>
  <w:style w:type="character" w:styleId="Hipercze">
    <w:name w:val="Hyperlink"/>
    <w:basedOn w:val="Domylnaczcionkaakapitu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how-to/code-snippets/jcode-bean-validation-javax-validation-pay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custom-annotatio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java-default-annot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validator/4.1/reference/en-US/html/validator-customconstra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35576</TotalTime>
  <Pages>7</Pages>
  <Words>3338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Lukasz Loza</cp:lastModifiedBy>
  <cp:revision>53</cp:revision>
  <dcterms:created xsi:type="dcterms:W3CDTF">2019-11-03T16:55:00Z</dcterms:created>
  <dcterms:modified xsi:type="dcterms:W3CDTF">2020-01-29T10:21:00Z</dcterms:modified>
  <dc:language>pl-PL</dc:language>
</cp:coreProperties>
</file>