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18D8" w14:textId="77777777" w:rsidR="00BB1D05" w:rsidRPr="006265EF" w:rsidRDefault="00831B28" w:rsidP="00C1461F">
      <w:pPr>
        <w:pStyle w:val="Heading1"/>
        <w:spacing w:before="0"/>
        <w:rPr>
          <w:sz w:val="32"/>
          <w:szCs w:val="32"/>
        </w:rPr>
      </w:pPr>
      <w:bookmarkStart w:id="0" w:name="header"/>
      <w:bookmarkStart w:id="1" w:name="X52441295707b0ea689d99c21f0b5d5d989a69bd"/>
      <w:bookmarkStart w:id="2" w:name="content"/>
      <w:bookmarkEnd w:id="0"/>
      <w:r w:rsidRPr="006265EF">
        <w:rPr>
          <w:sz w:val="32"/>
          <w:szCs w:val="32"/>
        </w:rPr>
        <w:t>Meridian AI Enterprise Cockpit Deep Audit</w:t>
      </w:r>
    </w:p>
    <w:p w14:paraId="1CA618D9" w14:textId="77777777" w:rsidR="00BB1D05" w:rsidRPr="006265EF" w:rsidRDefault="00831B28" w:rsidP="00C1461F">
      <w:pPr>
        <w:pStyle w:val="Heading2"/>
        <w:spacing w:before="0"/>
        <w:rPr>
          <w:sz w:val="24"/>
          <w:szCs w:val="24"/>
        </w:rPr>
      </w:pPr>
      <w:bookmarkStart w:id="3" w:name="executive-summary"/>
      <w:r w:rsidRPr="006265EF">
        <w:rPr>
          <w:sz w:val="24"/>
          <w:szCs w:val="24"/>
        </w:rPr>
        <w:t>Executive summary</w:t>
      </w:r>
    </w:p>
    <w:p w14:paraId="1CA618DA" w14:textId="23B50BA9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The attached “Meridian — AI Enterprise Cockpit” is a strong-looking executive prototype that already tracks several useful </w:t>
      </w:r>
      <w:r w:rsidRPr="006265EF">
        <w:rPr>
          <w:b/>
          <w:bCs/>
          <w:sz w:val="21"/>
          <w:szCs w:val="21"/>
        </w:rPr>
        <w:t>leading indicators</w:t>
      </w:r>
      <w:r w:rsidRPr="006265EF">
        <w:rPr>
          <w:sz w:val="21"/>
          <w:szCs w:val="21"/>
        </w:rPr>
        <w:t xml:space="preserve"> for institutionalising AI (e.g., composite indices, portfolio value, governance coverage, tech debt, delivery flow, AI coverage, cost mix, and a human-oversight gateway). </w:t>
      </w:r>
    </w:p>
    <w:p w14:paraId="1CA618DB" w14:textId="738D06EB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The two-lens design (Strategic vs Delivery) is directionally right for your audiences (CxOs + delivery leadership), because it separates </w:t>
      </w:r>
      <w:r w:rsidRPr="006265EF">
        <w:rPr>
          <w:b/>
          <w:bCs/>
          <w:sz w:val="21"/>
          <w:szCs w:val="21"/>
        </w:rPr>
        <w:t>enterprise posture</w:t>
      </w:r>
      <w:r w:rsidRPr="006265EF">
        <w:rPr>
          <w:sz w:val="21"/>
          <w:szCs w:val="21"/>
        </w:rPr>
        <w:t xml:space="preserve"> (institutionalisation, governance, workforce, RAI) from </w:t>
      </w:r>
      <w:r w:rsidRPr="006265EF">
        <w:rPr>
          <w:b/>
          <w:bCs/>
          <w:sz w:val="21"/>
          <w:szCs w:val="21"/>
        </w:rPr>
        <w:t>execution performance</w:t>
      </w:r>
      <w:r w:rsidRPr="006265EF">
        <w:rPr>
          <w:sz w:val="21"/>
          <w:szCs w:val="21"/>
        </w:rPr>
        <w:t xml:space="preserve"> (flow, quality, cost, oversight). </w:t>
      </w:r>
    </w:p>
    <w:p w14:paraId="1CA618DC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What will most likely block adoption, trust, and business value is not “missing charts” but the fact that the cockpit is still mostly a </w:t>
      </w:r>
      <w:r w:rsidRPr="006265EF">
        <w:rPr>
          <w:b/>
          <w:bCs/>
          <w:sz w:val="21"/>
          <w:szCs w:val="21"/>
        </w:rPr>
        <w:t>scoreboard without verifiable definitions, drill-down, and decision-grade traceability</w:t>
      </w:r>
      <w:r w:rsidRPr="006265EF">
        <w:rPr>
          <w:sz w:val="21"/>
          <w:szCs w:val="21"/>
        </w:rPr>
        <w:t xml:space="preserve">. In other words: it shows </w:t>
      </w:r>
      <w:r w:rsidRPr="006265EF">
        <w:rPr>
          <w:i/>
          <w:iCs/>
          <w:sz w:val="21"/>
          <w:szCs w:val="21"/>
        </w:rPr>
        <w:t>what</w:t>
      </w:r>
      <w:r w:rsidRPr="006265EF">
        <w:rPr>
          <w:sz w:val="21"/>
          <w:szCs w:val="21"/>
        </w:rPr>
        <w:t xml:space="preserve"> but not enough of </w:t>
      </w:r>
      <w:r w:rsidRPr="006265EF">
        <w:rPr>
          <w:i/>
          <w:iCs/>
          <w:sz w:val="21"/>
          <w:szCs w:val="21"/>
        </w:rPr>
        <w:t>why</w:t>
      </w:r>
      <w:r w:rsidRPr="006265EF">
        <w:rPr>
          <w:sz w:val="21"/>
          <w:szCs w:val="21"/>
        </w:rPr>
        <w:t xml:space="preserve"> and </w:t>
      </w:r>
      <w:r w:rsidRPr="006265EF">
        <w:rPr>
          <w:i/>
          <w:iCs/>
          <w:sz w:val="21"/>
          <w:szCs w:val="21"/>
        </w:rPr>
        <w:t>what to do next</w:t>
      </w:r>
      <w:r w:rsidRPr="006265EF">
        <w:rPr>
          <w:sz w:val="21"/>
          <w:szCs w:val="21"/>
        </w:rPr>
        <w:t>, and it doesn’t provide enough evidence for leaders to defend funding, risk decisions, or compliance posture.</w:t>
      </w:r>
    </w:p>
    <w:p w14:paraId="1CA618DD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Top critical gaps (in priority order)</w:t>
      </w:r>
    </w:p>
    <w:p w14:paraId="1CA618DE" w14:textId="7963D124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1) </w:t>
      </w:r>
      <w:r w:rsidRPr="006265EF">
        <w:rPr>
          <w:b/>
          <w:bCs/>
          <w:sz w:val="21"/>
          <w:szCs w:val="21"/>
        </w:rPr>
        <w:t>Metric definitions &amp; evidence are missing for the most important numbers</w:t>
      </w:r>
      <w:r w:rsidRPr="006265EF">
        <w:rPr>
          <w:sz w:val="21"/>
          <w:szCs w:val="21"/>
        </w:rPr>
        <w:t xml:space="preserve"> (AII score, Flow Index, ROI, RAI, “hallucination score”, “coverage”, “guardrails”, etc.). The dashboard shows these as authoritative without explaining calculation, scope, owners, or confidence. </w:t>
      </w:r>
      <w:r w:rsidRPr="006265EF">
        <w:rPr>
          <w:sz w:val="21"/>
          <w:szCs w:val="21"/>
        </w:rPr>
        <w:br/>
        <w:t xml:space="preserve">2) </w:t>
      </w:r>
      <w:r w:rsidRPr="006265EF">
        <w:rPr>
          <w:b/>
          <w:bCs/>
          <w:sz w:val="21"/>
          <w:szCs w:val="21"/>
        </w:rPr>
        <w:t>No drill-down or segmentation</w:t>
      </w:r>
      <w:r w:rsidRPr="006265EF">
        <w:rPr>
          <w:sz w:val="21"/>
          <w:szCs w:val="21"/>
        </w:rPr>
        <w:t xml:space="preserve"> (by geography, account, business unit, function, delivery train, or use case) so leaders cannot identify where to intervene. The current views are largely aggregate-only (plus a partial portfolio table). </w:t>
      </w:r>
      <w:r w:rsidRPr="006265EF">
        <w:rPr>
          <w:sz w:val="21"/>
          <w:szCs w:val="21"/>
        </w:rPr>
        <w:br/>
        <w:t xml:space="preserve">3) </w:t>
      </w:r>
      <w:r w:rsidRPr="006265EF">
        <w:rPr>
          <w:b/>
          <w:bCs/>
          <w:sz w:val="21"/>
          <w:szCs w:val="21"/>
        </w:rPr>
        <w:t>Operational AI monitoring is incomplete</w:t>
      </w:r>
      <w:r w:rsidRPr="006265EF">
        <w:rPr>
          <w:sz w:val="21"/>
          <w:szCs w:val="21"/>
        </w:rPr>
        <w:t xml:space="preserve">: you hint at reliability/safety (e.g., “99.2% uptime” and “hallucination score below 0.1%”), prompt injection risk, and drift, but there’s no model/use-case level telemetry (latency, error rates, guardrail hit-rates, incident trends, eval coverage). </w:t>
      </w:r>
      <w:r w:rsidRPr="006265EF">
        <w:rPr>
          <w:sz w:val="21"/>
          <w:szCs w:val="21"/>
        </w:rPr>
        <w:br/>
        <w:t xml:space="preserve">4) </w:t>
      </w:r>
      <w:r w:rsidRPr="006265EF">
        <w:rPr>
          <w:b/>
          <w:bCs/>
          <w:sz w:val="21"/>
          <w:szCs w:val="21"/>
        </w:rPr>
        <w:t>Governance is presented as coverage %, not as a control system</w:t>
      </w:r>
      <w:r w:rsidRPr="006265EF">
        <w:rPr>
          <w:sz w:val="21"/>
          <w:szCs w:val="21"/>
        </w:rPr>
        <w:t xml:space="preserve">: you need evidence packs, approvals throughput, compliance-by-risk-class, and “policy-to-production” enforcement metrics. Your current “Policy controls” are status labels without auditable linkouts. </w:t>
      </w:r>
      <w:r w:rsidRPr="006265EF">
        <w:rPr>
          <w:sz w:val="21"/>
          <w:szCs w:val="21"/>
        </w:rPr>
        <w:br/>
        <w:t xml:space="preserve">5) </w:t>
      </w:r>
      <w:r w:rsidRPr="006265EF">
        <w:rPr>
          <w:b/>
          <w:bCs/>
          <w:sz w:val="21"/>
          <w:szCs w:val="21"/>
        </w:rPr>
        <w:t>Value realisation is not finance-grade</w:t>
      </w:r>
      <w:r w:rsidRPr="006265EF">
        <w:rPr>
          <w:sz w:val="21"/>
          <w:szCs w:val="21"/>
        </w:rPr>
        <w:t xml:space="preserve">: ROI and “Value delivered” are shown, but the cockpit doesn’t show attribution, realised vs forecast, validation status, payback period, or uncertainty—so it’s hard to use for funding gates and board-level scrutiny. </w:t>
      </w:r>
    </w:p>
    <w:p w14:paraId="1CA618DF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Best-practice alignment note (why these gaps matter)</w:t>
      </w:r>
    </w:p>
    <w:p w14:paraId="1CA618E0" w14:textId="77777777" w:rsidR="00BB1D05" w:rsidRPr="006265EF" w:rsidRDefault="00831B28" w:rsidP="00C1461F">
      <w:pPr>
        <w:pStyle w:val="Compact"/>
        <w:numPr>
          <w:ilvl w:val="0"/>
          <w:numId w:val="2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The NIST AI Risk Management Framework (AI RMF) explicitly frames trustworthy AI risk management around </w:t>
      </w:r>
      <w:r w:rsidRPr="006265EF">
        <w:rPr>
          <w:b/>
          <w:bCs/>
          <w:sz w:val="21"/>
          <w:szCs w:val="21"/>
        </w:rPr>
        <w:t>trustworthiness characteristics</w:t>
      </w:r>
      <w:r w:rsidRPr="006265EF">
        <w:rPr>
          <w:sz w:val="21"/>
          <w:szCs w:val="21"/>
        </w:rPr>
        <w:t xml:space="preserve"> (e.g., “Valid and Reliable”, “Safe”, “Secure and Resilient”, “Accountable and Transparent”, “Explainable and Interpretable”, “Privacy-Enhanced”, “Fair – with Harmful Bias Managed”) and operational functions </w:t>
      </w:r>
      <w:r w:rsidRPr="006265EF">
        <w:rPr>
          <w:b/>
          <w:bCs/>
          <w:sz w:val="21"/>
          <w:szCs w:val="21"/>
        </w:rPr>
        <w:t>Govern, Map, Measure, Manage</w:t>
      </w:r>
      <w:r w:rsidRPr="006265EF">
        <w:rPr>
          <w:sz w:val="21"/>
          <w:szCs w:val="21"/>
        </w:rPr>
        <w:t xml:space="preserve">. </w:t>
      </w:r>
      <w:hyperlink r:id="rId5">
        <w:r w:rsidRPr="006265EF">
          <w:rPr>
            <w:rStyle w:val="Hyperlink"/>
            <w:sz w:val="21"/>
            <w:szCs w:val="21"/>
          </w:rPr>
          <w:t>[1]</w:t>
        </w:r>
      </w:hyperlink>
    </w:p>
    <w:p w14:paraId="1CA618E1" w14:textId="77777777" w:rsidR="00BB1D05" w:rsidRPr="006265EF" w:rsidRDefault="00831B28" w:rsidP="00C1461F">
      <w:pPr>
        <w:pStyle w:val="Compact"/>
        <w:numPr>
          <w:ilvl w:val="0"/>
          <w:numId w:val="2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ISO/IEC 42001 describes an organisational AI management system standard—i.e., repeatable policies, processes, and continual improvement—rather than one-off dashboards. Your cockpit needs to show the evidence that these processes exist and are working. </w:t>
      </w:r>
      <w:hyperlink r:id="rId6">
        <w:r w:rsidRPr="006265EF">
          <w:rPr>
            <w:rStyle w:val="Hyperlink"/>
            <w:sz w:val="21"/>
            <w:szCs w:val="21"/>
          </w:rPr>
          <w:t>[2]</w:t>
        </w:r>
      </w:hyperlink>
    </w:p>
    <w:p w14:paraId="1CA618E2" w14:textId="77777777" w:rsidR="00BB1D05" w:rsidRPr="006265EF" w:rsidRDefault="00831B28" w:rsidP="00C1461F">
      <w:pPr>
        <w:pStyle w:val="Compact"/>
        <w:numPr>
          <w:ilvl w:val="0"/>
          <w:numId w:val="2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OWASP’s GenAI/LLM Top 10 highlights practical GenAI risks (including prompt injection and more) that require measurable controls and monitoring; your cockpit already flags injection risk but doesn’t yet provide a measurement-and-control loop. </w:t>
      </w:r>
      <w:hyperlink r:id="rId7">
        <w:r w:rsidRPr="006265EF">
          <w:rPr>
            <w:rStyle w:val="Hyperlink"/>
            <w:sz w:val="21"/>
            <w:szCs w:val="21"/>
          </w:rPr>
          <w:t>[3]</w:t>
        </w:r>
      </w:hyperlink>
    </w:p>
    <w:p w14:paraId="1CA618E3" w14:textId="77777777" w:rsidR="00BB1D05" w:rsidRPr="006265EF" w:rsidRDefault="00831B28" w:rsidP="00C1461F">
      <w:pPr>
        <w:pStyle w:val="Compact"/>
        <w:numPr>
          <w:ilvl w:val="0"/>
          <w:numId w:val="2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lastRenderedPageBreak/>
        <w:t xml:space="preserve">The European Commission describes the EU AI Act as a risk-based legal framework intended to foster trustworthy AI; for an enterprise cockpit, that means you need risk classification, traceability, and monitoring—not only a single readiness percentage. </w:t>
      </w:r>
      <w:hyperlink r:id="rId8">
        <w:r w:rsidRPr="006265EF">
          <w:rPr>
            <w:rStyle w:val="Hyperlink"/>
            <w:sz w:val="21"/>
            <w:szCs w:val="21"/>
          </w:rPr>
          <w:t>[4]</w:t>
        </w:r>
      </w:hyperlink>
    </w:p>
    <w:p w14:paraId="1CA618E4" w14:textId="77777777" w:rsidR="00BB1D05" w:rsidRPr="006265EF" w:rsidRDefault="00831B28" w:rsidP="00C1461F">
      <w:pPr>
        <w:pStyle w:val="Heading2"/>
        <w:spacing w:before="0"/>
        <w:rPr>
          <w:sz w:val="24"/>
          <w:szCs w:val="24"/>
        </w:rPr>
      </w:pPr>
      <w:bookmarkStart w:id="4" w:name="what-the-dashboard-currently-measures"/>
      <w:bookmarkEnd w:id="3"/>
      <w:r w:rsidRPr="006265EF">
        <w:rPr>
          <w:sz w:val="24"/>
          <w:szCs w:val="24"/>
        </w:rPr>
        <w:t>What the dashboard currently measures</w:t>
      </w:r>
    </w:p>
    <w:p w14:paraId="1CA618E5" w14:textId="7777777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This inventory matters because it clarifies what is already present (so we only call something “missing” when there is no evidence it exists).</w:t>
      </w:r>
    </w:p>
    <w:p w14:paraId="1CA618E6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North-star layer (always visible)</w:t>
      </w:r>
    </w:p>
    <w:p w14:paraId="1CA618E7" w14:textId="51B29B64" w:rsidR="00BB1D05" w:rsidRPr="006265EF" w:rsidRDefault="00831B28" w:rsidP="00C1461F">
      <w:pPr>
        <w:pStyle w:val="Compact"/>
        <w:numPr>
          <w:ilvl w:val="0"/>
          <w:numId w:val="3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AII Score 67 (+4 pts)</w:t>
      </w:r>
      <w:r w:rsidRPr="006265EF">
        <w:rPr>
          <w:sz w:val="21"/>
          <w:szCs w:val="21"/>
        </w:rPr>
        <w:t xml:space="preserve">, </w:t>
      </w:r>
      <w:r w:rsidRPr="006265EF">
        <w:rPr>
          <w:b/>
          <w:bCs/>
          <w:sz w:val="21"/>
          <w:szCs w:val="21"/>
        </w:rPr>
        <w:t>Flow Index 79</w:t>
      </w:r>
      <w:r w:rsidRPr="006265EF">
        <w:rPr>
          <w:sz w:val="21"/>
          <w:szCs w:val="21"/>
        </w:rPr>
        <w:t xml:space="preserve">, </w:t>
      </w:r>
      <w:r w:rsidRPr="006265EF">
        <w:rPr>
          <w:b/>
          <w:bCs/>
          <w:sz w:val="21"/>
          <w:szCs w:val="21"/>
        </w:rPr>
        <w:t>Portfolio ROI 3.7× (with £18.4M)</w:t>
      </w:r>
      <w:r w:rsidRPr="006265EF">
        <w:rPr>
          <w:sz w:val="21"/>
          <w:szCs w:val="21"/>
        </w:rPr>
        <w:t xml:space="preserve">, </w:t>
      </w:r>
      <w:r w:rsidRPr="006265EF">
        <w:rPr>
          <w:b/>
          <w:bCs/>
          <w:sz w:val="21"/>
          <w:szCs w:val="21"/>
        </w:rPr>
        <w:t>RAI Index 62 (+5 pts)</w:t>
      </w:r>
      <w:r w:rsidRPr="006265EF">
        <w:rPr>
          <w:sz w:val="21"/>
          <w:szCs w:val="21"/>
        </w:rPr>
        <w:t xml:space="preserve"> plus signal tags (“Shadow AI”, “Prompt debt”, “Forecast drift”, “SLA improving”). </w:t>
      </w:r>
    </w:p>
    <w:p w14:paraId="1CA618E8" w14:textId="7777777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Strategic view</w:t>
      </w:r>
    </w:p>
    <w:p w14:paraId="1CA618E9" w14:textId="4C002E88" w:rsidR="00BB1D05" w:rsidRPr="006265EF" w:rsidRDefault="00831B28" w:rsidP="00C1461F">
      <w:pPr>
        <w:pStyle w:val="Compact"/>
        <w:numPr>
          <w:ilvl w:val="0"/>
          <w:numId w:val="4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Institutionalisation composite and sub-scores (Strategy/Ops/People), plus dimension bars vs sector average. </w:t>
      </w:r>
    </w:p>
    <w:p w14:paraId="1CA618EA" w14:textId="3E060421" w:rsidR="00BB1D05" w:rsidRPr="006265EF" w:rsidRDefault="00831B28" w:rsidP="00C1461F">
      <w:pPr>
        <w:pStyle w:val="Compact"/>
        <w:numPr>
          <w:ilvl w:val="0"/>
          <w:numId w:val="4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Delivery bridge summary (Flow, Quality, Coverage, delivery run-rate, operational AI spend, total AI spend). </w:t>
      </w:r>
    </w:p>
    <w:p w14:paraId="1CA618EB" w14:textId="07D92EF9" w:rsidR="00BB1D05" w:rsidRPr="006265EF" w:rsidRDefault="00831B28" w:rsidP="00C1461F">
      <w:pPr>
        <w:pStyle w:val="Compact"/>
        <w:numPr>
          <w:ilvl w:val="0"/>
          <w:numId w:val="4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Portfolio metrics (active initiatives, value delivered, in production count, stalled value at risk) and a partial table of use cases with stage/value/maturity/status/LLM tier. </w:t>
      </w:r>
    </w:p>
    <w:p w14:paraId="1CA618EC" w14:textId="31EBB6C9" w:rsidR="00BB1D05" w:rsidRPr="006265EF" w:rsidRDefault="00831B28" w:rsidP="00C1461F">
      <w:pPr>
        <w:pStyle w:val="Compact"/>
        <w:numPr>
          <w:ilvl w:val="0"/>
          <w:numId w:val="4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Workforce heatmap (AI literacy by function across Aware/Prompt/Integrate/Govern/Build), training pipeline completion and alignment/sentiment breakdown. </w:t>
      </w:r>
    </w:p>
    <w:p w14:paraId="1CA618ED" w14:textId="3AD01CEE" w:rsidR="00BB1D05" w:rsidRPr="006265EF" w:rsidRDefault="00831B28" w:rsidP="00C1461F">
      <w:pPr>
        <w:pStyle w:val="Compact"/>
        <w:numPr>
          <w:ilvl w:val="0"/>
          <w:numId w:val="4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Governance &amp; risk (models in inventory, governance coverage, shadow AI signals, EU AI Act readiness) with a risk register (owners + due dates). </w:t>
      </w:r>
    </w:p>
    <w:p w14:paraId="1CA618EE" w14:textId="5CF29D1E" w:rsidR="00BB1D05" w:rsidRPr="006265EF" w:rsidRDefault="00831B28" w:rsidP="00C1461F">
      <w:pPr>
        <w:pStyle w:val="Compact"/>
        <w:numPr>
          <w:ilvl w:val="0"/>
          <w:numId w:val="4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Tech debt index and debt sub-dimensions (data/model/prompt/org) including explicit red flags (e.g., prompts undocumented, injection pentest gap). </w:t>
      </w:r>
    </w:p>
    <w:p w14:paraId="1CA618EF" w14:textId="62826CC0" w:rsidR="00BB1D05" w:rsidRPr="006265EF" w:rsidRDefault="00831B28" w:rsidP="00C1461F">
      <w:pPr>
        <w:pStyle w:val="Compact"/>
        <w:numPr>
          <w:ilvl w:val="0"/>
          <w:numId w:val="4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Responsible AI (RAI index with pillar scores) plus “regulatory readiness” (EU AI Act, GDPR, ISO 42001, UK AI Safety, NIST AI RMF, SOC2) and Q2 targets. </w:t>
      </w:r>
    </w:p>
    <w:p w14:paraId="1CA618F0" w14:textId="7777777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Delivery view</w:t>
      </w:r>
    </w:p>
    <w:p w14:paraId="1CA618F1" w14:textId="4092EE52" w:rsidR="00BB1D05" w:rsidRPr="006265EF" w:rsidRDefault="00831B28" w:rsidP="00C1461F">
      <w:pPr>
        <w:pStyle w:val="Compact"/>
        <w:numPr>
          <w:ilvl w:val="0"/>
          <w:numId w:val="5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Executive KPIs with baseline vs pilot vs target (productivity gain, AI coverage, flow index, quality guardrail, governance compliance, AI run-rate cost). </w:t>
      </w:r>
    </w:p>
    <w:p w14:paraId="1CA618F2" w14:textId="5FCDA132" w:rsidR="00BB1D05" w:rsidRPr="006265EF" w:rsidRDefault="00831B28" w:rsidP="00C1461F">
      <w:pPr>
        <w:pStyle w:val="Compact"/>
        <w:numPr>
          <w:ilvl w:val="0"/>
          <w:numId w:val="5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Swimlanes for planning/build/run with cycle times and quality proxies. </w:t>
      </w:r>
    </w:p>
    <w:p w14:paraId="1CA618F3" w14:textId="6EADDA18" w:rsidR="00BB1D05" w:rsidRPr="006265EF" w:rsidRDefault="00831B28" w:rsidP="00C1461F">
      <w:pPr>
        <w:pStyle w:val="Compact"/>
        <w:numPr>
          <w:ilvl w:val="0"/>
          <w:numId w:val="5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Human oversight gateway (auto-resolved / supervised / escalated %) plus a list of pending escalations. </w:t>
      </w:r>
    </w:p>
    <w:p w14:paraId="1CA618F4" w14:textId="1E94D03E" w:rsidR="00BB1D05" w:rsidRPr="006265EF" w:rsidRDefault="00831B28" w:rsidP="00C1461F">
      <w:pPr>
        <w:pStyle w:val="Compact"/>
        <w:numPr>
          <w:ilvl w:val="0"/>
          <w:numId w:val="5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Trend bars (adoption/flow/quality/cost). </w:t>
      </w:r>
    </w:p>
    <w:p w14:paraId="1CA618F5" w14:textId="4E05A839" w:rsidR="00BB1D05" w:rsidRPr="006265EF" w:rsidRDefault="00831B28" w:rsidP="00C1461F">
      <w:pPr>
        <w:pStyle w:val="Compact"/>
        <w:numPr>
          <w:ilvl w:val="0"/>
          <w:numId w:val="5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Economics (cost by workflow; model mix; cost per assisted outcome; model concentration risk). </w:t>
      </w:r>
    </w:p>
    <w:p w14:paraId="1CA618F6" w14:textId="4A137A68" w:rsidR="00BB1D05" w:rsidRPr="006265EF" w:rsidRDefault="00831B28" w:rsidP="00C1461F">
      <w:pPr>
        <w:pStyle w:val="Compact"/>
        <w:numPr>
          <w:ilvl w:val="0"/>
          <w:numId w:val="5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Governance console (green/amber/red use cases; policy controls including “prompt injection guard”, “output quality threshold”, “audit logging”, cost alerts). </w:t>
      </w:r>
    </w:p>
    <w:p w14:paraId="1CA618F7" w14:textId="684BD09B" w:rsidR="00BB1D05" w:rsidRPr="006265EF" w:rsidRDefault="00831B28" w:rsidP="00C1461F">
      <w:pPr>
        <w:pStyle w:val="Compact"/>
        <w:numPr>
          <w:ilvl w:val="0"/>
          <w:numId w:val="5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Top 5 executive actions and a 30/60/90 day roadmap. </w:t>
      </w:r>
    </w:p>
    <w:p w14:paraId="1CA618F8" w14:textId="77777777" w:rsidR="00BB1D05" w:rsidRPr="006265EF" w:rsidRDefault="00831B28" w:rsidP="00C1461F">
      <w:pPr>
        <w:pStyle w:val="Heading2"/>
        <w:spacing w:before="0"/>
        <w:rPr>
          <w:sz w:val="24"/>
          <w:szCs w:val="24"/>
        </w:rPr>
      </w:pPr>
      <w:bookmarkStart w:id="5" w:name="X6fe4ea6f8dbdc2c78daec4ab75f49a243b44183"/>
      <w:bookmarkEnd w:id="4"/>
      <w:r w:rsidRPr="006265EF">
        <w:rPr>
          <w:sz w:val="24"/>
          <w:szCs w:val="24"/>
        </w:rPr>
        <w:lastRenderedPageBreak/>
        <w:t>Gaps, weaknesses, missing components and fixes</w:t>
      </w:r>
    </w:p>
    <w:p w14:paraId="1CA618F9" w14:textId="7777777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The table below follows your required format. I use labels:</w:t>
      </w:r>
    </w:p>
    <w:p w14:paraId="1CA618FA" w14:textId="77777777" w:rsidR="00BB1D05" w:rsidRPr="006265EF" w:rsidRDefault="00831B28" w:rsidP="00C1461F">
      <w:pPr>
        <w:pStyle w:val="Compact"/>
        <w:numPr>
          <w:ilvl w:val="0"/>
          <w:numId w:val="6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[Missing feature]</w:t>
      </w:r>
      <w:r w:rsidRPr="006265EF">
        <w:rPr>
          <w:sz w:val="21"/>
          <w:szCs w:val="21"/>
        </w:rPr>
        <w:t xml:space="preserve"> = capability not present</w:t>
      </w:r>
    </w:p>
    <w:p w14:paraId="1CA618FB" w14:textId="77777777" w:rsidR="00BB1D05" w:rsidRPr="006265EF" w:rsidRDefault="00831B28" w:rsidP="00C1461F">
      <w:pPr>
        <w:pStyle w:val="Compact"/>
        <w:numPr>
          <w:ilvl w:val="0"/>
          <w:numId w:val="6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[Weak implementation]</w:t>
      </w:r>
      <w:r w:rsidRPr="006265EF">
        <w:rPr>
          <w:sz w:val="21"/>
          <w:szCs w:val="21"/>
        </w:rPr>
        <w:t xml:space="preserve"> = present but not decision-grade</w:t>
      </w:r>
    </w:p>
    <w:p w14:paraId="1CA618FC" w14:textId="77777777" w:rsidR="00BB1D05" w:rsidRPr="006265EF" w:rsidRDefault="00831B28" w:rsidP="00C1461F">
      <w:pPr>
        <w:pStyle w:val="Compact"/>
        <w:numPr>
          <w:ilvl w:val="0"/>
          <w:numId w:val="6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[Missing evidence]</w:t>
      </w:r>
      <w:r w:rsidRPr="006265EF">
        <w:rPr>
          <w:sz w:val="21"/>
          <w:szCs w:val="21"/>
        </w:rPr>
        <w:t xml:space="preserve"> = claimed/assumed but not verifiable from the dashboard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4"/>
        <w:gridCol w:w="1428"/>
        <w:gridCol w:w="2386"/>
        <w:gridCol w:w="1543"/>
        <w:gridCol w:w="770"/>
        <w:gridCol w:w="1166"/>
        <w:gridCol w:w="2278"/>
        <w:gridCol w:w="1018"/>
        <w:gridCol w:w="598"/>
        <w:gridCol w:w="715"/>
      </w:tblGrid>
      <w:tr w:rsidR="00BB1D05" w:rsidRPr="00C130D6" w14:paraId="1CA61907" w14:textId="77777777" w:rsidTr="009D6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1CA618FD" w14:textId="77777777" w:rsidR="00BB1D05" w:rsidRPr="00C130D6" w:rsidRDefault="00831B28" w:rsidP="00C1461F">
            <w:pPr>
              <w:pStyle w:val="Compact"/>
              <w:spacing w:before="0"/>
              <w:jc w:val="center"/>
              <w:rPr>
                <w:b/>
                <w:bCs/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Area</w:t>
            </w:r>
          </w:p>
        </w:tc>
        <w:tc>
          <w:tcPr>
            <w:tcW w:w="0" w:type="auto"/>
            <w:vAlign w:val="center"/>
          </w:tcPr>
          <w:p w14:paraId="1CA618FE" w14:textId="77777777" w:rsidR="00BB1D05" w:rsidRPr="00C130D6" w:rsidRDefault="00831B28" w:rsidP="00C1461F">
            <w:pPr>
              <w:pStyle w:val="Compact"/>
              <w:spacing w:before="0"/>
              <w:jc w:val="center"/>
              <w:rPr>
                <w:b/>
                <w:bCs/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Observed issue / missing component</w:t>
            </w:r>
          </w:p>
        </w:tc>
        <w:tc>
          <w:tcPr>
            <w:tcW w:w="0" w:type="auto"/>
            <w:vAlign w:val="center"/>
          </w:tcPr>
          <w:p w14:paraId="1CA618FF" w14:textId="77777777" w:rsidR="00BB1D05" w:rsidRPr="00C130D6" w:rsidRDefault="00831B28" w:rsidP="00C1461F">
            <w:pPr>
              <w:pStyle w:val="Compact"/>
              <w:spacing w:before="0"/>
              <w:jc w:val="center"/>
              <w:rPr>
                <w:b/>
                <w:bCs/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Evidence</w:t>
            </w:r>
          </w:p>
        </w:tc>
        <w:tc>
          <w:tcPr>
            <w:tcW w:w="0" w:type="auto"/>
            <w:vAlign w:val="center"/>
          </w:tcPr>
          <w:p w14:paraId="1CA61900" w14:textId="77777777" w:rsidR="00BB1D05" w:rsidRPr="00C130D6" w:rsidRDefault="00831B28" w:rsidP="00C1461F">
            <w:pPr>
              <w:pStyle w:val="Compact"/>
              <w:spacing w:before="0"/>
              <w:jc w:val="center"/>
              <w:rPr>
                <w:b/>
                <w:bCs/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Why it matters</w:t>
            </w:r>
          </w:p>
        </w:tc>
        <w:tc>
          <w:tcPr>
            <w:tcW w:w="0" w:type="auto"/>
            <w:vAlign w:val="center"/>
          </w:tcPr>
          <w:p w14:paraId="1CA61901" w14:textId="77777777" w:rsidR="00BB1D05" w:rsidRPr="00C130D6" w:rsidRDefault="00831B28" w:rsidP="00C1461F">
            <w:pPr>
              <w:pStyle w:val="Compact"/>
              <w:spacing w:before="0"/>
              <w:jc w:val="center"/>
              <w:rPr>
                <w:b/>
                <w:bCs/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Severity</w:t>
            </w:r>
          </w:p>
        </w:tc>
        <w:tc>
          <w:tcPr>
            <w:tcW w:w="0" w:type="auto"/>
            <w:vAlign w:val="center"/>
          </w:tcPr>
          <w:p w14:paraId="1CA61902" w14:textId="77777777" w:rsidR="00BB1D05" w:rsidRPr="00C130D6" w:rsidRDefault="00831B28" w:rsidP="00C1461F">
            <w:pPr>
              <w:pStyle w:val="Compact"/>
              <w:spacing w:before="0"/>
              <w:jc w:val="center"/>
              <w:rPr>
                <w:b/>
                <w:bCs/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What to fix</w:t>
            </w:r>
          </w:p>
        </w:tc>
        <w:tc>
          <w:tcPr>
            <w:tcW w:w="0" w:type="auto"/>
            <w:vAlign w:val="center"/>
          </w:tcPr>
          <w:p w14:paraId="1CA61903" w14:textId="77777777" w:rsidR="00BB1D05" w:rsidRPr="00C130D6" w:rsidRDefault="00831B28" w:rsidP="00C1461F">
            <w:pPr>
              <w:pStyle w:val="Compact"/>
              <w:spacing w:before="0"/>
              <w:jc w:val="center"/>
              <w:rPr>
                <w:b/>
                <w:bCs/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How to fix</w:t>
            </w:r>
          </w:p>
        </w:tc>
        <w:tc>
          <w:tcPr>
            <w:tcW w:w="0" w:type="auto"/>
            <w:vAlign w:val="center"/>
          </w:tcPr>
          <w:p w14:paraId="1CA61904" w14:textId="77777777" w:rsidR="00BB1D05" w:rsidRPr="00C130D6" w:rsidRDefault="00831B28" w:rsidP="00C1461F">
            <w:pPr>
              <w:pStyle w:val="Compact"/>
              <w:spacing w:before="0"/>
              <w:jc w:val="center"/>
              <w:rPr>
                <w:b/>
                <w:bCs/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Suggested owner</w:t>
            </w:r>
          </w:p>
        </w:tc>
        <w:tc>
          <w:tcPr>
            <w:tcW w:w="0" w:type="auto"/>
            <w:vAlign w:val="center"/>
          </w:tcPr>
          <w:p w14:paraId="1CA61905" w14:textId="77777777" w:rsidR="00BB1D05" w:rsidRPr="00C130D6" w:rsidRDefault="00831B28" w:rsidP="00C1461F">
            <w:pPr>
              <w:pStyle w:val="Compact"/>
              <w:spacing w:before="0"/>
              <w:jc w:val="center"/>
              <w:rPr>
                <w:b/>
                <w:bCs/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Effort</w:t>
            </w:r>
          </w:p>
        </w:tc>
        <w:tc>
          <w:tcPr>
            <w:tcW w:w="0" w:type="auto"/>
            <w:vAlign w:val="center"/>
          </w:tcPr>
          <w:p w14:paraId="1CA61906" w14:textId="77777777" w:rsidR="00BB1D05" w:rsidRPr="00C130D6" w:rsidRDefault="00831B28" w:rsidP="00C1461F">
            <w:pPr>
              <w:pStyle w:val="Compact"/>
              <w:spacing w:before="0"/>
              <w:jc w:val="center"/>
              <w:rPr>
                <w:b/>
                <w:bCs/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Priority order</w:t>
            </w:r>
          </w:p>
        </w:tc>
      </w:tr>
      <w:tr w:rsidR="00BB1D05" w:rsidRPr="00C130D6" w14:paraId="1CA61912" w14:textId="77777777">
        <w:tc>
          <w:tcPr>
            <w:tcW w:w="0" w:type="auto"/>
          </w:tcPr>
          <w:p w14:paraId="1CA6190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Business purpose &amp; clarity</w:t>
            </w:r>
          </w:p>
        </w:tc>
        <w:tc>
          <w:tcPr>
            <w:tcW w:w="0" w:type="auto"/>
          </w:tcPr>
          <w:p w14:paraId="1CA6190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evidence]</w:t>
            </w:r>
            <w:r w:rsidRPr="00C130D6">
              <w:rPr>
                <w:sz w:val="15"/>
                <w:szCs w:val="15"/>
              </w:rPr>
              <w:t xml:space="preserve"> “AII Score”, “Flow Index”, “RAI Index”, “Debt Index”, “Quality Guardrail”, “AI Coverage” are displayed without definitions, scope, or formulas</w:t>
            </w:r>
          </w:p>
        </w:tc>
        <w:tc>
          <w:tcPr>
            <w:tcW w:w="0" w:type="auto"/>
          </w:tcPr>
          <w:p w14:paraId="1CA6190A" w14:textId="3F8EA892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Indices and core KPIs are shown prominently, but no metric dictionary or “how calculated” UI exists </w:t>
            </w:r>
          </w:p>
        </w:tc>
        <w:tc>
          <w:tcPr>
            <w:tcW w:w="0" w:type="auto"/>
          </w:tcPr>
          <w:p w14:paraId="1CA6190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CxOs will not trust or fund against numbers they cannot defend. Without definitions you cannot standardise measurement across the enterprise (institutionalisation goal).</w:t>
            </w:r>
          </w:p>
        </w:tc>
        <w:tc>
          <w:tcPr>
            <w:tcW w:w="0" w:type="auto"/>
          </w:tcPr>
          <w:p w14:paraId="1CA6190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Critical</w:t>
            </w:r>
          </w:p>
        </w:tc>
        <w:tc>
          <w:tcPr>
            <w:tcW w:w="0" w:type="auto"/>
          </w:tcPr>
          <w:p w14:paraId="1CA6190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Add a </w:t>
            </w:r>
            <w:r w:rsidRPr="00C130D6">
              <w:rPr>
                <w:b/>
                <w:bCs/>
                <w:sz w:val="15"/>
                <w:szCs w:val="15"/>
              </w:rPr>
              <w:t>metric dictionary + calculation transparency</w:t>
            </w:r>
          </w:p>
        </w:tc>
        <w:tc>
          <w:tcPr>
            <w:tcW w:w="0" w:type="auto"/>
          </w:tcPr>
          <w:p w14:paraId="1CA6190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an ⓘ icon on every KPI to open: definition, formula, numerator/denominator, inclusion/exclusion, owner, source systems, refresh cadence, last refresh, confidence/quality grade</w:t>
            </w:r>
          </w:p>
        </w:tc>
        <w:tc>
          <w:tcPr>
            <w:tcW w:w="0" w:type="auto"/>
          </w:tcPr>
          <w:p w14:paraId="1CA6190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Product + Data</w:t>
            </w:r>
          </w:p>
        </w:tc>
        <w:tc>
          <w:tcPr>
            <w:tcW w:w="0" w:type="auto"/>
          </w:tcPr>
          <w:p w14:paraId="1CA6191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1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1</w:t>
            </w:r>
          </w:p>
        </w:tc>
      </w:tr>
      <w:tr w:rsidR="00BB1D05" w:rsidRPr="00C130D6" w14:paraId="1CA6191D" w14:textId="77777777">
        <w:tc>
          <w:tcPr>
            <w:tcW w:w="0" w:type="auto"/>
          </w:tcPr>
          <w:p w14:paraId="1CA6191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KPIs &amp; decision support</w:t>
            </w:r>
          </w:p>
        </w:tc>
        <w:tc>
          <w:tcPr>
            <w:tcW w:w="0" w:type="auto"/>
          </w:tcPr>
          <w:p w14:paraId="1CA6191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evidence]</w:t>
            </w:r>
            <w:r w:rsidRPr="00C130D6">
              <w:rPr>
                <w:sz w:val="15"/>
                <w:szCs w:val="15"/>
              </w:rPr>
              <w:t xml:space="preserve"> ROI and value metrics lack attribution and validation</w:t>
            </w:r>
          </w:p>
        </w:tc>
        <w:tc>
          <w:tcPr>
            <w:tcW w:w="0" w:type="auto"/>
          </w:tcPr>
          <w:p w14:paraId="1CA61915" w14:textId="5EE5AFD8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“Portfolio ROI 3.7×” and “Value delivered £18.4M” are shown without methodology or validation status </w:t>
            </w:r>
          </w:p>
        </w:tc>
        <w:tc>
          <w:tcPr>
            <w:tcW w:w="0" w:type="auto"/>
          </w:tcPr>
          <w:p w14:paraId="1CA6191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Finance-grade value tracking is essential to institutionalise AI (otherwise benefits become anecdotes).</w:t>
            </w:r>
          </w:p>
        </w:tc>
        <w:tc>
          <w:tcPr>
            <w:tcW w:w="0" w:type="auto"/>
          </w:tcPr>
          <w:p w14:paraId="1CA6191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Critical</w:t>
            </w:r>
          </w:p>
        </w:tc>
        <w:tc>
          <w:tcPr>
            <w:tcW w:w="0" w:type="auto"/>
          </w:tcPr>
          <w:p w14:paraId="1CA6191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Make value tracking finance-grade</w:t>
            </w:r>
          </w:p>
        </w:tc>
        <w:tc>
          <w:tcPr>
            <w:tcW w:w="0" w:type="auto"/>
          </w:tcPr>
          <w:p w14:paraId="1CA6191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Split into: </w:t>
            </w:r>
            <w:r w:rsidRPr="00C130D6">
              <w:rPr>
                <w:b/>
                <w:bCs/>
                <w:sz w:val="15"/>
                <w:szCs w:val="15"/>
              </w:rPr>
              <w:t>Forecast vs Realised</w:t>
            </w:r>
            <w:r w:rsidRPr="00C130D6">
              <w:rPr>
                <w:sz w:val="15"/>
                <w:szCs w:val="15"/>
              </w:rPr>
              <w:t>, “Validated by Finance (Y/N)”, payback period, benefit type (cost-out vs revenue vs risk reduction), confidence bands; link each initiative to the cost ledger</w:t>
            </w:r>
          </w:p>
        </w:tc>
        <w:tc>
          <w:tcPr>
            <w:tcW w:w="0" w:type="auto"/>
          </w:tcPr>
          <w:p w14:paraId="1CA6191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Finance + Product + Data</w:t>
            </w:r>
          </w:p>
        </w:tc>
        <w:tc>
          <w:tcPr>
            <w:tcW w:w="0" w:type="auto"/>
          </w:tcPr>
          <w:p w14:paraId="1CA6191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1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2</w:t>
            </w:r>
          </w:p>
        </w:tc>
      </w:tr>
      <w:tr w:rsidR="00BB1D05" w:rsidRPr="00C130D6" w14:paraId="1CA61928" w14:textId="77777777">
        <w:tc>
          <w:tcPr>
            <w:tcW w:w="0" w:type="auto"/>
          </w:tcPr>
          <w:p w14:paraId="1CA6191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Information architecture</w:t>
            </w:r>
          </w:p>
        </w:tc>
        <w:tc>
          <w:tcPr>
            <w:tcW w:w="0" w:type="auto"/>
          </w:tcPr>
          <w:p w14:paraId="1CA6191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feature]</w:t>
            </w:r>
            <w:r w:rsidRPr="00C130D6">
              <w:rPr>
                <w:sz w:val="15"/>
                <w:szCs w:val="15"/>
              </w:rPr>
              <w:t xml:space="preserve"> No global filters (time range, geography, BU, function, train, use case)</w:t>
            </w:r>
          </w:p>
        </w:tc>
        <w:tc>
          <w:tcPr>
            <w:tcW w:w="0" w:type="auto"/>
          </w:tcPr>
          <w:p w14:paraId="1CA61920" w14:textId="2C97E443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Prototype has only view toggle and baseline/pilot toggle; no segmentation controls are visible </w:t>
            </w:r>
          </w:p>
        </w:tc>
        <w:tc>
          <w:tcPr>
            <w:tcW w:w="0" w:type="auto"/>
          </w:tcPr>
          <w:p w14:paraId="1CA6192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Aggregate metrics prevent targeted intervention. Institutionalisation requires pinpointing </w:t>
            </w:r>
            <w:r w:rsidRPr="00C130D6">
              <w:rPr>
                <w:i/>
                <w:iCs/>
                <w:sz w:val="15"/>
                <w:szCs w:val="15"/>
              </w:rPr>
              <w:t>where adoption is stuck</w:t>
            </w:r>
            <w:r w:rsidRPr="00C130D6">
              <w:rPr>
                <w:sz w:val="15"/>
                <w:szCs w:val="15"/>
              </w:rPr>
              <w:t xml:space="preserve"> and </w:t>
            </w:r>
            <w:r w:rsidRPr="00C130D6">
              <w:rPr>
                <w:i/>
                <w:iCs/>
                <w:sz w:val="15"/>
                <w:szCs w:val="15"/>
              </w:rPr>
              <w:t>where risk is concentrated</w:t>
            </w:r>
            <w:r w:rsidRPr="00C130D6">
              <w:rPr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1CA61922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Critical</w:t>
            </w:r>
          </w:p>
        </w:tc>
        <w:tc>
          <w:tcPr>
            <w:tcW w:w="0" w:type="auto"/>
          </w:tcPr>
          <w:p w14:paraId="1CA6192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global filter bar + segmentation</w:t>
            </w:r>
          </w:p>
        </w:tc>
        <w:tc>
          <w:tcPr>
            <w:tcW w:w="0" w:type="auto"/>
          </w:tcPr>
          <w:p w14:paraId="1CA6192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persistent filters: Time (W/M/Q/YTD), Geography, BU/Account, Function, Delivery train, Use case, Model tier. Ensure every chart/card responds and supports “Compare vs peer”</w:t>
            </w:r>
          </w:p>
        </w:tc>
        <w:tc>
          <w:tcPr>
            <w:tcW w:w="0" w:type="auto"/>
          </w:tcPr>
          <w:p w14:paraId="1CA6192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Product + Design + Data</w:t>
            </w:r>
          </w:p>
        </w:tc>
        <w:tc>
          <w:tcPr>
            <w:tcW w:w="0" w:type="auto"/>
          </w:tcPr>
          <w:p w14:paraId="1CA6192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L</w:t>
            </w:r>
          </w:p>
        </w:tc>
        <w:tc>
          <w:tcPr>
            <w:tcW w:w="0" w:type="auto"/>
          </w:tcPr>
          <w:p w14:paraId="1CA6192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3</w:t>
            </w:r>
          </w:p>
        </w:tc>
      </w:tr>
      <w:tr w:rsidR="00BB1D05" w:rsidRPr="00C130D6" w14:paraId="1CA61933" w14:textId="77777777">
        <w:tc>
          <w:tcPr>
            <w:tcW w:w="0" w:type="auto"/>
          </w:tcPr>
          <w:p w14:paraId="1CA6192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Core workflows</w:t>
            </w:r>
          </w:p>
        </w:tc>
        <w:tc>
          <w:tcPr>
            <w:tcW w:w="0" w:type="auto"/>
          </w:tcPr>
          <w:p w14:paraId="1CA6192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[Weak implementation]</w:t>
            </w:r>
            <w:r w:rsidRPr="00C130D6">
              <w:rPr>
                <w:sz w:val="15"/>
                <w:szCs w:val="15"/>
              </w:rPr>
              <w:t xml:space="preserve"> The cockpit shows “signals” but doesn’t support a remediation workflow</w:t>
            </w:r>
          </w:p>
        </w:tc>
        <w:tc>
          <w:tcPr>
            <w:tcW w:w="0" w:type="auto"/>
          </w:tcPr>
          <w:p w14:paraId="1CA6192B" w14:textId="5A1C9C4E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Signals like “Shadow AI”, “Prompt debt”, “Forecast drift” appear, but no structured workflow states are shown </w:t>
            </w:r>
          </w:p>
        </w:tc>
        <w:tc>
          <w:tcPr>
            <w:tcW w:w="0" w:type="auto"/>
          </w:tcPr>
          <w:p w14:paraId="1CA6192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Leaders need an operating rhythm: detect → assign → remediate → verify. Otherwise risks persist quarter over quarter.</w:t>
            </w:r>
          </w:p>
        </w:tc>
        <w:tc>
          <w:tcPr>
            <w:tcW w:w="0" w:type="auto"/>
          </w:tcPr>
          <w:p w14:paraId="1CA6192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1CA6192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Turn signals into “work items” with lifecycle</w:t>
            </w:r>
          </w:p>
        </w:tc>
        <w:tc>
          <w:tcPr>
            <w:tcW w:w="0" w:type="auto"/>
          </w:tcPr>
          <w:p w14:paraId="1CA6192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Introduce an “Action Centre” object: signal → severity → owner → due date → progress → evidence of closure; integrate with Jira/ServiceNow tasks</w:t>
            </w:r>
          </w:p>
        </w:tc>
        <w:tc>
          <w:tcPr>
            <w:tcW w:w="0" w:type="auto"/>
          </w:tcPr>
          <w:p w14:paraId="1CA6193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Product + Ops</w:t>
            </w:r>
          </w:p>
        </w:tc>
        <w:tc>
          <w:tcPr>
            <w:tcW w:w="0" w:type="auto"/>
          </w:tcPr>
          <w:p w14:paraId="1CA6193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32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4</w:t>
            </w:r>
          </w:p>
        </w:tc>
      </w:tr>
      <w:tr w:rsidR="00BB1D05" w:rsidRPr="00C130D6" w14:paraId="1CA6193E" w14:textId="77777777">
        <w:tc>
          <w:tcPr>
            <w:tcW w:w="0" w:type="auto"/>
          </w:tcPr>
          <w:p w14:paraId="1CA6193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Prompt/input design</w:t>
            </w:r>
          </w:p>
        </w:tc>
        <w:tc>
          <w:tcPr>
            <w:tcW w:w="0" w:type="auto"/>
          </w:tcPr>
          <w:p w14:paraId="1CA6193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feature]</w:t>
            </w:r>
            <w:r w:rsidRPr="00C130D6">
              <w:rPr>
                <w:sz w:val="15"/>
                <w:szCs w:val="15"/>
              </w:rPr>
              <w:t xml:space="preserve"> No AI-assisted interrogation of </w:t>
            </w:r>
            <w:r w:rsidRPr="00C130D6">
              <w:rPr>
                <w:sz w:val="15"/>
                <w:szCs w:val="15"/>
              </w:rPr>
              <w:lastRenderedPageBreak/>
              <w:t>the dashboard (“ask why / what changed / what to do”)</w:t>
            </w:r>
          </w:p>
        </w:tc>
        <w:tc>
          <w:tcPr>
            <w:tcW w:w="0" w:type="auto"/>
          </w:tcPr>
          <w:p w14:paraId="1CA61936" w14:textId="16A53E7F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 xml:space="preserve">Dashboard presents static sections; no prompt area exists </w:t>
            </w:r>
          </w:p>
        </w:tc>
        <w:tc>
          <w:tcPr>
            <w:tcW w:w="0" w:type="auto"/>
          </w:tcPr>
          <w:p w14:paraId="1CA6193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Your business goal is institutionalising AI; an AI cockpit that </w:t>
            </w:r>
            <w:r w:rsidRPr="00C130D6">
              <w:rPr>
                <w:sz w:val="15"/>
                <w:szCs w:val="15"/>
              </w:rPr>
              <w:lastRenderedPageBreak/>
              <w:t>cannot be queried is a missed opportunity—especially for execs who want “explain the drivers”.</w:t>
            </w:r>
          </w:p>
        </w:tc>
        <w:tc>
          <w:tcPr>
            <w:tcW w:w="0" w:type="auto"/>
          </w:tcPr>
          <w:p w14:paraId="1CA6193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>Medium</w:t>
            </w:r>
          </w:p>
        </w:tc>
        <w:tc>
          <w:tcPr>
            <w:tcW w:w="0" w:type="auto"/>
          </w:tcPr>
          <w:p w14:paraId="1CA6193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Add an “Explain this” / “Ask the </w:t>
            </w:r>
            <w:r w:rsidRPr="00C130D6">
              <w:rPr>
                <w:sz w:val="15"/>
                <w:szCs w:val="15"/>
              </w:rPr>
              <w:lastRenderedPageBreak/>
              <w:t>cockpit” layer</w:t>
            </w:r>
          </w:p>
        </w:tc>
        <w:tc>
          <w:tcPr>
            <w:tcW w:w="0" w:type="auto"/>
          </w:tcPr>
          <w:p w14:paraId="1CA6193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 xml:space="preserve">Provide scoped Q&amp;A with guardrails: pre-approved questions, dataset-bound </w:t>
            </w:r>
            <w:r w:rsidRPr="00C130D6">
              <w:rPr>
                <w:sz w:val="15"/>
                <w:szCs w:val="15"/>
              </w:rPr>
              <w:lastRenderedPageBreak/>
              <w:t>answers, citations back to underlying measures; log queries for analytics</w:t>
            </w:r>
          </w:p>
        </w:tc>
        <w:tc>
          <w:tcPr>
            <w:tcW w:w="0" w:type="auto"/>
          </w:tcPr>
          <w:p w14:paraId="1CA6193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>Product + AI/ML</w:t>
            </w:r>
          </w:p>
        </w:tc>
        <w:tc>
          <w:tcPr>
            <w:tcW w:w="0" w:type="auto"/>
          </w:tcPr>
          <w:p w14:paraId="1CA6193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3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12</w:t>
            </w:r>
          </w:p>
        </w:tc>
      </w:tr>
      <w:tr w:rsidR="00BB1D05" w:rsidRPr="00C130D6" w14:paraId="1CA61949" w14:textId="77777777">
        <w:tc>
          <w:tcPr>
            <w:tcW w:w="0" w:type="auto"/>
          </w:tcPr>
          <w:p w14:paraId="1CA6193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Output quality &amp; explainability</w:t>
            </w:r>
          </w:p>
        </w:tc>
        <w:tc>
          <w:tcPr>
            <w:tcW w:w="0" w:type="auto"/>
          </w:tcPr>
          <w:p w14:paraId="1CA6194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evidence]</w:t>
            </w:r>
            <w:r w:rsidRPr="00C130D6">
              <w:rPr>
                <w:sz w:val="15"/>
                <w:szCs w:val="15"/>
              </w:rPr>
              <w:t xml:space="preserve"> “Top signals” and “benchmarks” contain conclusions without drill-down evidence</w:t>
            </w:r>
          </w:p>
        </w:tc>
        <w:tc>
          <w:tcPr>
            <w:tcW w:w="0" w:type="auto"/>
          </w:tcPr>
          <w:p w14:paraId="1CA61941" w14:textId="5C5B3FAA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E.g., narrative claims about lead/lag and ROI vs sector, but no data source links/citations </w:t>
            </w:r>
          </w:p>
        </w:tc>
        <w:tc>
          <w:tcPr>
            <w:tcW w:w="0" w:type="auto"/>
          </w:tcPr>
          <w:p w14:paraId="1CA61942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Execs will challenge benchmark claims; without evidence you can’t use it for board narrative.</w:t>
            </w:r>
          </w:p>
        </w:tc>
        <w:tc>
          <w:tcPr>
            <w:tcW w:w="0" w:type="auto"/>
          </w:tcPr>
          <w:p w14:paraId="1CA6194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1CA6194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Provide benchmarking provenance</w:t>
            </w:r>
          </w:p>
        </w:tc>
        <w:tc>
          <w:tcPr>
            <w:tcW w:w="0" w:type="auto"/>
          </w:tcPr>
          <w:p w14:paraId="1CA6194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Provide uplift drivers, peer set definition, data provenance (e.g., industry survey vs internal), and last update; allow “view peer distribution”</w:t>
            </w:r>
          </w:p>
        </w:tc>
        <w:tc>
          <w:tcPr>
            <w:tcW w:w="0" w:type="auto"/>
          </w:tcPr>
          <w:p w14:paraId="1CA6194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Product + Data</w:t>
            </w:r>
          </w:p>
        </w:tc>
        <w:tc>
          <w:tcPr>
            <w:tcW w:w="0" w:type="auto"/>
          </w:tcPr>
          <w:p w14:paraId="1CA6194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4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6</w:t>
            </w:r>
          </w:p>
        </w:tc>
      </w:tr>
      <w:tr w:rsidR="00BB1D05" w:rsidRPr="00C130D6" w14:paraId="1CA61954" w14:textId="77777777">
        <w:tc>
          <w:tcPr>
            <w:tcW w:w="0" w:type="auto"/>
          </w:tcPr>
          <w:p w14:paraId="1CA6194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Confidence, citations, traceability</w:t>
            </w:r>
          </w:p>
        </w:tc>
        <w:tc>
          <w:tcPr>
            <w:tcW w:w="0" w:type="auto"/>
          </w:tcPr>
          <w:p w14:paraId="1CA6194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feature]</w:t>
            </w:r>
            <w:r w:rsidRPr="00C130D6">
              <w:rPr>
                <w:sz w:val="15"/>
                <w:szCs w:val="15"/>
              </w:rPr>
              <w:t xml:space="preserve"> No audit trail / evidence pack per use case and per metric</w:t>
            </w:r>
          </w:p>
        </w:tc>
        <w:tc>
          <w:tcPr>
            <w:tcW w:w="0" w:type="auto"/>
          </w:tcPr>
          <w:p w14:paraId="1CA6194C" w14:textId="33A63912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“Audit Logging … immutable cold storage” is stated, but no linkouts or evidence views </w:t>
            </w:r>
          </w:p>
        </w:tc>
        <w:tc>
          <w:tcPr>
            <w:tcW w:w="0" w:type="auto"/>
          </w:tcPr>
          <w:p w14:paraId="1CA6194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Institutionalisation requires auditability (policy-to-production). Also supports EU AI Act and ISO 42001 style management controls. </w:t>
            </w:r>
            <w:hyperlink r:id="rId9">
              <w:r w:rsidRPr="00C130D6">
                <w:rPr>
                  <w:rStyle w:val="Hyperlink"/>
                  <w:sz w:val="15"/>
                  <w:szCs w:val="15"/>
                </w:rPr>
                <w:t>[5]</w:t>
              </w:r>
            </w:hyperlink>
          </w:p>
        </w:tc>
        <w:tc>
          <w:tcPr>
            <w:tcW w:w="0" w:type="auto"/>
          </w:tcPr>
          <w:p w14:paraId="1CA6194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Critical</w:t>
            </w:r>
          </w:p>
        </w:tc>
        <w:tc>
          <w:tcPr>
            <w:tcW w:w="0" w:type="auto"/>
          </w:tcPr>
          <w:p w14:paraId="1CA6194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evidence packs and traceability links</w:t>
            </w:r>
          </w:p>
        </w:tc>
        <w:tc>
          <w:tcPr>
            <w:tcW w:w="0" w:type="auto"/>
          </w:tcPr>
          <w:p w14:paraId="1CA6195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For each use case: model card, data sheet, risk assessment, approvals, evaluation results, pen test status, incident history, user adoption, cost; store as an “evidence pack” with immutable snapshots</w:t>
            </w:r>
          </w:p>
        </w:tc>
        <w:tc>
          <w:tcPr>
            <w:tcW w:w="0" w:type="auto"/>
          </w:tcPr>
          <w:p w14:paraId="1CA6195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Governance + Security + AI/ML</w:t>
            </w:r>
          </w:p>
        </w:tc>
        <w:tc>
          <w:tcPr>
            <w:tcW w:w="0" w:type="auto"/>
          </w:tcPr>
          <w:p w14:paraId="1CA61952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L</w:t>
            </w:r>
          </w:p>
        </w:tc>
        <w:tc>
          <w:tcPr>
            <w:tcW w:w="0" w:type="auto"/>
          </w:tcPr>
          <w:p w14:paraId="1CA6195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5</w:t>
            </w:r>
          </w:p>
        </w:tc>
      </w:tr>
      <w:tr w:rsidR="00BB1D05" w:rsidRPr="00C130D6" w14:paraId="1CA6195F" w14:textId="77777777">
        <w:tc>
          <w:tcPr>
            <w:tcW w:w="0" w:type="auto"/>
          </w:tcPr>
          <w:p w14:paraId="1CA6195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Feedback loops &amp; HITL controls</w:t>
            </w:r>
          </w:p>
        </w:tc>
        <w:tc>
          <w:tcPr>
            <w:tcW w:w="0" w:type="auto"/>
          </w:tcPr>
          <w:p w14:paraId="1CA6195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[Weak implementation]</w:t>
            </w:r>
            <w:r w:rsidRPr="00C130D6">
              <w:rPr>
                <w:sz w:val="15"/>
                <w:szCs w:val="15"/>
              </w:rPr>
              <w:t xml:space="preserve"> Oversight gateway shows routing percentages but not quality of oversight</w:t>
            </w:r>
          </w:p>
        </w:tc>
        <w:tc>
          <w:tcPr>
            <w:tcW w:w="0" w:type="auto"/>
          </w:tcPr>
          <w:p w14:paraId="1CA61957" w14:textId="0AE838FD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Auto-resolved 72%, supervised 21%, escalated 7%; pending escalations list, but no SLA/throughput metrics </w:t>
            </w:r>
          </w:p>
        </w:tc>
        <w:tc>
          <w:tcPr>
            <w:tcW w:w="0" w:type="auto"/>
          </w:tcPr>
          <w:p w14:paraId="1CA6195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If review is slow or low-quality, risk accumulates or business slows. Leaders need review SLAs and sampling efficacy.</w:t>
            </w:r>
          </w:p>
        </w:tc>
        <w:tc>
          <w:tcPr>
            <w:tcW w:w="0" w:type="auto"/>
          </w:tcPr>
          <w:p w14:paraId="1CA6195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1CA6195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oversight performance metrics</w:t>
            </w:r>
          </w:p>
        </w:tc>
        <w:tc>
          <w:tcPr>
            <w:tcW w:w="0" w:type="auto"/>
          </w:tcPr>
          <w:p w14:paraId="1CA6195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Add: review SLA (p50/p95), backlog ageing, reviewer capacity, sampling plan coverage, false positive/false negative rates for escalations</w:t>
            </w:r>
          </w:p>
        </w:tc>
        <w:tc>
          <w:tcPr>
            <w:tcW w:w="0" w:type="auto"/>
          </w:tcPr>
          <w:p w14:paraId="1CA6195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Ops + Governance</w:t>
            </w:r>
          </w:p>
        </w:tc>
        <w:tc>
          <w:tcPr>
            <w:tcW w:w="0" w:type="auto"/>
          </w:tcPr>
          <w:p w14:paraId="1CA6195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5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7</w:t>
            </w:r>
          </w:p>
        </w:tc>
      </w:tr>
      <w:tr w:rsidR="00BB1D05" w:rsidRPr="00C130D6" w14:paraId="1CA6196A" w14:textId="77777777">
        <w:tc>
          <w:tcPr>
            <w:tcW w:w="0" w:type="auto"/>
          </w:tcPr>
          <w:p w14:paraId="1CA6196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Personalisation &amp; relevance</w:t>
            </w:r>
          </w:p>
        </w:tc>
        <w:tc>
          <w:tcPr>
            <w:tcW w:w="0" w:type="auto"/>
          </w:tcPr>
          <w:p w14:paraId="1CA6196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feature]</w:t>
            </w:r>
            <w:r w:rsidRPr="00C130D6">
              <w:rPr>
                <w:sz w:val="15"/>
                <w:szCs w:val="15"/>
              </w:rPr>
              <w:t xml:space="preserve"> No role-tailoring (CxO vs CIO vs Delivery leader vs Risk leads) beyond the two views</w:t>
            </w:r>
          </w:p>
        </w:tc>
        <w:tc>
          <w:tcPr>
            <w:tcW w:w="0" w:type="auto"/>
          </w:tcPr>
          <w:p w14:paraId="1CA61962" w14:textId="09DF0666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Only “Strategic” and “Delivery” toggles exist </w:t>
            </w:r>
          </w:p>
        </w:tc>
        <w:tc>
          <w:tcPr>
            <w:tcW w:w="0" w:type="auto"/>
          </w:tcPr>
          <w:p w14:paraId="1CA6196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Different leaders need different decision prompts: CFO needs value &amp; cost, CISO needs security posture, CIO needs flow/quality, CHRO needs capability.</w:t>
            </w:r>
          </w:p>
        </w:tc>
        <w:tc>
          <w:tcPr>
            <w:tcW w:w="0" w:type="auto"/>
          </w:tcPr>
          <w:p w14:paraId="1CA6196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1CA6196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role-based landing + saved views</w:t>
            </w:r>
          </w:p>
        </w:tc>
        <w:tc>
          <w:tcPr>
            <w:tcW w:w="0" w:type="auto"/>
          </w:tcPr>
          <w:p w14:paraId="1CA6196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Implement role-specific “home” views and saved filters; show “Your top actions” per role</w:t>
            </w:r>
          </w:p>
        </w:tc>
        <w:tc>
          <w:tcPr>
            <w:tcW w:w="0" w:type="auto"/>
          </w:tcPr>
          <w:p w14:paraId="1CA6196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Product + Design</w:t>
            </w:r>
          </w:p>
        </w:tc>
        <w:tc>
          <w:tcPr>
            <w:tcW w:w="0" w:type="auto"/>
          </w:tcPr>
          <w:p w14:paraId="1CA6196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6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13</w:t>
            </w:r>
          </w:p>
        </w:tc>
      </w:tr>
      <w:tr w:rsidR="00BB1D05" w:rsidRPr="00C130D6" w14:paraId="1CA61975" w14:textId="77777777">
        <w:tc>
          <w:tcPr>
            <w:tcW w:w="0" w:type="auto"/>
          </w:tcPr>
          <w:p w14:paraId="1CA6196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Alerts &amp; exception handling</w:t>
            </w:r>
          </w:p>
        </w:tc>
        <w:tc>
          <w:tcPr>
            <w:tcW w:w="0" w:type="auto"/>
          </w:tcPr>
          <w:p w14:paraId="1CA6196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[Weak implementation]</w:t>
            </w:r>
            <w:r w:rsidRPr="00C130D6">
              <w:rPr>
                <w:sz w:val="15"/>
                <w:szCs w:val="15"/>
              </w:rPr>
              <w:t xml:space="preserve"> Alerts are not measurable (no thresholds, no alert volume trends, no MTTA/MTTR)</w:t>
            </w:r>
          </w:p>
        </w:tc>
        <w:tc>
          <w:tcPr>
            <w:tcW w:w="0" w:type="auto"/>
          </w:tcPr>
          <w:p w14:paraId="1CA6196D" w14:textId="4C052B48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Signals appear as labels and a short list; cost budget at 82% shown but no trend/forecast visuals </w:t>
            </w:r>
          </w:p>
        </w:tc>
        <w:tc>
          <w:tcPr>
            <w:tcW w:w="0" w:type="auto"/>
          </w:tcPr>
          <w:p w14:paraId="1CA6196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Without proper alerting, leaders discover issues too late (quarterly).</w:t>
            </w:r>
          </w:p>
        </w:tc>
        <w:tc>
          <w:tcPr>
            <w:tcW w:w="0" w:type="auto"/>
          </w:tcPr>
          <w:p w14:paraId="1CA6196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1CA6197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alert telemetry &amp; SLOs</w:t>
            </w:r>
          </w:p>
        </w:tc>
        <w:tc>
          <w:tcPr>
            <w:tcW w:w="0" w:type="auto"/>
          </w:tcPr>
          <w:p w14:paraId="1CA6197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Add: alert count by class, time-to-ack (MTTA), time-to-close, recurrence rate; include forecast for budget burn and drift</w:t>
            </w:r>
          </w:p>
        </w:tc>
        <w:tc>
          <w:tcPr>
            <w:tcW w:w="0" w:type="auto"/>
          </w:tcPr>
          <w:p w14:paraId="1CA61972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Ops + Data</w:t>
            </w:r>
          </w:p>
        </w:tc>
        <w:tc>
          <w:tcPr>
            <w:tcW w:w="0" w:type="auto"/>
          </w:tcPr>
          <w:p w14:paraId="1CA6197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7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8</w:t>
            </w:r>
          </w:p>
        </w:tc>
      </w:tr>
      <w:tr w:rsidR="00BB1D05" w:rsidRPr="00C130D6" w14:paraId="1CA61980" w14:textId="77777777">
        <w:tc>
          <w:tcPr>
            <w:tcW w:w="0" w:type="auto"/>
          </w:tcPr>
          <w:p w14:paraId="1CA6197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>Data quality, freshness, lineage</w:t>
            </w:r>
          </w:p>
        </w:tc>
        <w:tc>
          <w:tcPr>
            <w:tcW w:w="0" w:type="auto"/>
          </w:tcPr>
          <w:p w14:paraId="1CA6197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evidence]</w:t>
            </w:r>
            <w:r w:rsidRPr="00C130D6">
              <w:rPr>
                <w:sz w:val="15"/>
                <w:szCs w:val="15"/>
              </w:rPr>
              <w:t xml:space="preserve"> Only a quarterly refresh is stated; pipeline health not visible</w:t>
            </w:r>
          </w:p>
        </w:tc>
        <w:tc>
          <w:tcPr>
            <w:tcW w:w="0" w:type="auto"/>
          </w:tcPr>
          <w:p w14:paraId="1CA61978" w14:textId="7D5A33C8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“Data as of 08 Apr 2026 · Next refresh 08 Jul 2026” </w:t>
            </w:r>
          </w:p>
        </w:tc>
        <w:tc>
          <w:tcPr>
            <w:tcW w:w="0" w:type="auto"/>
          </w:tcPr>
          <w:p w14:paraId="1CA6197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Risk and cost metrics need much faster cadence (weekly/daily for incidents &amp; spending). Without pipeline health, you can’t trust the numbers.</w:t>
            </w:r>
          </w:p>
        </w:tc>
        <w:tc>
          <w:tcPr>
            <w:tcW w:w="0" w:type="auto"/>
          </w:tcPr>
          <w:p w14:paraId="1CA6197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1CA6197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freshness and pipeline SLOs</w:t>
            </w:r>
          </w:p>
        </w:tc>
        <w:tc>
          <w:tcPr>
            <w:tcW w:w="0" w:type="auto"/>
          </w:tcPr>
          <w:p w14:paraId="1CA6197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Show per-source ingestion status (Jira/GitHub/ServiceNow/etc.), last successful run, completeness %, anomalies, and data latency; separate daily operational metrics from quarterly maturity metrics</w:t>
            </w:r>
          </w:p>
        </w:tc>
        <w:tc>
          <w:tcPr>
            <w:tcW w:w="0" w:type="auto"/>
          </w:tcPr>
          <w:p w14:paraId="1CA6197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Data + Engineering</w:t>
            </w:r>
          </w:p>
        </w:tc>
        <w:tc>
          <w:tcPr>
            <w:tcW w:w="0" w:type="auto"/>
          </w:tcPr>
          <w:p w14:paraId="1CA6197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7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9</w:t>
            </w:r>
          </w:p>
        </w:tc>
      </w:tr>
      <w:tr w:rsidR="00BB1D05" w:rsidRPr="00C130D6" w14:paraId="1CA6198B" w14:textId="77777777">
        <w:tc>
          <w:tcPr>
            <w:tcW w:w="0" w:type="auto"/>
          </w:tcPr>
          <w:p w14:paraId="1CA6198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KPIs &amp; instrumentation</w:t>
            </w:r>
          </w:p>
        </w:tc>
        <w:tc>
          <w:tcPr>
            <w:tcW w:w="0" w:type="auto"/>
          </w:tcPr>
          <w:p w14:paraId="1CA61982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feature]</w:t>
            </w:r>
            <w:r w:rsidRPr="00C130D6">
              <w:rPr>
                <w:sz w:val="15"/>
                <w:szCs w:val="15"/>
              </w:rPr>
              <w:t xml:space="preserve"> Missing adoption </w:t>
            </w:r>
            <w:r w:rsidRPr="00C130D6">
              <w:rPr>
                <w:i/>
                <w:iCs/>
                <w:sz w:val="15"/>
                <w:szCs w:val="15"/>
              </w:rPr>
              <w:t>behaviour</w:t>
            </w:r>
            <w:r w:rsidRPr="00C130D6">
              <w:rPr>
                <w:sz w:val="15"/>
                <w:szCs w:val="15"/>
              </w:rPr>
              <w:t xml:space="preserve"> metrics (not just “AI coverage”)</w:t>
            </w:r>
          </w:p>
        </w:tc>
        <w:tc>
          <w:tcPr>
            <w:tcW w:w="0" w:type="auto"/>
          </w:tcPr>
          <w:p w14:paraId="1CA61983" w14:textId="08817C91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AI Coverage is shown (e.g., 63%), but usage metrics are absent </w:t>
            </w:r>
          </w:p>
        </w:tc>
        <w:tc>
          <w:tcPr>
            <w:tcW w:w="0" w:type="auto"/>
          </w:tcPr>
          <w:p w14:paraId="1CA6198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“Coverage” can be gamed. Institutionalisation requires sustained usage, retention, and measurable behaviour change.</w:t>
            </w:r>
          </w:p>
        </w:tc>
        <w:tc>
          <w:tcPr>
            <w:tcW w:w="0" w:type="auto"/>
          </w:tcPr>
          <w:p w14:paraId="1CA6198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Critical</w:t>
            </w:r>
          </w:p>
        </w:tc>
        <w:tc>
          <w:tcPr>
            <w:tcW w:w="0" w:type="auto"/>
          </w:tcPr>
          <w:p w14:paraId="1CA6198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adoption funnel metrics</w:t>
            </w:r>
          </w:p>
        </w:tc>
        <w:tc>
          <w:tcPr>
            <w:tcW w:w="0" w:type="auto"/>
          </w:tcPr>
          <w:p w14:paraId="1CA6198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Track: DAU/WAU/MAU, active teams, sessions per user, repeat usage, retention (D7/D30), % workforce using approved tools, seat utilisation, adoption by persona/function</w:t>
            </w:r>
          </w:p>
        </w:tc>
        <w:tc>
          <w:tcPr>
            <w:tcW w:w="0" w:type="auto"/>
          </w:tcPr>
          <w:p w14:paraId="1CA6198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Data + Product</w:t>
            </w:r>
          </w:p>
        </w:tc>
        <w:tc>
          <w:tcPr>
            <w:tcW w:w="0" w:type="auto"/>
          </w:tcPr>
          <w:p w14:paraId="1CA6198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L</w:t>
            </w:r>
          </w:p>
        </w:tc>
        <w:tc>
          <w:tcPr>
            <w:tcW w:w="0" w:type="auto"/>
          </w:tcPr>
          <w:p w14:paraId="1CA6198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10</w:t>
            </w:r>
          </w:p>
        </w:tc>
      </w:tr>
      <w:tr w:rsidR="00BB1D05" w:rsidRPr="00C130D6" w14:paraId="1CA61996" w14:textId="77777777">
        <w:tc>
          <w:tcPr>
            <w:tcW w:w="0" w:type="auto"/>
          </w:tcPr>
          <w:p w14:paraId="1CA6198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Delivery performance</w:t>
            </w:r>
          </w:p>
        </w:tc>
        <w:tc>
          <w:tcPr>
            <w:tcW w:w="0" w:type="auto"/>
          </w:tcPr>
          <w:p w14:paraId="1CA6198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[Weak implementation]</w:t>
            </w:r>
            <w:r w:rsidRPr="00C130D6">
              <w:rPr>
                <w:sz w:val="15"/>
                <w:szCs w:val="15"/>
              </w:rPr>
              <w:t xml:space="preserve"> Productivity gain is a single % with unclear measurement</w:t>
            </w:r>
          </w:p>
        </w:tc>
        <w:tc>
          <w:tcPr>
            <w:tcW w:w="0" w:type="auto"/>
          </w:tcPr>
          <w:p w14:paraId="1CA6198E" w14:textId="6A94725B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“Net Productivity Gain” shown (pilot 18%, target 22%); baseline 0% suggests placeholder </w:t>
            </w:r>
          </w:p>
        </w:tc>
        <w:tc>
          <w:tcPr>
            <w:tcW w:w="0" w:type="auto"/>
          </w:tcPr>
          <w:p w14:paraId="1CA6198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Productivity claims are scrutinised; without measurement method you will lose credibility.</w:t>
            </w:r>
          </w:p>
        </w:tc>
        <w:tc>
          <w:tcPr>
            <w:tcW w:w="0" w:type="auto"/>
          </w:tcPr>
          <w:p w14:paraId="1CA6199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1CA6199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Make productivity measurement explicit</w:t>
            </w:r>
          </w:p>
        </w:tc>
        <w:tc>
          <w:tcPr>
            <w:tcW w:w="0" w:type="auto"/>
          </w:tcPr>
          <w:p w14:paraId="1CA61992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Define method (time-on-task, throughput, cycle-time deltas, avoided rework). Show breakdown by workflow (planning/build/run) and by train; add confidence intervals</w:t>
            </w:r>
          </w:p>
        </w:tc>
        <w:tc>
          <w:tcPr>
            <w:tcW w:w="0" w:type="auto"/>
          </w:tcPr>
          <w:p w14:paraId="1CA6199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Product + Data</w:t>
            </w:r>
          </w:p>
        </w:tc>
        <w:tc>
          <w:tcPr>
            <w:tcW w:w="0" w:type="auto"/>
          </w:tcPr>
          <w:p w14:paraId="1CA6199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9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11</w:t>
            </w:r>
          </w:p>
        </w:tc>
      </w:tr>
      <w:tr w:rsidR="00BB1D05" w:rsidRPr="00C130D6" w14:paraId="1CA619A1" w14:textId="77777777">
        <w:tc>
          <w:tcPr>
            <w:tcW w:w="0" w:type="auto"/>
          </w:tcPr>
          <w:p w14:paraId="1CA6199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Model performance monitoring</w:t>
            </w:r>
          </w:p>
        </w:tc>
        <w:tc>
          <w:tcPr>
            <w:tcW w:w="0" w:type="auto"/>
          </w:tcPr>
          <w:p w14:paraId="1CA6199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feature]</w:t>
            </w:r>
            <w:r w:rsidRPr="00C130D6">
              <w:rPr>
                <w:sz w:val="15"/>
                <w:szCs w:val="15"/>
              </w:rPr>
              <w:t xml:space="preserve"> No model/use-case level performance telemetry</w:t>
            </w:r>
          </w:p>
        </w:tc>
        <w:tc>
          <w:tcPr>
            <w:tcW w:w="0" w:type="auto"/>
          </w:tcPr>
          <w:p w14:paraId="1CA61999" w14:textId="5BF4094A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“Model mix” exists, plus “hallucination score below 0.1%” and “99.2% uptime”, but no per-model SLOs or trends </w:t>
            </w:r>
          </w:p>
        </w:tc>
        <w:tc>
          <w:tcPr>
            <w:tcW w:w="0" w:type="auto"/>
          </w:tcPr>
          <w:p w14:paraId="1CA6199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Without granular monitoring you can’t safely scale or compare model tiers; OWASP risks require measurable controls. </w:t>
            </w:r>
            <w:hyperlink r:id="rId10">
              <w:r w:rsidRPr="00C130D6">
                <w:rPr>
                  <w:rStyle w:val="Hyperlink"/>
                  <w:sz w:val="15"/>
                  <w:szCs w:val="15"/>
                </w:rPr>
                <w:t>[3]</w:t>
              </w:r>
            </w:hyperlink>
          </w:p>
        </w:tc>
        <w:tc>
          <w:tcPr>
            <w:tcW w:w="0" w:type="auto"/>
          </w:tcPr>
          <w:p w14:paraId="1CA6199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Critical</w:t>
            </w:r>
          </w:p>
        </w:tc>
        <w:tc>
          <w:tcPr>
            <w:tcW w:w="0" w:type="auto"/>
          </w:tcPr>
          <w:p w14:paraId="1CA6199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model monitoring panel</w:t>
            </w:r>
          </w:p>
        </w:tc>
        <w:tc>
          <w:tcPr>
            <w:tcW w:w="0" w:type="auto"/>
          </w:tcPr>
          <w:p w14:paraId="1CA6199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Track latency (p50/p95), error rate, timeout rate, token usage, cost per request, refusal rate, safety filter hit-rate, jailbreak/injection attempts, tool-call failure rate; slice by model, use case, geography</w:t>
            </w:r>
          </w:p>
        </w:tc>
        <w:tc>
          <w:tcPr>
            <w:tcW w:w="0" w:type="auto"/>
          </w:tcPr>
          <w:p w14:paraId="1CA6199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AI/ML + Engineering</w:t>
            </w:r>
          </w:p>
        </w:tc>
        <w:tc>
          <w:tcPr>
            <w:tcW w:w="0" w:type="auto"/>
          </w:tcPr>
          <w:p w14:paraId="1CA6199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L</w:t>
            </w:r>
          </w:p>
        </w:tc>
        <w:tc>
          <w:tcPr>
            <w:tcW w:w="0" w:type="auto"/>
          </w:tcPr>
          <w:p w14:paraId="1CA619A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14</w:t>
            </w:r>
          </w:p>
        </w:tc>
      </w:tr>
      <w:tr w:rsidR="00BB1D05" w:rsidRPr="00C130D6" w14:paraId="1CA619AC" w14:textId="77777777">
        <w:tc>
          <w:tcPr>
            <w:tcW w:w="0" w:type="auto"/>
          </w:tcPr>
          <w:p w14:paraId="1CA619A2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Hallucination &amp; output risk</w:t>
            </w:r>
          </w:p>
        </w:tc>
        <w:tc>
          <w:tcPr>
            <w:tcW w:w="0" w:type="auto"/>
          </w:tcPr>
          <w:p w14:paraId="1CA619A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evidence]</w:t>
            </w:r>
            <w:r w:rsidRPr="00C130D6">
              <w:rPr>
                <w:sz w:val="15"/>
                <w:szCs w:val="15"/>
              </w:rPr>
              <w:t xml:space="preserve"> “Hallucination score &lt;0.1%” is not credible without method, sample size, and definition</w:t>
            </w:r>
          </w:p>
        </w:tc>
        <w:tc>
          <w:tcPr>
            <w:tcW w:w="0" w:type="auto"/>
          </w:tcPr>
          <w:p w14:paraId="1CA619A4" w14:textId="3C153BDE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Appears as a policy control status line only </w:t>
            </w:r>
          </w:p>
        </w:tc>
        <w:tc>
          <w:tcPr>
            <w:tcW w:w="0" w:type="auto"/>
          </w:tcPr>
          <w:p w14:paraId="1CA619A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“Hallucination scoring” is non-trivial; leadership needs to know how it’s tested and what “passing” means to risk appetite.</w:t>
            </w:r>
          </w:p>
        </w:tc>
        <w:tc>
          <w:tcPr>
            <w:tcW w:w="0" w:type="auto"/>
          </w:tcPr>
          <w:p w14:paraId="1CA619A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1CA619A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Define and operationalise evaluation methodology</w:t>
            </w:r>
          </w:p>
        </w:tc>
        <w:tc>
          <w:tcPr>
            <w:tcW w:w="0" w:type="auto"/>
          </w:tcPr>
          <w:p w14:paraId="1CA619A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Create standard eval suites per workflow (golden sets), show pass rates over time, confidence intervals, and “unknown/untested” coverage; link to incidents</w:t>
            </w:r>
          </w:p>
        </w:tc>
        <w:tc>
          <w:tcPr>
            <w:tcW w:w="0" w:type="auto"/>
          </w:tcPr>
          <w:p w14:paraId="1CA619A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AI/ML + QA</w:t>
            </w:r>
          </w:p>
        </w:tc>
        <w:tc>
          <w:tcPr>
            <w:tcW w:w="0" w:type="auto"/>
          </w:tcPr>
          <w:p w14:paraId="1CA619A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L</w:t>
            </w:r>
          </w:p>
        </w:tc>
        <w:tc>
          <w:tcPr>
            <w:tcW w:w="0" w:type="auto"/>
          </w:tcPr>
          <w:p w14:paraId="1CA619A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15</w:t>
            </w:r>
          </w:p>
        </w:tc>
      </w:tr>
      <w:tr w:rsidR="00BB1D05" w:rsidRPr="00C130D6" w14:paraId="1CA619B7" w14:textId="77777777">
        <w:tc>
          <w:tcPr>
            <w:tcW w:w="0" w:type="auto"/>
          </w:tcPr>
          <w:p w14:paraId="1CA619A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Prompt security</w:t>
            </w:r>
          </w:p>
        </w:tc>
        <w:tc>
          <w:tcPr>
            <w:tcW w:w="0" w:type="auto"/>
          </w:tcPr>
          <w:p w14:paraId="1CA619A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[Weak implementation]</w:t>
            </w:r>
            <w:r w:rsidRPr="00C130D6">
              <w:rPr>
                <w:sz w:val="15"/>
                <w:szCs w:val="15"/>
              </w:rPr>
              <w:t xml:space="preserve"> Prompt injection is flagged, but you don’t measure attack attempts, coverage, or closure</w:t>
            </w:r>
          </w:p>
        </w:tc>
        <w:tc>
          <w:tcPr>
            <w:tcW w:w="0" w:type="auto"/>
          </w:tcPr>
          <w:p w14:paraId="1CA619AF" w14:textId="15A6814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“7/9 use cases not pen-tested for injection” and “Prompt Injection Guard … 3 suspicious patterns quarantined” </w:t>
            </w:r>
          </w:p>
        </w:tc>
        <w:tc>
          <w:tcPr>
            <w:tcW w:w="0" w:type="auto"/>
          </w:tcPr>
          <w:p w14:paraId="1CA619B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Prompt injection is a known top GenAI risk; measuring and closing coverage gaps is non-negotiable. </w:t>
            </w:r>
            <w:hyperlink r:id="rId11">
              <w:r w:rsidRPr="00C130D6">
                <w:rPr>
                  <w:rStyle w:val="Hyperlink"/>
                  <w:sz w:val="15"/>
                  <w:szCs w:val="15"/>
                </w:rPr>
                <w:t>[3]</w:t>
              </w:r>
            </w:hyperlink>
          </w:p>
        </w:tc>
        <w:tc>
          <w:tcPr>
            <w:tcW w:w="0" w:type="auto"/>
          </w:tcPr>
          <w:p w14:paraId="1CA619B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Critical</w:t>
            </w:r>
          </w:p>
        </w:tc>
        <w:tc>
          <w:tcPr>
            <w:tcW w:w="0" w:type="auto"/>
          </w:tcPr>
          <w:p w14:paraId="1CA619B2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prompt security control coverage</w:t>
            </w:r>
          </w:p>
        </w:tc>
        <w:tc>
          <w:tcPr>
            <w:tcW w:w="0" w:type="auto"/>
          </w:tcPr>
          <w:p w14:paraId="1CA619B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Add: % use cases injection-tested, last test date, open findings severity, fix SLA, attack attempts detected, false positives, prompt leakage incidents</w:t>
            </w:r>
          </w:p>
        </w:tc>
        <w:tc>
          <w:tcPr>
            <w:tcW w:w="0" w:type="auto"/>
          </w:tcPr>
          <w:p w14:paraId="1CA619B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Security + AI/ML</w:t>
            </w:r>
          </w:p>
        </w:tc>
        <w:tc>
          <w:tcPr>
            <w:tcW w:w="0" w:type="auto"/>
          </w:tcPr>
          <w:p w14:paraId="1CA619B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B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16</w:t>
            </w:r>
          </w:p>
        </w:tc>
      </w:tr>
      <w:tr w:rsidR="00BB1D05" w:rsidRPr="00C130D6" w14:paraId="1CA619C2" w14:textId="77777777">
        <w:tc>
          <w:tcPr>
            <w:tcW w:w="0" w:type="auto"/>
          </w:tcPr>
          <w:p w14:paraId="1CA619B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Knowledge/RAG </w:t>
            </w:r>
            <w:r w:rsidRPr="00C130D6">
              <w:rPr>
                <w:sz w:val="15"/>
                <w:szCs w:val="15"/>
              </w:rPr>
              <w:lastRenderedPageBreak/>
              <w:t>integrity</w:t>
            </w:r>
          </w:p>
        </w:tc>
        <w:tc>
          <w:tcPr>
            <w:tcW w:w="0" w:type="auto"/>
          </w:tcPr>
          <w:p w14:paraId="1CA619B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lastRenderedPageBreak/>
              <w:t>[Missing feature]</w:t>
            </w:r>
            <w:r w:rsidRPr="00C130D6">
              <w:rPr>
                <w:sz w:val="15"/>
                <w:szCs w:val="15"/>
              </w:rPr>
              <w:t xml:space="preserve"> </w:t>
            </w:r>
            <w:r w:rsidRPr="00C130D6">
              <w:rPr>
                <w:sz w:val="15"/>
                <w:szCs w:val="15"/>
              </w:rPr>
              <w:lastRenderedPageBreak/>
              <w:t>No metrics for retrieval quality, citation coverage, KB freshness</w:t>
            </w:r>
          </w:p>
        </w:tc>
        <w:tc>
          <w:tcPr>
            <w:tcW w:w="0" w:type="auto"/>
          </w:tcPr>
          <w:p w14:paraId="1CA619BA" w14:textId="2FBA3B2A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 xml:space="preserve">No RAG layer metrics are shown </w:t>
            </w:r>
            <w:r w:rsidRPr="00C130D6">
              <w:rPr>
                <w:sz w:val="15"/>
                <w:szCs w:val="15"/>
              </w:rPr>
              <w:lastRenderedPageBreak/>
              <w:t xml:space="preserve">(only “embedding/retrieval” in model mix) </w:t>
            </w:r>
          </w:p>
        </w:tc>
        <w:tc>
          <w:tcPr>
            <w:tcW w:w="0" w:type="auto"/>
          </w:tcPr>
          <w:p w14:paraId="1CA619B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 xml:space="preserve">Institutional AI often </w:t>
            </w:r>
            <w:r w:rsidRPr="00C130D6">
              <w:rPr>
                <w:sz w:val="15"/>
                <w:szCs w:val="15"/>
              </w:rPr>
              <w:lastRenderedPageBreak/>
              <w:t>depends on enterprise knowledge. Without RAG metrics, you can’t explain “why answers are wrong” or demonstrate traceability.</w:t>
            </w:r>
          </w:p>
        </w:tc>
        <w:tc>
          <w:tcPr>
            <w:tcW w:w="0" w:type="auto"/>
          </w:tcPr>
          <w:p w14:paraId="1CA619B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>High</w:t>
            </w:r>
          </w:p>
        </w:tc>
        <w:tc>
          <w:tcPr>
            <w:tcW w:w="0" w:type="auto"/>
          </w:tcPr>
          <w:p w14:paraId="1CA619B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Add RAG </w:t>
            </w:r>
            <w:r w:rsidRPr="00C130D6">
              <w:rPr>
                <w:sz w:val="15"/>
                <w:szCs w:val="15"/>
              </w:rPr>
              <w:lastRenderedPageBreak/>
              <w:t>quality metrics</w:t>
            </w:r>
          </w:p>
        </w:tc>
        <w:tc>
          <w:tcPr>
            <w:tcW w:w="0" w:type="auto"/>
          </w:tcPr>
          <w:p w14:paraId="1CA619B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 xml:space="preserve">Track: citation rate (% answers </w:t>
            </w:r>
            <w:r w:rsidRPr="00C130D6">
              <w:rPr>
                <w:sz w:val="15"/>
                <w:szCs w:val="15"/>
              </w:rPr>
              <w:lastRenderedPageBreak/>
              <w:t>with sources), retrieval hit-rate, top failed queries, document freshness, index lag, stale content %, “no-answer” rate; include audits for sensitive docs leakage</w:t>
            </w:r>
          </w:p>
        </w:tc>
        <w:tc>
          <w:tcPr>
            <w:tcW w:w="0" w:type="auto"/>
          </w:tcPr>
          <w:p w14:paraId="1CA619B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 xml:space="preserve">AI/ML + </w:t>
            </w:r>
            <w:r w:rsidRPr="00C130D6">
              <w:rPr>
                <w:sz w:val="15"/>
                <w:szCs w:val="15"/>
              </w:rPr>
              <w:lastRenderedPageBreak/>
              <w:t>Data</w:t>
            </w:r>
          </w:p>
        </w:tc>
        <w:tc>
          <w:tcPr>
            <w:tcW w:w="0" w:type="auto"/>
          </w:tcPr>
          <w:p w14:paraId="1CA619C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>L</w:t>
            </w:r>
          </w:p>
        </w:tc>
        <w:tc>
          <w:tcPr>
            <w:tcW w:w="0" w:type="auto"/>
          </w:tcPr>
          <w:p w14:paraId="1CA619C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17</w:t>
            </w:r>
          </w:p>
        </w:tc>
      </w:tr>
      <w:tr w:rsidR="00BB1D05" w:rsidRPr="00C130D6" w14:paraId="1CA619CD" w14:textId="77777777">
        <w:tc>
          <w:tcPr>
            <w:tcW w:w="0" w:type="auto"/>
          </w:tcPr>
          <w:p w14:paraId="1CA619C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Governance &amp; risk</w:t>
            </w:r>
          </w:p>
        </w:tc>
        <w:tc>
          <w:tcPr>
            <w:tcW w:w="0" w:type="auto"/>
          </w:tcPr>
          <w:p w14:paraId="1CA619C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[Weak implementation]</w:t>
            </w:r>
            <w:r w:rsidRPr="00C130D6">
              <w:rPr>
                <w:sz w:val="15"/>
                <w:szCs w:val="15"/>
              </w:rPr>
              <w:t xml:space="preserve"> Governance shown as a single coverage %, not by risk class or system criticality</w:t>
            </w:r>
          </w:p>
        </w:tc>
        <w:tc>
          <w:tcPr>
            <w:tcW w:w="0" w:type="auto"/>
          </w:tcPr>
          <w:p w14:paraId="1CA619C5" w14:textId="167C80D8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“Governance coverage 74%” and “8 ungoverned” but no breakdown by risk level </w:t>
            </w:r>
          </w:p>
        </w:tc>
        <w:tc>
          <w:tcPr>
            <w:tcW w:w="0" w:type="auto"/>
          </w:tcPr>
          <w:p w14:paraId="1CA619C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A missing control on a high-risk system is far worse than on a low-risk pilot. EU AI Act is risk-based. </w:t>
            </w:r>
            <w:hyperlink r:id="rId12">
              <w:r w:rsidRPr="00C130D6">
                <w:rPr>
                  <w:rStyle w:val="Hyperlink"/>
                  <w:sz w:val="15"/>
                  <w:szCs w:val="15"/>
                </w:rPr>
                <w:t>[4]</w:t>
              </w:r>
            </w:hyperlink>
          </w:p>
        </w:tc>
        <w:tc>
          <w:tcPr>
            <w:tcW w:w="0" w:type="auto"/>
          </w:tcPr>
          <w:p w14:paraId="1CA619C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1CA619C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governance-by-risk breakdown</w:t>
            </w:r>
          </w:p>
        </w:tc>
        <w:tc>
          <w:tcPr>
            <w:tcW w:w="0" w:type="auto"/>
          </w:tcPr>
          <w:p w14:paraId="1CA619C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Classify each use case (high/limited/minimal), criticality, data sensitivity; show control completion by class; enforce gating (cannot reach Production if required controls missing)</w:t>
            </w:r>
          </w:p>
        </w:tc>
        <w:tc>
          <w:tcPr>
            <w:tcW w:w="0" w:type="auto"/>
          </w:tcPr>
          <w:p w14:paraId="1CA619C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Governance + Product</w:t>
            </w:r>
          </w:p>
        </w:tc>
        <w:tc>
          <w:tcPr>
            <w:tcW w:w="0" w:type="auto"/>
          </w:tcPr>
          <w:p w14:paraId="1CA619C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C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18</w:t>
            </w:r>
          </w:p>
        </w:tc>
      </w:tr>
      <w:tr w:rsidR="00BB1D05" w:rsidRPr="00C130D6" w14:paraId="1CA619D8" w14:textId="77777777">
        <w:tc>
          <w:tcPr>
            <w:tcW w:w="0" w:type="auto"/>
          </w:tcPr>
          <w:p w14:paraId="1CA619C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Compliance readiness</w:t>
            </w:r>
          </w:p>
        </w:tc>
        <w:tc>
          <w:tcPr>
            <w:tcW w:w="0" w:type="auto"/>
          </w:tcPr>
          <w:p w14:paraId="1CA619C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evidence]</w:t>
            </w:r>
            <w:r w:rsidRPr="00C130D6">
              <w:rPr>
                <w:sz w:val="15"/>
                <w:szCs w:val="15"/>
              </w:rPr>
              <w:t xml:space="preserve"> Readiness scores (EU AI Act 82%, ISO 42001 47%) lack a control map</w:t>
            </w:r>
          </w:p>
        </w:tc>
        <w:tc>
          <w:tcPr>
            <w:tcW w:w="0" w:type="auto"/>
          </w:tcPr>
          <w:p w14:paraId="1CA619D0" w14:textId="416795FE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Regulatory readiness is shown as % values without showing requirements/controls met vs missing </w:t>
            </w:r>
          </w:p>
        </w:tc>
        <w:tc>
          <w:tcPr>
            <w:tcW w:w="0" w:type="auto"/>
          </w:tcPr>
          <w:p w14:paraId="1CA619D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Leaders need to know </w:t>
            </w:r>
            <w:r w:rsidRPr="00C130D6">
              <w:rPr>
                <w:i/>
                <w:iCs/>
                <w:sz w:val="15"/>
                <w:szCs w:val="15"/>
              </w:rPr>
              <w:t>what is missing</w:t>
            </w:r>
            <w:r w:rsidRPr="00C130D6">
              <w:rPr>
                <w:sz w:val="15"/>
                <w:szCs w:val="15"/>
              </w:rPr>
              <w:t xml:space="preserve"> to close readiness—otherwise the % is meaningless. ISO/IEC 42001 is about a management system, not a single number. </w:t>
            </w:r>
            <w:hyperlink r:id="rId13">
              <w:r w:rsidRPr="00C130D6">
                <w:rPr>
                  <w:rStyle w:val="Hyperlink"/>
                  <w:sz w:val="15"/>
                  <w:szCs w:val="15"/>
                </w:rPr>
                <w:t>[6]</w:t>
              </w:r>
            </w:hyperlink>
          </w:p>
        </w:tc>
        <w:tc>
          <w:tcPr>
            <w:tcW w:w="0" w:type="auto"/>
          </w:tcPr>
          <w:p w14:paraId="1CA619D2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1CA619D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compliance control matrix</w:t>
            </w:r>
          </w:p>
        </w:tc>
        <w:tc>
          <w:tcPr>
            <w:tcW w:w="0" w:type="auto"/>
          </w:tcPr>
          <w:p w14:paraId="1CA619D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For each framework: list required controls, map to internal policies, show completion %, evidence links, audit dates, owners, and remediation plan</w:t>
            </w:r>
          </w:p>
        </w:tc>
        <w:tc>
          <w:tcPr>
            <w:tcW w:w="0" w:type="auto"/>
          </w:tcPr>
          <w:p w14:paraId="1CA619D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Risk &amp; Compliance</w:t>
            </w:r>
          </w:p>
        </w:tc>
        <w:tc>
          <w:tcPr>
            <w:tcW w:w="0" w:type="auto"/>
          </w:tcPr>
          <w:p w14:paraId="1CA619D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L</w:t>
            </w:r>
          </w:p>
        </w:tc>
        <w:tc>
          <w:tcPr>
            <w:tcW w:w="0" w:type="auto"/>
          </w:tcPr>
          <w:p w14:paraId="1CA619D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19</w:t>
            </w:r>
          </w:p>
        </w:tc>
      </w:tr>
      <w:tr w:rsidR="00BB1D05" w:rsidRPr="00C130D6" w14:paraId="1CA619E3" w14:textId="77777777">
        <w:tc>
          <w:tcPr>
            <w:tcW w:w="0" w:type="auto"/>
          </w:tcPr>
          <w:p w14:paraId="1CA619D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Auditability</w:t>
            </w:r>
          </w:p>
        </w:tc>
        <w:tc>
          <w:tcPr>
            <w:tcW w:w="0" w:type="auto"/>
          </w:tcPr>
          <w:p w14:paraId="1CA619D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feature]</w:t>
            </w:r>
            <w:r w:rsidRPr="00C130D6">
              <w:rPr>
                <w:sz w:val="15"/>
                <w:szCs w:val="15"/>
              </w:rPr>
              <w:t xml:space="preserve"> No audit log search and no audit metrics</w:t>
            </w:r>
          </w:p>
        </w:tc>
        <w:tc>
          <w:tcPr>
            <w:tcW w:w="0" w:type="auto"/>
          </w:tcPr>
          <w:p w14:paraId="1CA619DB" w14:textId="3DF1FB9A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“Audit logging … active” but no audit volume, retention, search, or access oversight metrics </w:t>
            </w:r>
          </w:p>
        </w:tc>
        <w:tc>
          <w:tcPr>
            <w:tcW w:w="0" w:type="auto"/>
          </w:tcPr>
          <w:p w14:paraId="1CA619D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Auditing is only useful if searchable and governed; supports investigations and compliance.</w:t>
            </w:r>
          </w:p>
        </w:tc>
        <w:tc>
          <w:tcPr>
            <w:tcW w:w="0" w:type="auto"/>
          </w:tcPr>
          <w:p w14:paraId="1CA619D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1CA619D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audit observability</w:t>
            </w:r>
          </w:p>
        </w:tc>
        <w:tc>
          <w:tcPr>
            <w:tcW w:w="0" w:type="auto"/>
          </w:tcPr>
          <w:p w14:paraId="1CA619D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Provide metrics: audit events/day, coverage %, retention policy, access logs to audit store, investigations opened/closed; link to audit search tool (RBAC-controlled)</w:t>
            </w:r>
          </w:p>
        </w:tc>
        <w:tc>
          <w:tcPr>
            <w:tcW w:w="0" w:type="auto"/>
          </w:tcPr>
          <w:p w14:paraId="1CA619E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Security + Engineering</w:t>
            </w:r>
          </w:p>
        </w:tc>
        <w:tc>
          <w:tcPr>
            <w:tcW w:w="0" w:type="auto"/>
          </w:tcPr>
          <w:p w14:paraId="1CA619E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E2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20</w:t>
            </w:r>
          </w:p>
        </w:tc>
      </w:tr>
      <w:tr w:rsidR="00BB1D05" w:rsidRPr="00C130D6" w14:paraId="1CA619EE" w14:textId="77777777">
        <w:tc>
          <w:tcPr>
            <w:tcW w:w="0" w:type="auto"/>
          </w:tcPr>
          <w:p w14:paraId="1CA619E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User roles &amp; RBAC</w:t>
            </w:r>
          </w:p>
        </w:tc>
        <w:tc>
          <w:tcPr>
            <w:tcW w:w="0" w:type="auto"/>
          </w:tcPr>
          <w:p w14:paraId="1CA619E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evidence]</w:t>
            </w:r>
            <w:r w:rsidRPr="00C130D6">
              <w:rPr>
                <w:sz w:val="15"/>
                <w:szCs w:val="15"/>
              </w:rPr>
              <w:t xml:space="preserve"> No visibility of access controls for cockpit data</w:t>
            </w:r>
          </w:p>
        </w:tc>
        <w:tc>
          <w:tcPr>
            <w:tcW w:w="0" w:type="auto"/>
          </w:tcPr>
          <w:p w14:paraId="1CA619E6" w14:textId="074E23FB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No RBAC/permissions model is shown in UI </w:t>
            </w:r>
          </w:p>
        </w:tc>
        <w:tc>
          <w:tcPr>
            <w:tcW w:w="0" w:type="auto"/>
          </w:tcPr>
          <w:p w14:paraId="1CA619E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Exec cockpits often contain sensitive HR, finance, and security data; RBAC must be explicit.</w:t>
            </w:r>
          </w:p>
        </w:tc>
        <w:tc>
          <w:tcPr>
            <w:tcW w:w="0" w:type="auto"/>
          </w:tcPr>
          <w:p w14:paraId="1CA619E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High</w:t>
            </w:r>
          </w:p>
        </w:tc>
        <w:tc>
          <w:tcPr>
            <w:tcW w:w="0" w:type="auto"/>
          </w:tcPr>
          <w:p w14:paraId="1CA619E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Implement and show RBAC model</w:t>
            </w:r>
          </w:p>
        </w:tc>
        <w:tc>
          <w:tcPr>
            <w:tcW w:w="0" w:type="auto"/>
          </w:tcPr>
          <w:p w14:paraId="1CA619E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role-based access (CxO, BU leader, train lead, risk officer). Display “Your access scope” and enforce per-dimension masking/aggregation</w:t>
            </w:r>
          </w:p>
        </w:tc>
        <w:tc>
          <w:tcPr>
            <w:tcW w:w="0" w:type="auto"/>
          </w:tcPr>
          <w:p w14:paraId="1CA619E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Security + Engineering</w:t>
            </w:r>
          </w:p>
        </w:tc>
        <w:tc>
          <w:tcPr>
            <w:tcW w:w="0" w:type="auto"/>
          </w:tcPr>
          <w:p w14:paraId="1CA619E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L</w:t>
            </w:r>
          </w:p>
        </w:tc>
        <w:tc>
          <w:tcPr>
            <w:tcW w:w="0" w:type="auto"/>
          </w:tcPr>
          <w:p w14:paraId="1CA619E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21</w:t>
            </w:r>
          </w:p>
        </w:tc>
      </w:tr>
      <w:tr w:rsidR="00BB1D05" w:rsidRPr="00C130D6" w14:paraId="1CA619F9" w14:textId="77777777">
        <w:tc>
          <w:tcPr>
            <w:tcW w:w="0" w:type="auto"/>
          </w:tcPr>
          <w:p w14:paraId="1CA619E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Reliability &amp; fallbacks</w:t>
            </w:r>
          </w:p>
        </w:tc>
        <w:tc>
          <w:tcPr>
            <w:tcW w:w="0" w:type="auto"/>
          </w:tcPr>
          <w:p w14:paraId="1CA619F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[Missing feature]</w:t>
            </w:r>
            <w:r w:rsidRPr="00C130D6">
              <w:rPr>
                <w:sz w:val="15"/>
                <w:szCs w:val="15"/>
              </w:rPr>
              <w:t xml:space="preserve"> No tracking of model downtime, fallback behaviour, or degraded mode</w:t>
            </w:r>
          </w:p>
        </w:tc>
        <w:tc>
          <w:tcPr>
            <w:tcW w:w="0" w:type="auto"/>
          </w:tcPr>
          <w:p w14:paraId="1CA619F1" w14:textId="5BC71046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Only a reliability statement exists; no operational stats or fallback rates </w:t>
            </w:r>
          </w:p>
        </w:tc>
        <w:tc>
          <w:tcPr>
            <w:tcW w:w="0" w:type="auto"/>
          </w:tcPr>
          <w:p w14:paraId="1CA619F2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When models fail, business workflows fail. Leaders need to know resilience posture and degraded-mode performance.</w:t>
            </w:r>
          </w:p>
        </w:tc>
        <w:tc>
          <w:tcPr>
            <w:tcW w:w="0" w:type="auto"/>
          </w:tcPr>
          <w:p w14:paraId="1CA619F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1CA619F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resilience metrics</w:t>
            </w:r>
          </w:p>
        </w:tc>
        <w:tc>
          <w:tcPr>
            <w:tcW w:w="0" w:type="auto"/>
          </w:tcPr>
          <w:p w14:paraId="1CA619F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Track: model/provider incidents, fallback activation rate, degraded-mode quality impact, queueing delays; define reliability SLO per workflow</w:t>
            </w:r>
          </w:p>
        </w:tc>
        <w:tc>
          <w:tcPr>
            <w:tcW w:w="0" w:type="auto"/>
          </w:tcPr>
          <w:p w14:paraId="1CA619F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Engineering + AI/ML</w:t>
            </w:r>
          </w:p>
        </w:tc>
        <w:tc>
          <w:tcPr>
            <w:tcW w:w="0" w:type="auto"/>
          </w:tcPr>
          <w:p w14:paraId="1CA619F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9F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22</w:t>
            </w:r>
          </w:p>
        </w:tc>
      </w:tr>
      <w:tr w:rsidR="00BB1D05" w:rsidRPr="00C130D6" w14:paraId="1CA61A04" w14:textId="77777777">
        <w:tc>
          <w:tcPr>
            <w:tcW w:w="0" w:type="auto"/>
          </w:tcPr>
          <w:p w14:paraId="1CA619F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Integration &amp; </w:t>
            </w:r>
            <w:r w:rsidRPr="00C130D6">
              <w:rPr>
                <w:sz w:val="15"/>
                <w:szCs w:val="15"/>
              </w:rPr>
              <w:lastRenderedPageBreak/>
              <w:t>handoffs</w:t>
            </w:r>
          </w:p>
        </w:tc>
        <w:tc>
          <w:tcPr>
            <w:tcW w:w="0" w:type="auto"/>
          </w:tcPr>
          <w:p w14:paraId="1CA619F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lastRenderedPageBreak/>
              <w:t>[Missing feature]</w:t>
            </w:r>
            <w:r w:rsidRPr="00C130D6">
              <w:rPr>
                <w:sz w:val="15"/>
                <w:szCs w:val="15"/>
              </w:rPr>
              <w:t xml:space="preserve"> </w:t>
            </w:r>
            <w:r w:rsidRPr="00C130D6">
              <w:rPr>
                <w:sz w:val="15"/>
                <w:szCs w:val="15"/>
              </w:rPr>
              <w:lastRenderedPageBreak/>
              <w:t>“Sources” listed but no integration completeness score</w:t>
            </w:r>
          </w:p>
        </w:tc>
        <w:tc>
          <w:tcPr>
            <w:tcW w:w="0" w:type="auto"/>
          </w:tcPr>
          <w:p w14:paraId="1CA619FC" w14:textId="7EC84131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 xml:space="preserve">Footer lists sources, but no </w:t>
            </w:r>
            <w:r w:rsidRPr="00C130D6">
              <w:rPr>
                <w:sz w:val="15"/>
                <w:szCs w:val="15"/>
              </w:rPr>
              <w:lastRenderedPageBreak/>
              <w:t xml:space="preserve">completeness/coverage indicator </w:t>
            </w:r>
          </w:p>
        </w:tc>
        <w:tc>
          <w:tcPr>
            <w:tcW w:w="0" w:type="auto"/>
          </w:tcPr>
          <w:p w14:paraId="1CA619F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 xml:space="preserve">If only some teams </w:t>
            </w:r>
            <w:r w:rsidRPr="00C130D6">
              <w:rPr>
                <w:sz w:val="15"/>
                <w:szCs w:val="15"/>
              </w:rPr>
              <w:lastRenderedPageBreak/>
              <w:t>integrate, your metrics become biased and institutionalisation progress is overstated.</w:t>
            </w:r>
          </w:p>
        </w:tc>
        <w:tc>
          <w:tcPr>
            <w:tcW w:w="0" w:type="auto"/>
          </w:tcPr>
          <w:p w14:paraId="1CA619F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>Medium</w:t>
            </w:r>
          </w:p>
        </w:tc>
        <w:tc>
          <w:tcPr>
            <w:tcW w:w="0" w:type="auto"/>
          </w:tcPr>
          <w:p w14:paraId="1CA619FF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Add </w:t>
            </w:r>
            <w:r w:rsidRPr="00C130D6">
              <w:rPr>
                <w:sz w:val="15"/>
                <w:szCs w:val="15"/>
              </w:rPr>
              <w:lastRenderedPageBreak/>
              <w:t>integration coverage KPIs</w:t>
            </w:r>
          </w:p>
        </w:tc>
        <w:tc>
          <w:tcPr>
            <w:tcW w:w="0" w:type="auto"/>
          </w:tcPr>
          <w:p w14:paraId="1CA61A0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 xml:space="preserve">Track: % teams connected, % </w:t>
            </w:r>
            <w:r w:rsidRPr="00C130D6">
              <w:rPr>
                <w:sz w:val="15"/>
                <w:szCs w:val="15"/>
              </w:rPr>
              <w:lastRenderedPageBreak/>
              <w:t>logs ingested, % workflows instrumented, “unknown/unmeasured share”</w:t>
            </w:r>
          </w:p>
        </w:tc>
        <w:tc>
          <w:tcPr>
            <w:tcW w:w="0" w:type="auto"/>
          </w:tcPr>
          <w:p w14:paraId="1CA61A0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lastRenderedPageBreak/>
              <w:t>Data + Ops</w:t>
            </w:r>
          </w:p>
        </w:tc>
        <w:tc>
          <w:tcPr>
            <w:tcW w:w="0" w:type="auto"/>
          </w:tcPr>
          <w:p w14:paraId="1CA61A02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A0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23</w:t>
            </w:r>
          </w:p>
        </w:tc>
      </w:tr>
      <w:tr w:rsidR="00BB1D05" w:rsidRPr="00C130D6" w14:paraId="1CA61A0F" w14:textId="77777777">
        <w:tc>
          <w:tcPr>
            <w:tcW w:w="0" w:type="auto"/>
          </w:tcPr>
          <w:p w14:paraId="1CA61A0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Workforce capability</w:t>
            </w:r>
          </w:p>
        </w:tc>
        <w:tc>
          <w:tcPr>
            <w:tcW w:w="0" w:type="auto"/>
          </w:tcPr>
          <w:p w14:paraId="1CA61A0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[Weak implementation]</w:t>
            </w:r>
            <w:r w:rsidRPr="00C130D6">
              <w:rPr>
                <w:sz w:val="15"/>
                <w:szCs w:val="15"/>
              </w:rPr>
              <w:t xml:space="preserve"> Training shows completion %, not competency or application</w:t>
            </w:r>
          </w:p>
        </w:tc>
        <w:tc>
          <w:tcPr>
            <w:tcW w:w="0" w:type="auto"/>
          </w:tcPr>
          <w:p w14:paraId="1CA61A07" w14:textId="6379E6FD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Foundations/Applied/Leadership completion shown </w:t>
            </w:r>
          </w:p>
        </w:tc>
        <w:tc>
          <w:tcPr>
            <w:tcW w:w="0" w:type="auto"/>
          </w:tcPr>
          <w:p w14:paraId="1CA61A0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Completion ≠ capability. Institutionalisation requires proficiency and demonstrated safe use.</w:t>
            </w:r>
          </w:p>
        </w:tc>
        <w:tc>
          <w:tcPr>
            <w:tcW w:w="0" w:type="auto"/>
          </w:tcPr>
          <w:p w14:paraId="1CA61A0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1CA61A0A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capability validation metrics</w:t>
            </w:r>
          </w:p>
        </w:tc>
        <w:tc>
          <w:tcPr>
            <w:tcW w:w="0" w:type="auto"/>
          </w:tcPr>
          <w:p w14:paraId="1CA61A0B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assessments, certifications, practical lab completion, policy comprehension checks, and observed usage outcomes post-training</w:t>
            </w:r>
          </w:p>
        </w:tc>
        <w:tc>
          <w:tcPr>
            <w:tcW w:w="0" w:type="auto"/>
          </w:tcPr>
          <w:p w14:paraId="1CA61A0C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HR/L&amp;D + Product</w:t>
            </w:r>
          </w:p>
        </w:tc>
        <w:tc>
          <w:tcPr>
            <w:tcW w:w="0" w:type="auto"/>
          </w:tcPr>
          <w:p w14:paraId="1CA61A0D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</w:t>
            </w:r>
          </w:p>
        </w:tc>
        <w:tc>
          <w:tcPr>
            <w:tcW w:w="0" w:type="auto"/>
          </w:tcPr>
          <w:p w14:paraId="1CA61A0E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24</w:t>
            </w:r>
          </w:p>
        </w:tc>
      </w:tr>
      <w:tr w:rsidR="00BB1D05" w:rsidRPr="00C130D6" w14:paraId="1CA61A1A" w14:textId="77777777">
        <w:tc>
          <w:tcPr>
            <w:tcW w:w="0" w:type="auto"/>
          </w:tcPr>
          <w:p w14:paraId="1CA61A10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Accessibility</w:t>
            </w:r>
          </w:p>
        </w:tc>
        <w:tc>
          <w:tcPr>
            <w:tcW w:w="0" w:type="auto"/>
          </w:tcPr>
          <w:p w14:paraId="1CA61A11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b/>
                <w:bCs/>
                <w:sz w:val="15"/>
                <w:szCs w:val="15"/>
              </w:rPr>
              <w:t>[Weak implementation]</w:t>
            </w:r>
            <w:r w:rsidRPr="00C130D6">
              <w:rPr>
                <w:sz w:val="15"/>
                <w:szCs w:val="15"/>
              </w:rPr>
              <w:t xml:space="preserve"> Heavy reliance on colour for RAG; limited explicit accessibility signals</w:t>
            </w:r>
          </w:p>
        </w:tc>
        <w:tc>
          <w:tcPr>
            <w:tcW w:w="0" w:type="auto"/>
          </w:tcPr>
          <w:p w14:paraId="1CA61A12" w14:textId="569F7138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 xml:space="preserve">RAG chips and heatmap colour cues are primary indicators </w:t>
            </w:r>
          </w:p>
        </w:tc>
        <w:tc>
          <w:tcPr>
            <w:tcW w:w="0" w:type="auto"/>
          </w:tcPr>
          <w:p w14:paraId="1CA61A13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Exec dashboards must meet accessibility expectations; colour-only cues fail for colour-vision deficiency and in print/PDF packs.</w:t>
            </w:r>
          </w:p>
        </w:tc>
        <w:tc>
          <w:tcPr>
            <w:tcW w:w="0" w:type="auto"/>
          </w:tcPr>
          <w:p w14:paraId="1CA61A14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Medium</w:t>
            </w:r>
          </w:p>
        </w:tc>
        <w:tc>
          <w:tcPr>
            <w:tcW w:w="0" w:type="auto"/>
          </w:tcPr>
          <w:p w14:paraId="1CA61A15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Fix accessibility semantics</w:t>
            </w:r>
          </w:p>
        </w:tc>
        <w:tc>
          <w:tcPr>
            <w:tcW w:w="0" w:type="auto"/>
          </w:tcPr>
          <w:p w14:paraId="1CA61A16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Add text labels/icons (▲▼), pattern fills for heatmaps, keyboard navigation, ARIA labels for controls; provide export that preserves meaning without colour</w:t>
            </w:r>
          </w:p>
        </w:tc>
        <w:tc>
          <w:tcPr>
            <w:tcW w:w="0" w:type="auto"/>
          </w:tcPr>
          <w:p w14:paraId="1CA61A17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Design + Engineering</w:t>
            </w:r>
          </w:p>
        </w:tc>
        <w:tc>
          <w:tcPr>
            <w:tcW w:w="0" w:type="auto"/>
          </w:tcPr>
          <w:p w14:paraId="1CA61A18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S/M</w:t>
            </w:r>
          </w:p>
        </w:tc>
        <w:tc>
          <w:tcPr>
            <w:tcW w:w="0" w:type="auto"/>
          </w:tcPr>
          <w:p w14:paraId="1CA61A19" w14:textId="77777777" w:rsidR="00BB1D05" w:rsidRPr="00C130D6" w:rsidRDefault="00831B28" w:rsidP="00C1461F">
            <w:pPr>
              <w:pStyle w:val="Compact"/>
              <w:spacing w:before="0"/>
              <w:rPr>
                <w:sz w:val="15"/>
                <w:szCs w:val="15"/>
              </w:rPr>
            </w:pPr>
            <w:r w:rsidRPr="00C130D6">
              <w:rPr>
                <w:sz w:val="15"/>
                <w:szCs w:val="15"/>
              </w:rPr>
              <w:t>25</w:t>
            </w:r>
          </w:p>
        </w:tc>
      </w:tr>
    </w:tbl>
    <w:p w14:paraId="1CA61A1B" w14:textId="77777777" w:rsidR="00BB1D05" w:rsidRPr="006265EF" w:rsidRDefault="00831B28" w:rsidP="00C1461F">
      <w:pPr>
        <w:pStyle w:val="Heading2"/>
        <w:spacing w:before="0"/>
        <w:rPr>
          <w:sz w:val="24"/>
          <w:szCs w:val="24"/>
        </w:rPr>
      </w:pPr>
      <w:bookmarkStart w:id="6" w:name="missing-components-checklist"/>
      <w:bookmarkEnd w:id="5"/>
      <w:r w:rsidRPr="006265EF">
        <w:rPr>
          <w:sz w:val="24"/>
          <w:szCs w:val="24"/>
        </w:rPr>
        <w:t>Missing components checklist</w:t>
      </w:r>
    </w:p>
    <w:p w14:paraId="1CA61A1C" w14:textId="7777777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This section is intentionally framed as “capabilities”, not “more charts”, because institutionalisation is an operating model.</w:t>
      </w:r>
    </w:p>
    <w:p w14:paraId="1CA61A1D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Decision-grade measurement</w:t>
      </w:r>
    </w:p>
    <w:p w14:paraId="1CA61A1E" w14:textId="3DC74E1B" w:rsidR="00BB1D05" w:rsidRPr="006265EF" w:rsidRDefault="00831B28" w:rsidP="00C1461F">
      <w:pPr>
        <w:pStyle w:val="Compact"/>
        <w:numPr>
          <w:ilvl w:val="0"/>
          <w:numId w:val="7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A </w:t>
      </w:r>
      <w:r w:rsidRPr="006265EF">
        <w:rPr>
          <w:b/>
          <w:bCs/>
          <w:sz w:val="21"/>
          <w:szCs w:val="21"/>
        </w:rPr>
        <w:t>metric dictionary</w:t>
      </w:r>
      <w:r w:rsidRPr="006265EF">
        <w:rPr>
          <w:sz w:val="21"/>
          <w:szCs w:val="21"/>
        </w:rPr>
        <w:t xml:space="preserve"> with explicit calculations, scope boundaries, and owners for every top KPI and index. (This is currently missing evidence; indices are presented without definitions.) </w:t>
      </w:r>
    </w:p>
    <w:p w14:paraId="1CA61A1F" w14:textId="220C36B4" w:rsidR="00BB1D05" w:rsidRPr="006265EF" w:rsidRDefault="00831B28" w:rsidP="00C1461F">
      <w:pPr>
        <w:pStyle w:val="Compact"/>
        <w:numPr>
          <w:ilvl w:val="0"/>
          <w:numId w:val="7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Uncertainty / confidence</w:t>
      </w:r>
      <w:r w:rsidRPr="006265EF">
        <w:rPr>
          <w:sz w:val="21"/>
          <w:szCs w:val="21"/>
        </w:rPr>
        <w:t xml:space="preserve"> for value and productivity metrics (e.g., confidence bands, sample sizes, “validated by finance” flags). </w:t>
      </w:r>
    </w:p>
    <w:p w14:paraId="1CA61A20" w14:textId="7777777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Adoption and institutionalisation signals beyond “coverage”</w:t>
      </w:r>
    </w:p>
    <w:p w14:paraId="1CA61A21" w14:textId="499B6983" w:rsidR="00BB1D05" w:rsidRPr="006265EF" w:rsidRDefault="00831B28" w:rsidP="00C1461F">
      <w:pPr>
        <w:pStyle w:val="Compact"/>
        <w:numPr>
          <w:ilvl w:val="0"/>
          <w:numId w:val="8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Behavioural adoption: DAU/WAU/MAU, retention, repeat usage, adoption by persona/function/team, % activity through approved tools, seat utilisation. (Currently there is “AI Coverage” but no behavioural telemetry.) </w:t>
      </w:r>
    </w:p>
    <w:p w14:paraId="1CA61A22" w14:textId="6A2BA36C" w:rsidR="00BB1D05" w:rsidRPr="006265EF" w:rsidRDefault="00831B28" w:rsidP="00C1461F">
      <w:pPr>
        <w:pStyle w:val="Compact"/>
        <w:numPr>
          <w:ilvl w:val="0"/>
          <w:numId w:val="8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“Shadow AI” should be measurable: count of unapproved tools detected, data egress risk scoring, trend lines, time-to-remediate. (Currently it’s a signal tag + risk item.) </w:t>
      </w:r>
    </w:p>
    <w:p w14:paraId="1CA61A23" w14:textId="7777777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Model and safety operations</w:t>
      </w:r>
    </w:p>
    <w:p w14:paraId="1CA61A24" w14:textId="27296876" w:rsidR="00BB1D05" w:rsidRPr="006265EF" w:rsidRDefault="00831B28" w:rsidP="00C1461F">
      <w:pPr>
        <w:pStyle w:val="Compact"/>
        <w:numPr>
          <w:ilvl w:val="0"/>
          <w:numId w:val="9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Model-level SLOs and telemetry (latency, errors, token/cost, refusal rate, guardrail triggers, fallback rates). (Only partial statements exist today.) </w:t>
      </w:r>
    </w:p>
    <w:p w14:paraId="1CA61A25" w14:textId="77777777" w:rsidR="00BB1D05" w:rsidRPr="006265EF" w:rsidRDefault="00831B28" w:rsidP="00C1461F">
      <w:pPr>
        <w:pStyle w:val="Compact"/>
        <w:numPr>
          <w:ilvl w:val="0"/>
          <w:numId w:val="9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lastRenderedPageBreak/>
        <w:t xml:space="preserve">OWASP-class risk metrics beyond prompt injection: sensitive data disclosure, supply chain, data/model poisoning, improper output handling, excessive agency, system prompt leakage, vector/embedding weaknesses, misinformation, unbounded consumption. </w:t>
      </w:r>
      <w:hyperlink r:id="rId14">
        <w:r w:rsidRPr="006265EF">
          <w:rPr>
            <w:rStyle w:val="Hyperlink"/>
            <w:sz w:val="21"/>
            <w:szCs w:val="21"/>
          </w:rPr>
          <w:t>[7]</w:t>
        </w:r>
      </w:hyperlink>
    </w:p>
    <w:p w14:paraId="1CA61A26" w14:textId="7777777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Governance as a control system (not a percentage)</w:t>
      </w:r>
    </w:p>
    <w:p w14:paraId="1CA61A27" w14:textId="77777777" w:rsidR="00BB1D05" w:rsidRPr="006265EF" w:rsidRDefault="00831B28" w:rsidP="00C1461F">
      <w:pPr>
        <w:pStyle w:val="Compact"/>
        <w:numPr>
          <w:ilvl w:val="0"/>
          <w:numId w:val="10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Risk-class-based compliance views (especially for EU AI Act’s risk-based framing) with required control completion per class. </w:t>
      </w:r>
      <w:hyperlink r:id="rId15">
        <w:r w:rsidRPr="006265EF">
          <w:rPr>
            <w:rStyle w:val="Hyperlink"/>
            <w:sz w:val="21"/>
            <w:szCs w:val="21"/>
          </w:rPr>
          <w:t>[4]</w:t>
        </w:r>
      </w:hyperlink>
    </w:p>
    <w:p w14:paraId="1CA61A28" w14:textId="7A9944DD" w:rsidR="00BB1D05" w:rsidRPr="006265EF" w:rsidRDefault="00831B28" w:rsidP="00C1461F">
      <w:pPr>
        <w:pStyle w:val="Compact"/>
        <w:numPr>
          <w:ilvl w:val="0"/>
          <w:numId w:val="10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Evidence packs (model card/data sheet/risk assessment/evaluations/red-team &amp; pen-test records/approvals/incidents) per use case. (Currently only status and narrative.) </w:t>
      </w:r>
    </w:p>
    <w:p w14:paraId="1CA61A29" w14:textId="64F3D5DB" w:rsidR="00BB1D05" w:rsidRPr="006265EF" w:rsidRDefault="00831B28" w:rsidP="00C1461F">
      <w:pPr>
        <w:pStyle w:val="Compact"/>
        <w:numPr>
          <w:ilvl w:val="0"/>
          <w:numId w:val="10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Throughput metrics for governance: time-to-approve amber, backlog ageing, exception renewal cycle times, committee quorum health linked to throughput. (You flag quorum gap but do not show its operational impact.) </w:t>
      </w:r>
    </w:p>
    <w:p w14:paraId="1CA61A2A" w14:textId="7777777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Drill-down and actionability</w:t>
      </w:r>
    </w:p>
    <w:p w14:paraId="1CA61A2B" w14:textId="79603142" w:rsidR="00BB1D05" w:rsidRPr="006265EF" w:rsidRDefault="00831B28" w:rsidP="00C1461F">
      <w:pPr>
        <w:pStyle w:val="Compact"/>
        <w:numPr>
          <w:ilvl w:val="0"/>
          <w:numId w:val="11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Global filters and drill-through to locate precisely where the problem sits (APAC/LATAM drift is mentioned, but there is no way to drill into those segments). </w:t>
      </w:r>
    </w:p>
    <w:p w14:paraId="1CA61A2C" w14:textId="7A4EB718" w:rsidR="00BB1D05" w:rsidRPr="006265EF" w:rsidRDefault="00831B28" w:rsidP="00C1461F">
      <w:pPr>
        <w:pStyle w:val="Compact"/>
        <w:numPr>
          <w:ilvl w:val="0"/>
          <w:numId w:val="11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An “action centre” that turns signals into tracked remediation work with closure evidence. </w:t>
      </w:r>
    </w:p>
    <w:p w14:paraId="1CA61A2D" w14:textId="77777777" w:rsidR="00BB1D05" w:rsidRPr="006265EF" w:rsidRDefault="00831B28" w:rsidP="00C1461F">
      <w:pPr>
        <w:pStyle w:val="Heading2"/>
        <w:spacing w:before="0"/>
        <w:rPr>
          <w:sz w:val="24"/>
          <w:szCs w:val="24"/>
        </w:rPr>
      </w:pPr>
      <w:bookmarkStart w:id="7" w:name="X91181087b81358e3c4c65d50a03e0afbf9dbbe6"/>
      <w:bookmarkEnd w:id="6"/>
      <w:r w:rsidRPr="006265EF">
        <w:rPr>
          <w:sz w:val="24"/>
          <w:szCs w:val="24"/>
        </w:rPr>
        <w:t>Practical implementation notes for fixing this in a realistic way</w:t>
      </w:r>
    </w:p>
    <w:p w14:paraId="1CA61A2E" w14:textId="7777777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Metric layer you should standardise first Start by turning the cockpit into a </w:t>
      </w:r>
      <w:r w:rsidRPr="006265EF">
        <w:rPr>
          <w:b/>
          <w:bCs/>
          <w:sz w:val="21"/>
          <w:szCs w:val="21"/>
        </w:rPr>
        <w:t>single source of truth</w:t>
      </w:r>
      <w:r w:rsidRPr="006265EF">
        <w:rPr>
          <w:sz w:val="21"/>
          <w:szCs w:val="21"/>
        </w:rPr>
        <w:t xml:space="preserve"> for a small set of non-negotiable enterprise metrics, then expand.</w:t>
      </w:r>
    </w:p>
    <w:p w14:paraId="1CA61A2F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A pragmatic “minimum viable enterprise AI telemetry” schema (what to log everywhere)</w:t>
      </w:r>
    </w:p>
    <w:p w14:paraId="1CA61A30" w14:textId="77777777" w:rsidR="00BB1D05" w:rsidRPr="006265EF" w:rsidRDefault="00831B28" w:rsidP="00C1461F">
      <w:pPr>
        <w:pStyle w:val="Compact"/>
        <w:numPr>
          <w:ilvl w:val="0"/>
          <w:numId w:val="12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Who</w:t>
      </w:r>
      <w:r w:rsidRPr="006265EF">
        <w:rPr>
          <w:sz w:val="21"/>
          <w:szCs w:val="21"/>
        </w:rPr>
        <w:t>: user role/persona, team, BU/account, geography (aggregated/anonymised as needed)</w:t>
      </w:r>
    </w:p>
    <w:p w14:paraId="1CA61A31" w14:textId="38D3192B" w:rsidR="00BB1D05" w:rsidRPr="006265EF" w:rsidRDefault="00831B28" w:rsidP="00C1461F">
      <w:pPr>
        <w:pStyle w:val="Compact"/>
        <w:numPr>
          <w:ilvl w:val="0"/>
          <w:numId w:val="12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What</w:t>
      </w:r>
      <w:r w:rsidRPr="006265EF">
        <w:rPr>
          <w:sz w:val="21"/>
          <w:szCs w:val="21"/>
        </w:rPr>
        <w:t xml:space="preserve">: use case ID, workflow stage (planning/build/run), model ID/tier, tool/agent name, policy mode (green/amber/red) </w:t>
      </w:r>
    </w:p>
    <w:p w14:paraId="1CA61A32" w14:textId="77777777" w:rsidR="00BB1D05" w:rsidRPr="006265EF" w:rsidRDefault="00831B28" w:rsidP="00C1461F">
      <w:pPr>
        <w:pStyle w:val="Compact"/>
        <w:numPr>
          <w:ilvl w:val="0"/>
          <w:numId w:val="12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When</w:t>
      </w:r>
      <w:r w:rsidRPr="006265EF">
        <w:rPr>
          <w:sz w:val="21"/>
          <w:szCs w:val="21"/>
        </w:rPr>
        <w:t>: timestamp + release version</w:t>
      </w:r>
    </w:p>
    <w:p w14:paraId="1CA61A33" w14:textId="77777777" w:rsidR="00BB1D05" w:rsidRPr="006265EF" w:rsidRDefault="00831B28" w:rsidP="00C1461F">
      <w:pPr>
        <w:pStyle w:val="Compact"/>
        <w:numPr>
          <w:ilvl w:val="0"/>
          <w:numId w:val="12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Cost</w:t>
      </w:r>
      <w:r w:rsidRPr="006265EF">
        <w:rPr>
          <w:sz w:val="21"/>
          <w:szCs w:val="21"/>
        </w:rPr>
        <w:t>: tokens, £ cost, retries, cache hits</w:t>
      </w:r>
    </w:p>
    <w:p w14:paraId="1CA61A34" w14:textId="77777777" w:rsidR="00BB1D05" w:rsidRPr="006265EF" w:rsidRDefault="00831B28" w:rsidP="00C1461F">
      <w:pPr>
        <w:pStyle w:val="Compact"/>
        <w:numPr>
          <w:ilvl w:val="0"/>
          <w:numId w:val="12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Performance</w:t>
      </w:r>
      <w:r w:rsidRPr="006265EF">
        <w:rPr>
          <w:sz w:val="21"/>
          <w:szCs w:val="21"/>
        </w:rPr>
        <w:t>: latency p50/p95, error codes, fallback events</w:t>
      </w:r>
    </w:p>
    <w:p w14:paraId="1CA61A35" w14:textId="77777777" w:rsidR="00BB1D05" w:rsidRPr="006265EF" w:rsidRDefault="00831B28" w:rsidP="00C1461F">
      <w:pPr>
        <w:pStyle w:val="Compact"/>
        <w:numPr>
          <w:ilvl w:val="0"/>
          <w:numId w:val="12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Safety</w:t>
      </w:r>
      <w:r w:rsidRPr="006265EF">
        <w:rPr>
          <w:sz w:val="21"/>
          <w:szCs w:val="21"/>
        </w:rPr>
        <w:t>: policy violations, DLP/PII masking events, injection/jailbreak detections, unsafe output blocks</w:t>
      </w:r>
    </w:p>
    <w:p w14:paraId="1CA61A36" w14:textId="77777777" w:rsidR="00BB1D05" w:rsidRPr="006265EF" w:rsidRDefault="00831B28" w:rsidP="00C1461F">
      <w:pPr>
        <w:pStyle w:val="Compact"/>
        <w:numPr>
          <w:ilvl w:val="0"/>
          <w:numId w:val="12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Quality</w:t>
      </w:r>
      <w:r w:rsidRPr="006265EF">
        <w:rPr>
          <w:sz w:val="21"/>
          <w:szCs w:val="21"/>
        </w:rPr>
        <w:t>: eval score (task-specific), human feedback outcome (thumbs up/down + reason code), incident linkage</w:t>
      </w:r>
    </w:p>
    <w:p w14:paraId="1CA61A37" w14:textId="7777777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This is the foundation you need to make your existing KPIs “real” (rather than self-reported).</w:t>
      </w:r>
    </w:p>
    <w:p w14:paraId="1CA61A38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How to make your existing sections decision-grade with minimal redesign</w:t>
      </w:r>
    </w:p>
    <w:p w14:paraId="1CA61A39" w14:textId="77777777" w:rsidR="00BB1D05" w:rsidRPr="006265EF" w:rsidRDefault="00831B28" w:rsidP="00C1461F">
      <w:pPr>
        <w:pStyle w:val="Compact"/>
        <w:numPr>
          <w:ilvl w:val="0"/>
          <w:numId w:val="13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Keep the current two views, but add a consistent </w:t>
      </w:r>
      <w:r w:rsidRPr="006265EF">
        <w:rPr>
          <w:b/>
          <w:bCs/>
          <w:sz w:val="21"/>
          <w:szCs w:val="21"/>
        </w:rPr>
        <w:t>“Explain / Drill-down / Evidence” triad</w:t>
      </w:r>
      <w:r w:rsidRPr="006265EF">
        <w:rPr>
          <w:sz w:val="21"/>
          <w:szCs w:val="21"/>
        </w:rPr>
        <w:t xml:space="preserve"> for every section:</w:t>
      </w:r>
    </w:p>
    <w:p w14:paraId="1CA61A3A" w14:textId="77777777" w:rsidR="00BB1D05" w:rsidRPr="006265EF" w:rsidRDefault="00831B28" w:rsidP="00C1461F">
      <w:pPr>
        <w:pStyle w:val="Compact"/>
        <w:numPr>
          <w:ilvl w:val="0"/>
          <w:numId w:val="13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Explain</w:t>
      </w:r>
      <w:r w:rsidRPr="006265EF">
        <w:rPr>
          <w:sz w:val="21"/>
          <w:szCs w:val="21"/>
        </w:rPr>
        <w:t>: metric definition + calculation and a short narrative of the top 3 drivers</w:t>
      </w:r>
    </w:p>
    <w:p w14:paraId="1CA61A3B" w14:textId="77777777" w:rsidR="00BB1D05" w:rsidRPr="006265EF" w:rsidRDefault="00831B28" w:rsidP="00C1461F">
      <w:pPr>
        <w:pStyle w:val="Compact"/>
        <w:numPr>
          <w:ilvl w:val="0"/>
          <w:numId w:val="13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t>Drill-down</w:t>
      </w:r>
      <w:r w:rsidRPr="006265EF">
        <w:rPr>
          <w:sz w:val="21"/>
          <w:szCs w:val="21"/>
        </w:rPr>
        <w:t>: breakdown by BU/function/geography/train/use case</w:t>
      </w:r>
    </w:p>
    <w:p w14:paraId="1CA61A3C" w14:textId="77777777" w:rsidR="00BB1D05" w:rsidRPr="006265EF" w:rsidRDefault="00831B28" w:rsidP="00C1461F">
      <w:pPr>
        <w:pStyle w:val="Compact"/>
        <w:numPr>
          <w:ilvl w:val="0"/>
          <w:numId w:val="13"/>
        </w:numPr>
        <w:spacing w:before="0"/>
        <w:rPr>
          <w:sz w:val="21"/>
          <w:szCs w:val="21"/>
        </w:rPr>
      </w:pPr>
      <w:r w:rsidRPr="006265EF">
        <w:rPr>
          <w:b/>
          <w:bCs/>
          <w:sz w:val="21"/>
          <w:szCs w:val="21"/>
        </w:rPr>
        <w:lastRenderedPageBreak/>
        <w:t>Evidence</w:t>
      </w:r>
      <w:r w:rsidRPr="006265EF">
        <w:rPr>
          <w:sz w:val="21"/>
          <w:szCs w:val="21"/>
        </w:rPr>
        <w:t>: link to underlying artefacts (tickets, logs, eval results, approvals, pen tests)</w:t>
      </w:r>
    </w:p>
    <w:p w14:paraId="1CA61A3D" w14:textId="7777777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How to align with recognised frameworks without making it bureaucratic</w:t>
      </w:r>
    </w:p>
    <w:p w14:paraId="1CA61A3E" w14:textId="77777777" w:rsidR="00BB1D05" w:rsidRPr="006265EF" w:rsidRDefault="00831B28" w:rsidP="00C1461F">
      <w:pPr>
        <w:pStyle w:val="Compact"/>
        <w:numPr>
          <w:ilvl w:val="0"/>
          <w:numId w:val="14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Use NIST AI RMF language as a structuring device: show where you are </w:t>
      </w:r>
      <w:r w:rsidRPr="006265EF">
        <w:rPr>
          <w:b/>
          <w:bCs/>
          <w:sz w:val="21"/>
          <w:szCs w:val="21"/>
        </w:rPr>
        <w:t>Governing</w:t>
      </w:r>
      <w:r w:rsidRPr="006265EF">
        <w:rPr>
          <w:sz w:val="21"/>
          <w:szCs w:val="21"/>
        </w:rPr>
        <w:t xml:space="preserve">, </w:t>
      </w:r>
      <w:r w:rsidRPr="006265EF">
        <w:rPr>
          <w:b/>
          <w:bCs/>
          <w:sz w:val="21"/>
          <w:szCs w:val="21"/>
        </w:rPr>
        <w:t>Mapping</w:t>
      </w:r>
      <w:r w:rsidRPr="006265EF">
        <w:rPr>
          <w:sz w:val="21"/>
          <w:szCs w:val="21"/>
        </w:rPr>
        <w:t xml:space="preserve">, </w:t>
      </w:r>
      <w:r w:rsidRPr="006265EF">
        <w:rPr>
          <w:b/>
          <w:bCs/>
          <w:sz w:val="21"/>
          <w:szCs w:val="21"/>
        </w:rPr>
        <w:t>Measuring</w:t>
      </w:r>
      <w:r w:rsidRPr="006265EF">
        <w:rPr>
          <w:sz w:val="21"/>
          <w:szCs w:val="21"/>
        </w:rPr>
        <w:t xml:space="preserve">, </w:t>
      </w:r>
      <w:r w:rsidRPr="006265EF">
        <w:rPr>
          <w:b/>
          <w:bCs/>
          <w:sz w:val="21"/>
          <w:szCs w:val="21"/>
        </w:rPr>
        <w:t>Managing</w:t>
      </w:r>
      <w:r w:rsidRPr="006265EF">
        <w:rPr>
          <w:sz w:val="21"/>
          <w:szCs w:val="21"/>
        </w:rPr>
        <w:t xml:space="preserve"> risks and trustworthiness characteristics in operations—not just scored indices. </w:t>
      </w:r>
      <w:hyperlink r:id="rId16">
        <w:r w:rsidRPr="006265EF">
          <w:rPr>
            <w:rStyle w:val="Hyperlink"/>
            <w:sz w:val="21"/>
            <w:szCs w:val="21"/>
          </w:rPr>
          <w:t>[1]</w:t>
        </w:r>
      </w:hyperlink>
    </w:p>
    <w:p w14:paraId="1CA61A3F" w14:textId="77777777" w:rsidR="00BB1D05" w:rsidRPr="006265EF" w:rsidRDefault="00831B28" w:rsidP="00C1461F">
      <w:pPr>
        <w:pStyle w:val="Compact"/>
        <w:numPr>
          <w:ilvl w:val="0"/>
          <w:numId w:val="14"/>
        </w:numPr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Use ISO/IEC 42001 thinking for “system-ness”: policies, processes, continual improvement, audits, and evidence of execution. Your cockpits should show </w:t>
      </w:r>
      <w:r w:rsidRPr="006265EF">
        <w:rPr>
          <w:i/>
          <w:iCs/>
          <w:sz w:val="21"/>
          <w:szCs w:val="21"/>
        </w:rPr>
        <w:t>the system working</w:t>
      </w:r>
      <w:r w:rsidRPr="006265EF">
        <w:rPr>
          <w:sz w:val="21"/>
          <w:szCs w:val="21"/>
        </w:rPr>
        <w:t xml:space="preserve"> (e.g., review SLAs, audit cycles, closure rates), not only a “readiness %”. </w:t>
      </w:r>
      <w:hyperlink r:id="rId17">
        <w:r w:rsidRPr="006265EF">
          <w:rPr>
            <w:rStyle w:val="Hyperlink"/>
            <w:sz w:val="21"/>
            <w:szCs w:val="21"/>
          </w:rPr>
          <w:t>[2]</w:t>
        </w:r>
      </w:hyperlink>
    </w:p>
    <w:p w14:paraId="18314CC7" w14:textId="77777777" w:rsidR="00FA4D6E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 xml:space="preserve">Why this matters specifically for “Institutionalise AI” Institutionalisation is achieved when AI becomes: measurable, repeatable, governable, auditable, and economically managed across teams. Your dashboard already has the right </w:t>
      </w:r>
      <w:r w:rsidRPr="006265EF">
        <w:rPr>
          <w:i/>
          <w:iCs/>
          <w:sz w:val="21"/>
          <w:szCs w:val="21"/>
        </w:rPr>
        <w:t>shape</w:t>
      </w:r>
      <w:r w:rsidRPr="006265EF">
        <w:rPr>
          <w:sz w:val="21"/>
          <w:szCs w:val="21"/>
        </w:rPr>
        <w:t xml:space="preserve"> (value + delivery + governance + workforce). </w:t>
      </w:r>
      <w:r w:rsidRPr="006265EF">
        <w:rPr>
          <w:sz w:val="21"/>
          <w:szCs w:val="21"/>
        </w:rPr>
        <w:br/>
      </w:r>
    </w:p>
    <w:p w14:paraId="1CA61A40" w14:textId="37A38BA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t>To make it production-grade for CXOs, the next step is to convert it from a quarterly narrative pack into an operational instrument panel with definitions, drill-down, and evidence.</w:t>
      </w:r>
    </w:p>
    <w:bookmarkEnd w:id="1"/>
    <w:bookmarkEnd w:id="2"/>
    <w:bookmarkEnd w:id="7"/>
    <w:p w14:paraId="1CA61A41" w14:textId="77777777" w:rsidR="00BB1D05" w:rsidRPr="006265EF" w:rsidRDefault="009C1B00" w:rsidP="00C1461F">
      <w:pPr>
        <w:rPr>
          <w:sz w:val="21"/>
          <w:szCs w:val="21"/>
        </w:rPr>
      </w:pPr>
      <w:r>
        <w:pict w14:anchorId="36BBB945">
          <v:rect id="Horizontal Line 1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bookmarkStart w:id="8" w:name="citations"/>
    <w:p w14:paraId="1CA61A42" w14:textId="77777777" w:rsidR="00BB1D05" w:rsidRPr="006265EF" w:rsidRDefault="00831B28" w:rsidP="00C1461F">
      <w:pPr>
        <w:pStyle w:val="FirstParagraph"/>
        <w:spacing w:before="0"/>
        <w:rPr>
          <w:sz w:val="21"/>
          <w:szCs w:val="21"/>
        </w:rPr>
      </w:pPr>
      <w:r w:rsidRPr="006265EF">
        <w:rPr>
          <w:sz w:val="21"/>
          <w:szCs w:val="21"/>
        </w:rPr>
        <w:fldChar w:fldCharType="begin"/>
      </w:r>
      <w:r w:rsidRPr="006265EF">
        <w:rPr>
          <w:sz w:val="21"/>
          <w:szCs w:val="21"/>
        </w:rPr>
        <w:instrText>HYPERLINK "https://nvlpubs.nist.gov/nistpubs/ai/NIST.AI.100-1.pdf" \h</w:instrText>
      </w:r>
      <w:r w:rsidRPr="006265EF">
        <w:rPr>
          <w:sz w:val="21"/>
          <w:szCs w:val="21"/>
        </w:rPr>
      </w:r>
      <w:r w:rsidRPr="006265EF">
        <w:rPr>
          <w:sz w:val="21"/>
          <w:szCs w:val="21"/>
        </w:rPr>
        <w:fldChar w:fldCharType="separate"/>
      </w:r>
      <w:r w:rsidRPr="006265EF">
        <w:rPr>
          <w:rStyle w:val="Hyperlink"/>
          <w:sz w:val="21"/>
          <w:szCs w:val="21"/>
        </w:rPr>
        <w:t>[1]</w:t>
      </w:r>
      <w:r w:rsidRPr="006265EF">
        <w:rPr>
          <w:sz w:val="21"/>
          <w:szCs w:val="21"/>
        </w:rPr>
        <w:fldChar w:fldCharType="end"/>
      </w:r>
      <w:r w:rsidRPr="006265EF">
        <w:rPr>
          <w:sz w:val="21"/>
          <w:szCs w:val="21"/>
        </w:rPr>
        <w:t xml:space="preserve"> Artificial Intelligence Risk Management Framework (AI RMF 1.0)</w:t>
      </w:r>
    </w:p>
    <w:p w14:paraId="1CA61A43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hyperlink r:id="rId18">
        <w:r w:rsidRPr="006265EF">
          <w:rPr>
            <w:rStyle w:val="Hyperlink"/>
            <w:sz w:val="21"/>
            <w:szCs w:val="21"/>
          </w:rPr>
          <w:t>https://nvlpubs.nist.gov/nistpubs/ai/NIST.AI.100-1.pdf</w:t>
        </w:r>
      </w:hyperlink>
    </w:p>
    <w:p w14:paraId="1CA61A44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hyperlink r:id="rId19">
        <w:r w:rsidRPr="006265EF">
          <w:rPr>
            <w:rStyle w:val="Hyperlink"/>
            <w:sz w:val="21"/>
            <w:szCs w:val="21"/>
          </w:rPr>
          <w:t>[2]</w:t>
        </w:r>
      </w:hyperlink>
      <w:r w:rsidRPr="006265EF">
        <w:rPr>
          <w:sz w:val="21"/>
          <w:szCs w:val="21"/>
        </w:rPr>
        <w:t xml:space="preserve"> </w:t>
      </w:r>
      <w:hyperlink r:id="rId20">
        <w:r w:rsidRPr="006265EF">
          <w:rPr>
            <w:rStyle w:val="Hyperlink"/>
            <w:sz w:val="21"/>
            <w:szCs w:val="21"/>
          </w:rPr>
          <w:t>[6]</w:t>
        </w:r>
      </w:hyperlink>
      <w:r w:rsidRPr="006265EF">
        <w:rPr>
          <w:sz w:val="21"/>
          <w:szCs w:val="21"/>
        </w:rPr>
        <w:t xml:space="preserve"> ISO/IEC 42001:2023 - AI management systems</w:t>
      </w:r>
    </w:p>
    <w:p w14:paraId="1CA61A45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hyperlink r:id="rId21">
        <w:r w:rsidRPr="006265EF">
          <w:rPr>
            <w:rStyle w:val="Hyperlink"/>
            <w:sz w:val="21"/>
            <w:szCs w:val="21"/>
          </w:rPr>
          <w:t>https://www.iso.org/standard/42001</w:t>
        </w:r>
      </w:hyperlink>
    </w:p>
    <w:p w14:paraId="1CA61A46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hyperlink r:id="rId22">
        <w:r w:rsidRPr="006265EF">
          <w:rPr>
            <w:rStyle w:val="Hyperlink"/>
            <w:sz w:val="21"/>
            <w:szCs w:val="21"/>
          </w:rPr>
          <w:t>[3]</w:t>
        </w:r>
      </w:hyperlink>
      <w:r w:rsidRPr="006265EF">
        <w:rPr>
          <w:sz w:val="21"/>
          <w:szCs w:val="21"/>
        </w:rPr>
        <w:t xml:space="preserve"> </w:t>
      </w:r>
      <w:hyperlink r:id="rId23">
        <w:r w:rsidRPr="006265EF">
          <w:rPr>
            <w:rStyle w:val="Hyperlink"/>
            <w:sz w:val="21"/>
            <w:szCs w:val="21"/>
          </w:rPr>
          <w:t>[7]</w:t>
        </w:r>
      </w:hyperlink>
      <w:r w:rsidRPr="006265EF">
        <w:rPr>
          <w:sz w:val="21"/>
          <w:szCs w:val="21"/>
        </w:rPr>
        <w:t xml:space="preserve"> LLMRisks Archive - OWASP Gen AI Security Project</w:t>
      </w:r>
    </w:p>
    <w:p w14:paraId="1CA61A47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hyperlink r:id="rId24">
        <w:r w:rsidRPr="006265EF">
          <w:rPr>
            <w:rStyle w:val="Hyperlink"/>
            <w:sz w:val="21"/>
            <w:szCs w:val="21"/>
          </w:rPr>
          <w:t>https://genai.owasp.org/llm-top-10/</w:t>
        </w:r>
      </w:hyperlink>
    </w:p>
    <w:p w14:paraId="1CA61A48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hyperlink r:id="rId25">
        <w:r w:rsidRPr="006265EF">
          <w:rPr>
            <w:rStyle w:val="Hyperlink"/>
            <w:sz w:val="21"/>
            <w:szCs w:val="21"/>
          </w:rPr>
          <w:t>[4]</w:t>
        </w:r>
      </w:hyperlink>
      <w:r w:rsidRPr="006265EF">
        <w:rPr>
          <w:sz w:val="21"/>
          <w:szCs w:val="21"/>
        </w:rPr>
        <w:t xml:space="preserve"> </w:t>
      </w:r>
      <w:hyperlink r:id="rId26">
        <w:r w:rsidRPr="006265EF">
          <w:rPr>
            <w:rStyle w:val="Hyperlink"/>
            <w:sz w:val="21"/>
            <w:szCs w:val="21"/>
          </w:rPr>
          <w:t>[5]</w:t>
        </w:r>
      </w:hyperlink>
      <w:r w:rsidRPr="006265EF">
        <w:rPr>
          <w:sz w:val="21"/>
          <w:szCs w:val="21"/>
        </w:rPr>
        <w:t xml:space="preserve"> AI Act | Shaping Europe’s digital future</w:t>
      </w:r>
    </w:p>
    <w:p w14:paraId="1CA61A49" w14:textId="77777777" w:rsidR="00BB1D05" w:rsidRPr="006265EF" w:rsidRDefault="00831B28" w:rsidP="00C1461F">
      <w:pPr>
        <w:pStyle w:val="BodyText"/>
        <w:spacing w:before="0"/>
        <w:rPr>
          <w:sz w:val="21"/>
          <w:szCs w:val="21"/>
        </w:rPr>
      </w:pPr>
      <w:hyperlink r:id="rId27">
        <w:r w:rsidRPr="006265EF">
          <w:rPr>
            <w:rStyle w:val="Hyperlink"/>
            <w:sz w:val="21"/>
            <w:szCs w:val="21"/>
          </w:rPr>
          <w:t>https://digital-strategy.ec.europa.eu/en/policies/regulatory-framework-ai</w:t>
        </w:r>
      </w:hyperlink>
      <w:bookmarkEnd w:id="8"/>
    </w:p>
    <w:sectPr w:rsidR="00BB1D05" w:rsidRPr="006265EF" w:rsidSect="00C130D6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266A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FAF8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01832724">
    <w:abstractNumId w:val="0"/>
  </w:num>
  <w:num w:numId="2" w16cid:durableId="1022436555">
    <w:abstractNumId w:val="1"/>
  </w:num>
  <w:num w:numId="3" w16cid:durableId="1369447375">
    <w:abstractNumId w:val="1"/>
  </w:num>
  <w:num w:numId="4" w16cid:durableId="948777575">
    <w:abstractNumId w:val="1"/>
  </w:num>
  <w:num w:numId="5" w16cid:durableId="522673783">
    <w:abstractNumId w:val="1"/>
  </w:num>
  <w:num w:numId="6" w16cid:durableId="1083914465">
    <w:abstractNumId w:val="1"/>
  </w:num>
  <w:num w:numId="7" w16cid:durableId="494876693">
    <w:abstractNumId w:val="1"/>
  </w:num>
  <w:num w:numId="8" w16cid:durableId="252057832">
    <w:abstractNumId w:val="1"/>
  </w:num>
  <w:num w:numId="9" w16cid:durableId="653415769">
    <w:abstractNumId w:val="1"/>
  </w:num>
  <w:num w:numId="10" w16cid:durableId="1390111249">
    <w:abstractNumId w:val="1"/>
  </w:num>
  <w:num w:numId="11" w16cid:durableId="308558440">
    <w:abstractNumId w:val="1"/>
  </w:num>
  <w:num w:numId="12" w16cid:durableId="956760678">
    <w:abstractNumId w:val="1"/>
  </w:num>
  <w:num w:numId="13" w16cid:durableId="364409449">
    <w:abstractNumId w:val="1"/>
  </w:num>
  <w:num w:numId="14" w16cid:durableId="238833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D05"/>
    <w:rsid w:val="006265EF"/>
    <w:rsid w:val="006A05DB"/>
    <w:rsid w:val="00831B28"/>
    <w:rsid w:val="009363F0"/>
    <w:rsid w:val="009C1B00"/>
    <w:rsid w:val="009D6187"/>
    <w:rsid w:val="00BB1D05"/>
    <w:rsid w:val="00C130D6"/>
    <w:rsid w:val="00C1461F"/>
    <w:rsid w:val="00ED2C29"/>
    <w:rsid w:val="00F42194"/>
    <w:rsid w:val="00FA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CA618D8"/>
  <w15:docId w15:val="{0FA18C2C-26CA-7840-A7E0-3B86634C2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-strategy.ec.europa.eu/en/policies/regulatory-framework-ai" TargetMode="External"/><Relationship Id="rId13" Type="http://schemas.openxmlformats.org/officeDocument/2006/relationships/hyperlink" Target="https://www.iso.org/standard/42001" TargetMode="External"/><Relationship Id="rId18" Type="http://schemas.openxmlformats.org/officeDocument/2006/relationships/hyperlink" Target="https://nvlpubs.nist.gov/nistpubs/ai/NIST.AI.100-1.pdf" TargetMode="External"/><Relationship Id="rId26" Type="http://schemas.openxmlformats.org/officeDocument/2006/relationships/hyperlink" Target="https://digital-strategy.ec.europa.eu/en/policies/regulatory-framework-a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so.org/standard/42001" TargetMode="External"/><Relationship Id="rId7" Type="http://schemas.openxmlformats.org/officeDocument/2006/relationships/hyperlink" Target="https://genai.owasp.org/llm-top-10/" TargetMode="External"/><Relationship Id="rId12" Type="http://schemas.openxmlformats.org/officeDocument/2006/relationships/hyperlink" Target="https://digital-strategy.ec.europa.eu/en/policies/regulatory-framework-ai" TargetMode="External"/><Relationship Id="rId17" Type="http://schemas.openxmlformats.org/officeDocument/2006/relationships/hyperlink" Target="https://www.iso.org/standard/42001" TargetMode="External"/><Relationship Id="rId25" Type="http://schemas.openxmlformats.org/officeDocument/2006/relationships/hyperlink" Target="https://digital-strategy.ec.europa.eu/en/policies/regulatory-framework-ai" TargetMode="External"/><Relationship Id="rId2" Type="http://schemas.openxmlformats.org/officeDocument/2006/relationships/styles" Target="styles.xml"/><Relationship Id="rId16" Type="http://schemas.openxmlformats.org/officeDocument/2006/relationships/hyperlink" Target="https://nvlpubs.nist.gov/nistpubs/ai/NIST.AI.100-1.pdf" TargetMode="External"/><Relationship Id="rId20" Type="http://schemas.openxmlformats.org/officeDocument/2006/relationships/hyperlink" Target="https://www.iso.org/standard/42001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iso.org/standard/42001" TargetMode="External"/><Relationship Id="rId11" Type="http://schemas.openxmlformats.org/officeDocument/2006/relationships/hyperlink" Target="https://genai.owasp.org/llm-top-10/" TargetMode="External"/><Relationship Id="rId24" Type="http://schemas.openxmlformats.org/officeDocument/2006/relationships/hyperlink" Target="https://genai.owasp.org/llm-top-10/" TargetMode="External"/><Relationship Id="rId5" Type="http://schemas.openxmlformats.org/officeDocument/2006/relationships/hyperlink" Target="https://nvlpubs.nist.gov/nistpubs/ai/NIST.AI.100-1.pdf" TargetMode="External"/><Relationship Id="rId15" Type="http://schemas.openxmlformats.org/officeDocument/2006/relationships/hyperlink" Target="https://digital-strategy.ec.europa.eu/en/policies/regulatory-framework-ai" TargetMode="External"/><Relationship Id="rId23" Type="http://schemas.openxmlformats.org/officeDocument/2006/relationships/hyperlink" Target="https://genai.owasp.org/llm-top-10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enai.owasp.org/llm-top-10/" TargetMode="External"/><Relationship Id="rId19" Type="http://schemas.openxmlformats.org/officeDocument/2006/relationships/hyperlink" Target="https://www.iso.org/standard/420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gital-strategy.ec.europa.eu/en/policies/regulatory-framework-ai" TargetMode="External"/><Relationship Id="rId14" Type="http://schemas.openxmlformats.org/officeDocument/2006/relationships/hyperlink" Target="https://genai.owasp.org/llm-top-10/" TargetMode="External"/><Relationship Id="rId22" Type="http://schemas.openxmlformats.org/officeDocument/2006/relationships/hyperlink" Target="https://genai.owasp.org/llm-top-10/" TargetMode="External"/><Relationship Id="rId27" Type="http://schemas.openxmlformats.org/officeDocument/2006/relationships/hyperlink" Target="https://digital-strategy.ec.europa.eu/en/policies/regulatory-framework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3478</Words>
  <Characters>22717</Characters>
  <Application>Microsoft Office Word</Application>
  <DocSecurity>0</DocSecurity>
  <Lines>2271</Lines>
  <Paragraphs>396</Paragraphs>
  <ScaleCrop>false</ScaleCrop>
  <Company/>
  <LinksUpToDate>false</LinksUpToDate>
  <CharactersWithSpaces>25799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Uma Mudigonda</cp:lastModifiedBy>
  <cp:revision>9</cp:revision>
  <dcterms:created xsi:type="dcterms:W3CDTF">2026-04-13T19:38:00Z</dcterms:created>
  <dcterms:modified xsi:type="dcterms:W3CDTF">2026-04-13T19:45:00Z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