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1FD08" w14:textId="77777777" w:rsidR="009E4113" w:rsidRDefault="00000000">
      <w:pPr>
        <w:spacing w:after="60"/>
      </w:pPr>
      <w:r>
        <w:rPr>
          <w:b/>
          <w:bCs/>
          <w:color w:val="1E3A5F"/>
          <w:sz w:val="52"/>
          <w:szCs w:val="52"/>
        </w:rPr>
        <w:t>AIgnition 3.0</w:t>
      </w:r>
    </w:p>
    <w:p w14:paraId="4E6517C3" w14:textId="77777777" w:rsidR="009E4113" w:rsidRDefault="00000000">
      <w:pPr>
        <w:spacing w:after="40"/>
      </w:pPr>
      <w:r>
        <w:rPr>
          <w:color w:val="2563EB"/>
          <w:sz w:val="30"/>
          <w:szCs w:val="30"/>
        </w:rPr>
        <w:t>Probabilistic Revenue Forecasting for E-commerce Marketing</w:t>
      </w:r>
    </w:p>
    <w:p w14:paraId="174D776C" w14:textId="77777777" w:rsidR="009E4113" w:rsidRDefault="00000000">
      <w:pPr>
        <w:spacing w:after="40"/>
      </w:pPr>
      <w:r>
        <w:rPr>
          <w:i/>
          <w:iCs/>
          <w:color w:val="6B7280"/>
          <w:sz w:val="26"/>
          <w:szCs w:val="26"/>
        </w:rPr>
        <w:t>Technical Documentation</w:t>
      </w:r>
    </w:p>
    <w:p w14:paraId="062CE648" w14:textId="77777777" w:rsidR="009E4113" w:rsidRDefault="00000000">
      <w:pPr>
        <w:pStyle w:val="Heading1"/>
        <w:spacing w:before="320" w:after="160"/>
      </w:pPr>
      <w:r>
        <w:t>1. Forecasting Methodology</w:t>
      </w:r>
    </w:p>
    <w:p w14:paraId="038B0A5D" w14:textId="77777777" w:rsidR="009E4113" w:rsidRDefault="00000000">
      <w:pPr>
        <w:spacing w:after="140"/>
      </w:pPr>
      <w:r>
        <w:t>The forecasting engine is built as a transparent, three-layer decomposition rather than a single black-box model, so that every number in the output can be traced back to a plain-English cause. This directly targets the brief's requirement for forecasts that "explain why performance is expected to improve or decline", and the evaluation rubric's emphasis on business interpretability.</w:t>
      </w:r>
    </w:p>
    <w:p w14:paraId="081939BA" w14:textId="77777777" w:rsidR="009E4113" w:rsidRDefault="00000000">
      <w:pPr>
        <w:pStyle w:val="Heading2"/>
        <w:spacing w:before="240" w:after="120"/>
      </w:pPr>
      <w:r>
        <w:t>1.1 Layer 1 — Trend &amp; seasonality decomposition</w:t>
      </w:r>
    </w:p>
    <w:p w14:paraId="4AC840ED" w14:textId="77777777" w:rsidR="009E4113" w:rsidRDefault="00000000">
      <w:pPr>
        <w:spacing w:after="140"/>
      </w:pPr>
      <w:r>
        <w:t>Daily channel-level data is aggregated to weekly grain (matching the brief's requirement for aggregate-period rather than daily forecasts). For each forecasting segment (channel, channel × campaign-type, or individual campaign), a robust linear fit of log(1+revenue) against week index recovers an organic weekly growth rate. The residual left after removing this trend is grouped by calendar month to derive a seasonal index — a log-scale multiplier capturing which months over- or under-perform the trend line for that specific segment.</w:t>
      </w:r>
    </w:p>
    <w:p w14:paraId="7F6FB250" w14:textId="77777777" w:rsidR="009E4113" w:rsidRDefault="00000000">
      <w:pPr>
        <w:pStyle w:val="Heading2"/>
        <w:spacing w:before="240" w:after="120"/>
      </w:pPr>
      <w:r>
        <w:t>1.2 Layer 2 — Spend-response (budget) elasticity curve</w:t>
      </w:r>
    </w:p>
    <w:p w14:paraId="7B18AEAE" w14:textId="77777777" w:rsidR="009E4113" w:rsidRDefault="00000000">
      <w:pPr>
        <w:spacing w:after="140"/>
      </w:pPr>
      <w:r>
        <w:t>A log-log regression of log(1+revenue) on log(1+spend) is fit per segment: revenue ≈ a · spend^b. The exponent b ("elasticity") is clipped to a realistic 0.05–1.3 range and is the mechanism the brief calls for as an "additional function to forecast revenue based on different media budgets": b close to 1 implies revenue scales almost linearly with spend; b well below 1 implies the segment is near saturation, so extra budget buys progressively less incremental revenue. This is explicitly a simple, per-segment response curve — not a cross-channel Media Mix Model or a custom attribution engine, both of which the brief states are out of scope.</w:t>
      </w:r>
    </w:p>
    <w:p w14:paraId="7CF240B8" w14:textId="77777777" w:rsidR="009E4113" w:rsidRDefault="00000000">
      <w:pPr>
        <w:pStyle w:val="Heading2"/>
        <w:spacing w:before="240" w:after="120"/>
      </w:pPr>
      <w:r>
        <w:t>1.3 Layer 3 — Probabilistic simulation (Monte Carlo)</w:t>
      </w:r>
    </w:p>
    <w:p w14:paraId="74A9C841" w14:textId="77777777" w:rsidR="009E4113" w:rsidRDefault="00000000">
      <w:pPr>
        <w:spacing w:after="140"/>
      </w:pPr>
      <w:r>
        <w:t>Rather than fitting an opaque quantile-regression model, uncertainty bands are produced by Monte Carlo sampling directly from each segment's own historical residual volatility (its log-scale standard deviation around the trend + seasonality fit). For a given horizon (30/60/90 days) and a chosen future budget scenario, 2,000 simulated weekly paths are generated and summed; the 10th/50th/90th percentiles of the resulting distribution become the reported P10/P50/P90 revenue and ROAS ranges. This keeps every uncertainty band traceable to "how volatile has this specific segment actually been", rather than a generic global error bar.</w:t>
      </w:r>
    </w:p>
    <w:p w14:paraId="307457BB" w14:textId="77777777" w:rsidR="009E4113" w:rsidRDefault="00000000">
      <w:pPr>
        <w:spacing w:after="140"/>
      </w:pPr>
      <w:r>
        <w:t>Note on interpretation: because weekly revenue is modelled as log-normal, the median of several summed weekly draws is mathematically somewhat higher than the historical per-week median multiplied by the number of weeks — this is expected right-skew behaviour of aggregated log-normal variables, not a forecasting bug, and is disclosed here for transparency.</w:t>
      </w:r>
    </w:p>
    <w:p w14:paraId="7A566CFC" w14:textId="77777777" w:rsidR="009E4113" w:rsidRDefault="00000000">
      <w:pPr>
        <w:pStyle w:val="Heading1"/>
        <w:spacing w:before="320" w:after="160"/>
      </w:pPr>
      <w:r>
        <w:t>2. Model Selection</w:t>
      </w:r>
    </w:p>
    <w:p w14:paraId="609FE765" w14:textId="77777777" w:rsidR="009E4113" w:rsidRDefault="00000000">
      <w:pPr>
        <w:spacing w:after="140"/>
      </w:pPr>
      <w:r>
        <w:t xml:space="preserve">Given the hackathon's explicit constraints — aggregate-period (not daily) forecasts, probabilistic ranges, existing attribution treated as source of truth, and a realistic timeline — the team deliberately chose an </w:t>
      </w:r>
      <w:r>
        <w:lastRenderedPageBreak/>
        <w:t>explainable statistical approach over a deep-learning or heavy gradient-boosted-tree model, for three reasons:</w:t>
      </w:r>
    </w:p>
    <w:p w14:paraId="717D049A" w14:textId="77777777" w:rsidR="009E4113" w:rsidRDefault="00000000">
      <w:pPr>
        <w:pStyle w:val="ListParagraph"/>
        <w:numPr>
          <w:ilvl w:val="0"/>
          <w:numId w:val="1"/>
        </w:numPr>
        <w:spacing w:after="80"/>
      </w:pPr>
      <w:r>
        <w:t>Data volume per segment is modest (roughly 100–110 weeks of channel-level history, far less at individual campaign grain), which favours low-variance linear/log-linear estimators over high-capacity models prone to overfitting.</w:t>
      </w:r>
    </w:p>
    <w:p w14:paraId="64266BE6" w14:textId="77777777" w:rsidR="009E4113" w:rsidRDefault="00000000">
      <w:pPr>
        <w:pStyle w:val="ListParagraph"/>
        <w:numPr>
          <w:ilvl w:val="0"/>
          <w:numId w:val="1"/>
        </w:numPr>
        <w:spacing w:after="80"/>
      </w:pPr>
      <w:r>
        <w:t>Business interpretability was an explicit evaluation criterion; every parameter in the chosen models (trend %, elasticity, seasonal index, residual volatility) has a direct, auditable business meaning, whereas a gradient-boosted quantile model's internals do not.</w:t>
      </w:r>
    </w:p>
    <w:p w14:paraId="31063C62" w14:textId="77777777" w:rsidR="009E4113" w:rsidRDefault="00000000">
      <w:pPr>
        <w:pStyle w:val="ListParagraph"/>
        <w:numPr>
          <w:ilvl w:val="0"/>
          <w:numId w:val="1"/>
        </w:numPr>
        <w:spacing w:after="80"/>
      </w:pPr>
      <w:r>
        <w:t>Reliability under the submission guide's strict reproducibility constraints (no retraining at grading time, no network access, pinned dependencies) favours simple closed-form regressions over models with heavier, version-sensitive dependencies (e.g. LightGBM/XGBoost) that are the single most common cause of pickling/unpickling failures per the guide's own Section 5.</w:t>
      </w:r>
    </w:p>
    <w:p w14:paraId="57474FAC" w14:textId="77777777" w:rsidR="009E4113" w:rsidRDefault="00000000">
      <w:pPr>
        <w:spacing w:after="140"/>
      </w:pPr>
      <w:r>
        <w:t>The same architecture supports upgrading any single layer later (e.g. swapping the linear trend for a Prophet/ETS model, or the elasticity curve for a Bayesian hierarchical model) without touching the rest of the pipeline, since each layer's output is a well-defined, independent set of parameters consumed by the Monte Carlo simulator.</w:t>
      </w:r>
    </w:p>
    <w:p w14:paraId="65C84BAE" w14:textId="77777777" w:rsidR="009E4113" w:rsidRDefault="00000000">
      <w:pPr>
        <w:pStyle w:val="Heading1"/>
        <w:spacing w:before="320" w:after="160"/>
      </w:pPr>
      <w:r>
        <w:t>3. Data Preprocessing Logic</w:t>
      </w:r>
    </w:p>
    <w:p w14:paraId="500C3604" w14:textId="77777777" w:rsidR="009E4113" w:rsidRDefault="00000000">
      <w:pPr>
        <w:pStyle w:val="Heading2"/>
        <w:spacing w:before="240" w:after="120"/>
      </w:pPr>
      <w:r>
        <w:t>3.1 Ingestion &amp; schema unification</w:t>
      </w:r>
    </w:p>
    <w:p w14:paraId="7F810F31" w14:textId="77777777" w:rsidR="009E4113" w:rsidRDefault="00000000">
      <w:pPr>
        <w:spacing w:after="140"/>
      </w:pPr>
      <w:r>
        <w:t>Google Ads, Microsoft (Bing) Ads, and Meta Ads exports arrive in three different native schemas (see Architecture Overview, Section 3, for exact field mappings). Files are discovered by filename pattern rather than hardcoded names, so the pipeline tolerates the held-out test data described in the submission guide. All three are unified into one canonical long table: date, channel, campaign_id, campaign_name, campaign_type, spend, revenue, conversions, clicks, impressions, daily_budget.</w:t>
      </w:r>
    </w:p>
    <w:p w14:paraId="1530BF8B" w14:textId="77777777" w:rsidR="009E4113" w:rsidRDefault="00000000">
      <w:pPr>
        <w:spacing w:after="140"/>
      </w:pPr>
      <w:r>
        <w:t>Meta Ads has no native campaign-type field; one is inferred from the campaign-naming convention observed in the supplied sample data (Prospecting / Remarketing / Brand / Catalog-DPA / Generic), with an "Other" fallback bucket for unmatched names.</w:t>
      </w:r>
    </w:p>
    <w:p w14:paraId="0A30EAFA" w14:textId="77777777" w:rsidR="009E4113" w:rsidRDefault="00000000">
      <w:pPr>
        <w:pStyle w:val="Heading2"/>
        <w:spacing w:before="240" w:after="120"/>
      </w:pPr>
      <w:r>
        <w:t>3.2 Campaign-consistency validation</w:t>
      </w:r>
    </w:p>
    <w:p w14:paraId="11B32422" w14:textId="77777777" w:rsidR="009E4113" w:rsidRDefault="00000000">
      <w:pPr>
        <w:spacing w:after="140"/>
      </w:pPr>
      <w:r>
        <w:t>Before any modelling, the ingested table is validated for:</w:t>
      </w:r>
    </w:p>
    <w:p w14:paraId="207DDF61" w14:textId="77777777" w:rsidR="009E4113" w:rsidRDefault="00000000">
      <w:pPr>
        <w:pStyle w:val="ListParagraph"/>
        <w:numPr>
          <w:ilvl w:val="0"/>
          <w:numId w:val="1"/>
        </w:numPr>
        <w:spacing w:after="80"/>
      </w:pPr>
      <w:r>
        <w:t>A campaign_id mapping to more than one campaign_name or campaign_type across rows (resolved to the most frequent value).</w:t>
      </w:r>
    </w:p>
    <w:p w14:paraId="17EF5A77" w14:textId="77777777" w:rsidR="009E4113" w:rsidRDefault="00000000">
      <w:pPr>
        <w:pStyle w:val="ListParagraph"/>
        <w:numPr>
          <w:ilvl w:val="0"/>
          <w:numId w:val="1"/>
        </w:numPr>
        <w:spacing w:after="80"/>
      </w:pPr>
      <w:r>
        <w:t>Duplicate (campaign_id, date) rows (summed rather than double-counted).</w:t>
      </w:r>
    </w:p>
    <w:p w14:paraId="546E52FB" w14:textId="77777777" w:rsidR="009E4113" w:rsidRDefault="00000000">
      <w:pPr>
        <w:pStyle w:val="ListParagraph"/>
        <w:numPr>
          <w:ilvl w:val="0"/>
          <w:numId w:val="1"/>
        </w:numPr>
        <w:spacing w:after="80"/>
      </w:pPr>
      <w:r>
        <w:t>Negative spend or revenue values (clipped to zero).</w:t>
      </w:r>
    </w:p>
    <w:p w14:paraId="27725987" w14:textId="77777777" w:rsidR="009E4113" w:rsidRDefault="00000000">
      <w:pPr>
        <w:pStyle w:val="ListParagraph"/>
        <w:numPr>
          <w:ilvl w:val="0"/>
          <w:numId w:val="1"/>
        </w:numPr>
        <w:spacing w:after="80"/>
      </w:pPr>
      <w:r>
        <w:t>Spend recorded with zero impressions (flagged as a possible tracking gap, not auto-corrected).</w:t>
      </w:r>
    </w:p>
    <w:p w14:paraId="68E14A8F" w14:textId="77777777" w:rsidR="009E4113" w:rsidRDefault="00000000">
      <w:pPr>
        <w:pStyle w:val="ListParagraph"/>
        <w:numPr>
          <w:ilvl w:val="0"/>
          <w:numId w:val="1"/>
        </w:numPr>
        <w:spacing w:after="80"/>
      </w:pPr>
      <w:r>
        <w:t>Missing days inside a campaign's active date range (treated as zero-spend/zero-revenue days rather than dropped).</w:t>
      </w:r>
    </w:p>
    <w:p w14:paraId="25F64AD5" w14:textId="77777777" w:rsidR="009E4113" w:rsidRDefault="00000000">
      <w:pPr>
        <w:pStyle w:val="ListParagraph"/>
        <w:numPr>
          <w:ilvl w:val="0"/>
          <w:numId w:val="1"/>
        </w:numPr>
        <w:spacing w:after="80"/>
      </w:pPr>
      <w:r>
        <w:t>Missing daily_budget values (excluded only from elasticity fitting, retained in historical actuals).</w:t>
      </w:r>
    </w:p>
    <w:p w14:paraId="74A1A305" w14:textId="77777777" w:rsidR="009E4113" w:rsidRDefault="00000000">
      <w:pPr>
        <w:spacing w:after="140"/>
      </w:pPr>
      <w:r>
        <w:t>The validation report is written to validation_</w:t>
      </w:r>
      <w:proofErr w:type="gramStart"/>
      <w:r>
        <w:t>report.json</w:t>
      </w:r>
      <w:proofErr w:type="gramEnd"/>
      <w:r>
        <w:t xml:space="preserve"> on every run and surfaced in the Streamlit prototype's Ingestion tab, so a human reviewer sees exactly what was auto-corrected before trusting the forecast.</w:t>
      </w:r>
    </w:p>
    <w:p w14:paraId="77F7E841" w14:textId="77777777" w:rsidR="009E4113" w:rsidRDefault="00000000">
      <w:pPr>
        <w:pStyle w:val="Heading2"/>
        <w:spacing w:before="240" w:after="120"/>
      </w:pPr>
      <w:r>
        <w:t>3.3 Weekly aggregation</w:t>
      </w:r>
    </w:p>
    <w:p w14:paraId="7C96061D" w14:textId="77777777" w:rsidR="009E4113" w:rsidRDefault="00000000">
      <w:pPr>
        <w:spacing w:after="140"/>
      </w:pPr>
      <w:r>
        <w:lastRenderedPageBreak/>
        <w:t>Cleaned daily rows are aggregated to weekly grain at three grains simultaneously — channel, channel × campaign-type, and channel × campaign-type × campaign — since the brief requires forecast outputs at all three levels.</w:t>
      </w:r>
    </w:p>
    <w:p w14:paraId="22757428" w14:textId="77777777" w:rsidR="009E4113" w:rsidRDefault="00000000">
      <w:pPr>
        <w:pStyle w:val="Heading1"/>
        <w:spacing w:before="320" w:after="160"/>
      </w:pPr>
      <w:r>
        <w:t>4. Assumptions</w:t>
      </w:r>
    </w:p>
    <w:p w14:paraId="0EF5F27C" w14:textId="77777777" w:rsidR="009E4113" w:rsidRDefault="00000000">
      <w:pPr>
        <w:pStyle w:val="ListParagraph"/>
        <w:numPr>
          <w:ilvl w:val="0"/>
          <w:numId w:val="1"/>
        </w:numPr>
        <w:spacing w:after="80"/>
      </w:pPr>
      <w:r>
        <w:t>Existing channel-level attribution (as supplied in each platform's own conversion/revenue export) is treated as ground truth, per the brief's explicit constraint; no cross-channel de-duplication or re-attribution is attempted.</w:t>
      </w:r>
    </w:p>
    <w:p w14:paraId="0C642B42" w14:textId="77777777" w:rsidR="009E4113" w:rsidRDefault="00000000">
      <w:pPr>
        <w:pStyle w:val="ListParagraph"/>
        <w:numPr>
          <w:ilvl w:val="0"/>
          <w:numId w:val="1"/>
        </w:numPr>
        <w:spacing w:after="80"/>
      </w:pPr>
      <w:r>
        <w:t>A campaign's future spend behaviour is reasonably approximated by its own trailing 8-week average, absent an explicit future-budget override from the user.</w:t>
      </w:r>
    </w:p>
    <w:p w14:paraId="79DC3CE5" w14:textId="77777777" w:rsidR="009E4113" w:rsidRDefault="00000000">
      <w:pPr>
        <w:pStyle w:val="ListParagraph"/>
        <w:numPr>
          <w:ilvl w:val="0"/>
          <w:numId w:val="1"/>
        </w:numPr>
        <w:spacing w:after="80"/>
      </w:pPr>
      <w:r>
        <w:t>Seasonality repeats on a monthly cycle; with roughly two years of history this captures broad seasonal direction (e.g. festive-season upswings) but not fine-grained day-of-week or promotional-calendar effects.</w:t>
      </w:r>
    </w:p>
    <w:p w14:paraId="111906B2" w14:textId="77777777" w:rsidR="009E4113" w:rsidRDefault="00000000">
      <w:pPr>
        <w:pStyle w:val="ListParagraph"/>
        <w:numPr>
          <w:ilvl w:val="0"/>
          <w:numId w:val="1"/>
        </w:numPr>
        <w:spacing w:after="80"/>
      </w:pPr>
      <w:r>
        <w:t>Spend-response elasticity estimated from ~1–2 years of historical spend levels remains approximately valid for budget scenarios within roughly 0.25×–3× of historical spend; extreme scenarios far outside this range are less reliable (the Monte Carlo simulator does not enforce a hard cap, so extreme inputs should be interpreted cautiously).</w:t>
      </w:r>
    </w:p>
    <w:p w14:paraId="0822848D" w14:textId="77777777" w:rsidR="009E4113" w:rsidRDefault="00000000">
      <w:pPr>
        <w:pStyle w:val="ListParagraph"/>
        <w:numPr>
          <w:ilvl w:val="0"/>
          <w:numId w:val="1"/>
        </w:numPr>
        <w:spacing w:after="80"/>
      </w:pPr>
      <w:r>
        <w:t>Meta's "conversion" field represents conversion value (currency), based on its scale relative to spend in the supplied sample data, not a raw conversion count.</w:t>
      </w:r>
    </w:p>
    <w:p w14:paraId="2F43DD4E" w14:textId="77777777" w:rsidR="009E4113" w:rsidRDefault="00000000">
      <w:pPr>
        <w:pStyle w:val="Heading1"/>
        <w:spacing w:before="320" w:after="160"/>
      </w:pPr>
      <w:r>
        <w:t>5. Limitations</w:t>
      </w:r>
    </w:p>
    <w:p w14:paraId="598DC922" w14:textId="77777777" w:rsidR="009E4113" w:rsidRDefault="00000000">
      <w:pPr>
        <w:pStyle w:val="ListParagraph"/>
        <w:numPr>
          <w:ilvl w:val="0"/>
          <w:numId w:val="1"/>
        </w:numPr>
        <w:spacing w:after="80"/>
      </w:pPr>
      <w:r>
        <w:t>Campaign-level forecasts for young or low-volume campaigns (fewer than ~8 weeks of history) fall back to a wide-uncertainty, low-confidence model and are flagged with a low_data_flag in the output — these should be treated as directional, not precise.</w:t>
      </w:r>
    </w:p>
    <w:p w14:paraId="2F6A085A" w14:textId="77777777" w:rsidR="009E4113" w:rsidRDefault="00000000">
      <w:pPr>
        <w:pStyle w:val="ListParagraph"/>
        <w:numPr>
          <w:ilvl w:val="0"/>
          <w:numId w:val="1"/>
        </w:numPr>
        <w:spacing w:after="80"/>
      </w:pPr>
      <w:r>
        <w:t>The elasticity curve is a simple own-channel/own-segment response function, not a true incremental-lift or geo-holdout-validated causal estimate; it should inform, not replace, controlled budget experiments.</w:t>
      </w:r>
    </w:p>
    <w:p w14:paraId="11CF26DC" w14:textId="77777777" w:rsidR="009E4113" w:rsidRDefault="00000000">
      <w:pPr>
        <w:pStyle w:val="ListParagraph"/>
        <w:numPr>
          <w:ilvl w:val="0"/>
          <w:numId w:val="1"/>
        </w:numPr>
        <w:spacing w:after="80"/>
      </w:pPr>
      <w:r>
        <w:t>Seasonality is estimated per-segment from a limited (~24-month) history, so the seasonal index is deliberately capped in magnitude to avoid overfitting to a handful of noisy months (see forecasting.py inline documentation for the exact caps and the rationale).</w:t>
      </w:r>
    </w:p>
    <w:p w14:paraId="5312884F" w14:textId="77777777" w:rsidR="009E4113" w:rsidRDefault="00000000">
      <w:pPr>
        <w:pStyle w:val="ListParagraph"/>
        <w:numPr>
          <w:ilvl w:val="0"/>
          <w:numId w:val="1"/>
        </w:numPr>
        <w:spacing w:after="80"/>
      </w:pPr>
      <w:r>
        <w:t>The tool does not perform cross-channel budget re-allocation or optimisation; it answers "what would happen to this segment at this budget", not "what is the optimal budget split across channels" (a natural next iteration, flagged in the Architecture Overview).</w:t>
      </w:r>
    </w:p>
    <w:p w14:paraId="090415FF" w14:textId="77777777" w:rsidR="009E4113" w:rsidRDefault="00000000">
      <w:pPr>
        <w:pStyle w:val="ListParagraph"/>
        <w:numPr>
          <w:ilvl w:val="0"/>
          <w:numId w:val="1"/>
        </w:numPr>
        <w:spacing w:after="80"/>
      </w:pPr>
      <w:r>
        <w:t>As required by the brief, this is explicitly not a full Media Mix Model or custom attribution engine — it consumes each platform's existing attribution as-is.</w:t>
      </w:r>
    </w:p>
    <w:p w14:paraId="7CCC7C33" w14:textId="77777777" w:rsidR="009E4113" w:rsidRDefault="00000000">
      <w:pPr>
        <w:pStyle w:val="Heading1"/>
        <w:spacing w:before="320" w:after="160"/>
      </w:pPr>
      <w:r>
        <w:t>6. AI Integration Strategy</w:t>
      </w:r>
    </w:p>
    <w:p w14:paraId="4BC5A2F1" w14:textId="77777777" w:rsidR="009E4113" w:rsidRDefault="00000000">
      <w:pPr>
        <w:spacing w:after="140"/>
      </w:pPr>
      <w:r>
        <w:t>The brief invites an AI-assisted causal-inference layer using a hosted LLM API (OpenAI, Gemini, Anthropic, or similar) for anomaly interpretation, forecast explanation, and operational-risk identification. Per an explicit project requirement for this submission, no external or paid APIs are used anywhere in the prototype, so the entire pipeline has zero network dependency and zero per-call cost at run time — which also means it trivially satisfies the submission guide's "no network calls at run time" reproducibility rule.</w:t>
      </w:r>
    </w:p>
    <w:p w14:paraId="7808DF79" w14:textId="77777777" w:rsidR="009E4113" w:rsidRDefault="00000000">
      <w:pPr>
        <w:spacing w:after="140"/>
      </w:pPr>
      <w:r>
        <w:t>In place of a hosted LLM call, src/insights.py implements a deterministic statistical-reasoning layer that produces the same category of output an LLM prompt would be asked for:</w:t>
      </w:r>
    </w:p>
    <w:p w14:paraId="077222B1" w14:textId="77777777" w:rsidR="009E4113" w:rsidRDefault="00000000">
      <w:pPr>
        <w:pStyle w:val="ListParagraph"/>
        <w:numPr>
          <w:ilvl w:val="0"/>
          <w:numId w:val="1"/>
        </w:numPr>
        <w:spacing w:after="80"/>
      </w:pPr>
      <w:r>
        <w:lastRenderedPageBreak/>
        <w:t>Trend attribution — is the segment growing, flat, or declining, and by how much per week.</w:t>
      </w:r>
    </w:p>
    <w:p w14:paraId="40A98BFC" w14:textId="77777777" w:rsidR="009E4113" w:rsidRDefault="00000000">
      <w:pPr>
        <w:pStyle w:val="ListParagraph"/>
        <w:numPr>
          <w:ilvl w:val="0"/>
          <w:numId w:val="1"/>
        </w:numPr>
        <w:spacing w:after="80"/>
      </w:pPr>
      <w:r>
        <w:t>Elasticity interpretation — is this segment currently spend-efficient or approaching saturation.</w:t>
      </w:r>
    </w:p>
    <w:p w14:paraId="436C186A" w14:textId="77777777" w:rsidR="009E4113" w:rsidRDefault="00000000">
      <w:pPr>
        <w:pStyle w:val="ListParagraph"/>
        <w:numPr>
          <w:ilvl w:val="0"/>
          <w:numId w:val="1"/>
        </w:numPr>
        <w:spacing w:after="80"/>
      </w:pPr>
      <w:r>
        <w:t>Z-score anomaly detection — weeks that deviate more than ~1.8 standard deviations from an 8-week rolling mean are flagged with the specific week and magnitude.</w:t>
      </w:r>
    </w:p>
    <w:p w14:paraId="24F17A7E" w14:textId="77777777" w:rsidR="009E4113" w:rsidRDefault="00000000">
      <w:pPr>
        <w:pStyle w:val="ListParagraph"/>
        <w:numPr>
          <w:ilvl w:val="0"/>
          <w:numId w:val="1"/>
        </w:numPr>
        <w:spacing w:after="80"/>
      </w:pPr>
      <w:r>
        <w:t>Template-based natural-language generation — the statistics above are assembled into a business-readable paragraph per segment, plus a portfolio-level executive roll-up naming the strongest-growth and largest-drag segments.</w:t>
      </w:r>
    </w:p>
    <w:p w14:paraId="5EF50166" w14:textId="77777777" w:rsidR="009E4113" w:rsidRDefault="00000000">
      <w:pPr>
        <w:spacing w:after="140"/>
      </w:pPr>
      <w:r>
        <w:t>This keeps the required shape of the deliverable — plain-English causal explanation, anomaly interpretation, and operational risk flags — while remaining fully explainable and auditable (every sentence traces back to a specific computed statistic, with no hallucination risk).</w:t>
      </w:r>
    </w:p>
    <w:p w14:paraId="784386C9" w14:textId="77777777" w:rsidR="009E4113" w:rsidRDefault="00000000">
      <w:pPr>
        <w:pStyle w:val="Heading2"/>
        <w:spacing w:before="240" w:after="120"/>
      </w:pPr>
      <w:r>
        <w:t>Future LLM integration path</w:t>
      </w:r>
    </w:p>
    <w:p w14:paraId="5196B9F7" w14:textId="77777777" w:rsidR="009E4113" w:rsidRDefault="00000000">
      <w:pPr>
        <w:spacing w:after="140"/>
      </w:pPr>
      <w:r>
        <w:t>The insight layer's public function, segment_causal_</w:t>
      </w:r>
      <w:proofErr w:type="gramStart"/>
      <w:r>
        <w:t>summary(</w:t>
      </w:r>
      <w:proofErr w:type="gramEnd"/>
      <w:r>
        <w:t>segment_name, weekly_history, model, forecast), is intentionally the only integration point a hosted LLM call would need to replace. A future iteration could pass the same statistical context (trend, elasticity, ROAS, anomalies) into an LLM prompt instead of the template engine, and swap in richer synthesis (e.g. cross-segment comparative reasoning) with no changes to the rest of the pipeline — an explicit design choice made to keep this upgrade low-risk.</w:t>
      </w:r>
    </w:p>
    <w:sectPr w:rsidR="009E411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968B8"/>
    <w:multiLevelType w:val="hybridMultilevel"/>
    <w:tmpl w:val="B0B242A0"/>
    <w:lvl w:ilvl="0" w:tplc="7F2C3634">
      <w:start w:val="1"/>
      <w:numFmt w:val="bullet"/>
      <w:lvlText w:val="●"/>
      <w:lvlJc w:val="left"/>
      <w:pPr>
        <w:ind w:left="720" w:hanging="360"/>
      </w:pPr>
    </w:lvl>
    <w:lvl w:ilvl="1" w:tplc="E6C84C02">
      <w:start w:val="1"/>
      <w:numFmt w:val="bullet"/>
      <w:lvlText w:val="○"/>
      <w:lvlJc w:val="left"/>
      <w:pPr>
        <w:ind w:left="1440" w:hanging="360"/>
      </w:pPr>
    </w:lvl>
    <w:lvl w:ilvl="2" w:tplc="4C6C6042">
      <w:start w:val="1"/>
      <w:numFmt w:val="bullet"/>
      <w:lvlText w:val="■"/>
      <w:lvlJc w:val="left"/>
      <w:pPr>
        <w:ind w:left="2160" w:hanging="360"/>
      </w:pPr>
    </w:lvl>
    <w:lvl w:ilvl="3" w:tplc="25B859A0">
      <w:start w:val="1"/>
      <w:numFmt w:val="bullet"/>
      <w:lvlText w:val="●"/>
      <w:lvlJc w:val="left"/>
      <w:pPr>
        <w:ind w:left="2880" w:hanging="360"/>
      </w:pPr>
    </w:lvl>
    <w:lvl w:ilvl="4" w:tplc="E460B4CE">
      <w:start w:val="1"/>
      <w:numFmt w:val="bullet"/>
      <w:lvlText w:val="○"/>
      <w:lvlJc w:val="left"/>
      <w:pPr>
        <w:ind w:left="3600" w:hanging="360"/>
      </w:pPr>
    </w:lvl>
    <w:lvl w:ilvl="5" w:tplc="F3AEEA8C">
      <w:start w:val="1"/>
      <w:numFmt w:val="bullet"/>
      <w:lvlText w:val="■"/>
      <w:lvlJc w:val="left"/>
      <w:pPr>
        <w:ind w:left="4320" w:hanging="360"/>
      </w:pPr>
    </w:lvl>
    <w:lvl w:ilvl="6" w:tplc="A3C43BEA">
      <w:start w:val="1"/>
      <w:numFmt w:val="bullet"/>
      <w:lvlText w:val="●"/>
      <w:lvlJc w:val="left"/>
      <w:pPr>
        <w:ind w:left="5040" w:hanging="360"/>
      </w:pPr>
    </w:lvl>
    <w:lvl w:ilvl="7" w:tplc="FF725974">
      <w:start w:val="1"/>
      <w:numFmt w:val="bullet"/>
      <w:lvlText w:val="●"/>
      <w:lvlJc w:val="left"/>
      <w:pPr>
        <w:ind w:left="5760" w:hanging="360"/>
      </w:pPr>
    </w:lvl>
    <w:lvl w:ilvl="8" w:tplc="33603BB6">
      <w:start w:val="1"/>
      <w:numFmt w:val="bullet"/>
      <w:lvlText w:val="●"/>
      <w:lvlJc w:val="left"/>
      <w:pPr>
        <w:ind w:left="6480" w:hanging="360"/>
      </w:pPr>
    </w:lvl>
  </w:abstractNum>
  <w:abstractNum w:abstractNumId="1" w15:restartNumberingAfterBreak="0">
    <w:nsid w:val="641E2C03"/>
    <w:multiLevelType w:val="hybridMultilevel"/>
    <w:tmpl w:val="31249FCC"/>
    <w:lvl w:ilvl="0" w:tplc="DA9AF61C">
      <w:start w:val="1"/>
      <w:numFmt w:val="bullet"/>
      <w:lvlText w:val="•"/>
      <w:lvlJc w:val="left"/>
    </w:lvl>
    <w:lvl w:ilvl="1" w:tplc="3D6003C8">
      <w:numFmt w:val="decimal"/>
      <w:lvlText w:val=""/>
      <w:lvlJc w:val="left"/>
    </w:lvl>
    <w:lvl w:ilvl="2" w:tplc="5F6626CA">
      <w:numFmt w:val="decimal"/>
      <w:lvlText w:val=""/>
      <w:lvlJc w:val="left"/>
    </w:lvl>
    <w:lvl w:ilvl="3" w:tplc="589CAF06">
      <w:numFmt w:val="decimal"/>
      <w:lvlText w:val=""/>
      <w:lvlJc w:val="left"/>
    </w:lvl>
    <w:lvl w:ilvl="4" w:tplc="F148F464">
      <w:numFmt w:val="decimal"/>
      <w:lvlText w:val=""/>
      <w:lvlJc w:val="left"/>
    </w:lvl>
    <w:lvl w:ilvl="5" w:tplc="3CCCACD2">
      <w:numFmt w:val="decimal"/>
      <w:lvlText w:val=""/>
      <w:lvlJc w:val="left"/>
    </w:lvl>
    <w:lvl w:ilvl="6" w:tplc="9168BEB4">
      <w:numFmt w:val="decimal"/>
      <w:lvlText w:val=""/>
      <w:lvlJc w:val="left"/>
    </w:lvl>
    <w:lvl w:ilvl="7" w:tplc="91025CA0">
      <w:numFmt w:val="decimal"/>
      <w:lvlText w:val=""/>
      <w:lvlJc w:val="left"/>
    </w:lvl>
    <w:lvl w:ilvl="8" w:tplc="F60CE590">
      <w:numFmt w:val="decimal"/>
      <w:lvlText w:val=""/>
      <w:lvlJc w:val="left"/>
    </w:lvl>
  </w:abstractNum>
  <w:num w:numId="1" w16cid:durableId="68044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113"/>
    <w:rsid w:val="00136423"/>
    <w:rsid w:val="009B3885"/>
    <w:rsid w:val="009E4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433CE"/>
  <w15:docId w15:val="{72B8024D-EC09-48C1-86C1-65043FD32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1596</Words>
  <Characters>9099</Characters>
  <Application>Microsoft Office Word</Application>
  <DocSecurity>0</DocSecurity>
  <Lines>75</Lines>
  <Paragraphs>21</Paragraphs>
  <ScaleCrop>false</ScaleCrop>
  <Company/>
  <LinksUpToDate>false</LinksUpToDate>
  <CharactersWithSpaces>10674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MUDIT KHATER</cp:lastModifiedBy>
  <cp:revision>3</cp:revision>
  <dcterms:created xsi:type="dcterms:W3CDTF">2026-07-13T18:49:00Z</dcterms:created>
  <dcterms:modified xsi:type="dcterms:W3CDTF">2026-07-14T05:56:00Z</dcterms:modified>
</cp:coreProperties>
</file>