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Report</w:t>
      </w:r>
    </w:p>
    <w:p>
      <w:pPr>
        <w:pStyle w:val="Heading2"/>
      </w:pPr>
      <w:r>
        <w:t>Best Hyperparameters:</w:t>
      </w:r>
    </w:p>
    <w:p>
      <w:r>
        <w:t>C: 1</w:t>
      </w:r>
    </w:p>
    <w:p>
      <w:r>
        <w:t>penalty: l2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negative       0.90      0.88      0.89      4961</w:t>
        <w:br/>
        <w:t xml:space="preserve">    positive       0.89      0.91      0.90      5039</w:t>
        <w:br/>
        <w:br/>
        <w:t xml:space="preserve">    accuracy                           0.90     10000</w:t>
        <w:br/>
        <w:t xml:space="preserve">   macro avg       0.90      0.90      0.90     10000</w:t>
        <w:br/>
        <w:t>weighted avg       0.90      0.90      0.90     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